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8"/>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20955</wp:posOffset>
            </wp:positionV>
            <wp:extent cx="72923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9234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32385</wp:posOffset>
            </wp:positionV>
            <wp:extent cx="72923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54" w:lineRule="exact"/>
        <w:rPr>
          <w:sz w:val="24"/>
          <w:szCs w:val="24"/>
          <w:color w:val="auto"/>
        </w:rPr>
      </w:pPr>
    </w:p>
    <w:p>
      <w:pPr>
        <w:jc w:val="center"/>
        <w:ind w:right="-127"/>
        <w:spacing w:after="0"/>
        <w:rPr>
          <w:sz w:val="20"/>
          <w:szCs w:val="20"/>
          <w:color w:val="auto"/>
        </w:rPr>
      </w:pPr>
      <w:r>
        <w:rPr>
          <w:rFonts w:ascii="Arial" w:cs="Arial" w:eastAsia="Arial" w:hAnsi="Arial"/>
          <w:sz w:val="19"/>
          <w:szCs w:val="19"/>
          <w:b w:val="1"/>
          <w:bCs w:val="1"/>
          <w:color w:val="auto"/>
        </w:rPr>
        <w:t>UNITED STATES</w:t>
      </w:r>
    </w:p>
    <w:p>
      <w:pPr>
        <w:spacing w:after="0" w:line="29" w:lineRule="exact"/>
        <w:rPr>
          <w:sz w:val="24"/>
          <w:szCs w:val="24"/>
          <w:color w:val="auto"/>
        </w:rPr>
      </w:pPr>
    </w:p>
    <w:p>
      <w:pPr>
        <w:jc w:val="center"/>
        <w:ind w:right="-127"/>
        <w:spacing w:after="0"/>
        <w:rPr>
          <w:sz w:val="20"/>
          <w:szCs w:val="20"/>
          <w:color w:val="auto"/>
        </w:rPr>
      </w:pPr>
      <w:r>
        <w:rPr>
          <w:rFonts w:ascii="Arial" w:cs="Arial" w:eastAsia="Arial" w:hAnsi="Arial"/>
          <w:sz w:val="19"/>
          <w:szCs w:val="19"/>
          <w:b w:val="1"/>
          <w:bCs w:val="1"/>
          <w:color w:val="auto"/>
        </w:rPr>
        <w:t>SECURITIES AND EXCHANGE COMMISSION</w:t>
      </w:r>
    </w:p>
    <w:p>
      <w:pPr>
        <w:spacing w:after="0" w:line="8" w:lineRule="exact"/>
        <w:rPr>
          <w:sz w:val="24"/>
          <w:szCs w:val="24"/>
          <w:color w:val="auto"/>
        </w:rPr>
      </w:pPr>
    </w:p>
    <w:p>
      <w:pPr>
        <w:jc w:val="center"/>
        <w:ind w:right="-127"/>
        <w:spacing w:after="0"/>
        <w:rPr>
          <w:sz w:val="20"/>
          <w:szCs w:val="20"/>
          <w:color w:val="auto"/>
        </w:rPr>
      </w:pPr>
      <w:r>
        <w:rPr>
          <w:rFonts w:ascii="Arial" w:cs="Arial" w:eastAsia="Arial" w:hAnsi="Arial"/>
          <w:sz w:val="12"/>
          <w:szCs w:val="1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2802255</wp:posOffset>
            </wp:positionH>
            <wp:positionV relativeFrom="paragraph">
              <wp:posOffset>43180</wp:posOffset>
            </wp:positionV>
            <wp:extent cx="1687195"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87195" cy="5715"/>
                    </a:xfrm>
                    <a:prstGeom prst="rect">
                      <a:avLst/>
                    </a:prstGeom>
                    <a:noFill/>
                  </pic:spPr>
                </pic:pic>
              </a:graphicData>
            </a:graphic>
          </wp:anchor>
        </w:drawing>
      </w:r>
    </w:p>
    <w:p>
      <w:pPr>
        <w:spacing w:after="0" w:line="71" w:lineRule="exact"/>
        <w:rPr>
          <w:sz w:val="24"/>
          <w:szCs w:val="24"/>
          <w:color w:val="auto"/>
        </w:rPr>
      </w:pPr>
    </w:p>
    <w:p>
      <w:pPr>
        <w:jc w:val="center"/>
        <w:ind w:right="-127"/>
        <w:spacing w:after="0"/>
        <w:rPr>
          <w:sz w:val="20"/>
          <w:szCs w:val="20"/>
          <w:color w:val="auto"/>
        </w:rPr>
      </w:pPr>
      <w:r>
        <w:rPr>
          <w:rFonts w:ascii="Arial" w:cs="Arial" w:eastAsia="Arial" w:hAnsi="Arial"/>
          <w:sz w:val="19"/>
          <w:szCs w:val="1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2802255</wp:posOffset>
            </wp:positionH>
            <wp:positionV relativeFrom="paragraph">
              <wp:posOffset>52705</wp:posOffset>
            </wp:positionV>
            <wp:extent cx="1687195"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87195" cy="5715"/>
                    </a:xfrm>
                    <a:prstGeom prst="rect">
                      <a:avLst/>
                    </a:prstGeom>
                    <a:noFill/>
                  </pic:spPr>
                </pic:pic>
              </a:graphicData>
            </a:graphic>
          </wp:anchor>
        </w:drawing>
      </w:r>
    </w:p>
    <w:p>
      <w:pPr>
        <w:spacing w:after="0" w:line="80" w:lineRule="exact"/>
        <w:rPr>
          <w:sz w:val="24"/>
          <w:szCs w:val="24"/>
          <w:color w:val="auto"/>
        </w:rPr>
      </w:pPr>
    </w:p>
    <w:p>
      <w:pPr>
        <w:ind w:left="8"/>
        <w:spacing w:after="0"/>
        <w:rPr>
          <w:sz w:val="20"/>
          <w:szCs w:val="20"/>
          <w:color w:val="auto"/>
        </w:rPr>
      </w:pPr>
      <w:r>
        <w:rPr>
          <w:rFonts w:ascii="Arial" w:cs="Arial" w:eastAsia="Arial" w:hAnsi="Arial"/>
          <w:sz w:val="10"/>
          <w:szCs w:val="10"/>
          <w:b w:val="1"/>
          <w:bCs w:val="1"/>
          <w:color w:val="auto"/>
        </w:rPr>
        <w:t>(Mark One)</w:t>
      </w:r>
    </w:p>
    <w:p>
      <w:pPr>
        <w:ind w:left="588" w:hanging="588"/>
        <w:spacing w:after="0"/>
        <w:tabs>
          <w:tab w:leader="none" w:pos="588" w:val="left"/>
        </w:tabs>
        <w:numPr>
          <w:ilvl w:val="0"/>
          <w:numId w:val="1"/>
        </w:numPr>
        <w:rPr>
          <w:rFonts w:ascii="MS PGothic" w:cs="MS PGothic" w:eastAsia="MS PGothic" w:hAnsi="MS PGothic"/>
          <w:sz w:val="12"/>
          <w:szCs w:val="12"/>
          <w:color w:val="auto"/>
        </w:rPr>
      </w:pPr>
      <w:r>
        <w:rPr>
          <w:rFonts w:ascii="Arial" w:cs="Arial" w:eastAsia="Arial" w:hAnsi="Arial"/>
          <w:sz w:val="12"/>
          <w:szCs w:val="12"/>
          <w:b w:val="1"/>
          <w:bCs w:val="1"/>
          <w:color w:val="auto"/>
        </w:rPr>
        <w:t>ANNUAL REPORT PURSUANT TO SECTION 13 OR 15(d) OF THE SECURITIES EXCHANGE ACT OF 1934</w:t>
      </w:r>
    </w:p>
    <w:p>
      <w:pPr>
        <w:spacing w:after="0" w:line="26" w:lineRule="exact"/>
        <w:rPr>
          <w:sz w:val="24"/>
          <w:szCs w:val="24"/>
          <w:color w:val="auto"/>
        </w:rPr>
      </w:pPr>
    </w:p>
    <w:p>
      <w:pPr>
        <w:jc w:val="center"/>
        <w:ind w:right="-127"/>
        <w:spacing w:after="0"/>
        <w:rPr>
          <w:sz w:val="20"/>
          <w:szCs w:val="20"/>
          <w:color w:val="auto"/>
        </w:rPr>
      </w:pPr>
      <w:r>
        <w:rPr>
          <w:rFonts w:ascii="Arial" w:cs="Arial" w:eastAsia="Arial" w:hAnsi="Arial"/>
          <w:sz w:val="10"/>
          <w:szCs w:val="10"/>
          <w:b w:val="1"/>
          <w:bCs w:val="1"/>
          <w:color w:val="auto"/>
        </w:rPr>
        <w:t>For the fiscal year ended December 31, 2017</w:t>
      </w:r>
    </w:p>
    <w:p>
      <w:pPr>
        <w:spacing w:after="0" w:line="16" w:lineRule="exact"/>
        <w:rPr>
          <w:sz w:val="24"/>
          <w:szCs w:val="24"/>
          <w:color w:val="auto"/>
        </w:rPr>
      </w:pPr>
    </w:p>
    <w:p>
      <w:pPr>
        <w:jc w:val="center"/>
        <w:ind w:right="-127"/>
        <w:spacing w:after="0"/>
        <w:rPr>
          <w:sz w:val="20"/>
          <w:szCs w:val="20"/>
          <w:color w:val="auto"/>
        </w:rPr>
      </w:pPr>
      <w:r>
        <w:rPr>
          <w:rFonts w:ascii="Arial" w:cs="Arial" w:eastAsia="Arial" w:hAnsi="Arial"/>
          <w:sz w:val="10"/>
          <w:szCs w:val="10"/>
          <w:b w:val="1"/>
          <w:bCs w:val="1"/>
          <w:color w:val="auto"/>
        </w:rPr>
        <w:t>OR</w:t>
      </w:r>
    </w:p>
    <w:p>
      <w:pPr>
        <w:spacing w:after="0" w:line="13" w:lineRule="exact"/>
        <w:rPr>
          <w:sz w:val="24"/>
          <w:szCs w:val="24"/>
          <w:color w:val="auto"/>
        </w:rPr>
      </w:pPr>
    </w:p>
    <w:p>
      <w:pPr>
        <w:ind w:left="588" w:hanging="588"/>
        <w:spacing w:after="0"/>
        <w:tabs>
          <w:tab w:leader="none" w:pos="588" w:val="left"/>
        </w:tabs>
        <w:numPr>
          <w:ilvl w:val="0"/>
          <w:numId w:val="2"/>
        </w:numPr>
        <w:rPr>
          <w:rFonts w:ascii="MS PGothic" w:cs="MS PGothic" w:eastAsia="MS PGothic" w:hAnsi="MS PGothic"/>
          <w:sz w:val="12"/>
          <w:szCs w:val="12"/>
          <w:color w:val="auto"/>
        </w:rPr>
      </w:pPr>
      <w:r>
        <w:rPr>
          <w:rFonts w:ascii="Arial" w:cs="Arial" w:eastAsia="Arial" w:hAnsi="Arial"/>
          <w:sz w:val="12"/>
          <w:szCs w:val="12"/>
          <w:b w:val="1"/>
          <w:bCs w:val="1"/>
          <w:color w:val="auto"/>
        </w:rPr>
        <w:t xml:space="preserve">TRANSITION REPORT PURSUANT TO SECTION 13 OR 15(d) OF THE SECURITIES EXCHANGE ACT OF 1934 </w:t>
      </w:r>
      <w:r>
        <w:rPr>
          <w:rFonts w:ascii="Arial" w:cs="Arial" w:eastAsia="Arial" w:hAnsi="Arial"/>
          <w:sz w:val="10"/>
          <w:szCs w:val="10"/>
          <w:b w:val="1"/>
          <w:bCs w:val="1"/>
          <w:color w:val="auto"/>
        </w:rPr>
        <w:t>For the transition period from _____ to _____</w:t>
      </w:r>
    </w:p>
    <w:p>
      <w:pPr>
        <w:spacing w:after="0" w:line="35" w:lineRule="exact"/>
        <w:rPr>
          <w:rFonts w:ascii="MS PGothic" w:cs="MS PGothic" w:eastAsia="MS PGothic" w:hAnsi="MS PGothic"/>
          <w:sz w:val="12"/>
          <w:szCs w:val="12"/>
          <w:color w:val="auto"/>
        </w:rPr>
      </w:pPr>
    </w:p>
    <w:p>
      <w:pPr>
        <w:ind w:left="4948"/>
        <w:spacing w:after="0"/>
        <w:rPr>
          <w:rFonts w:ascii="MS PGothic" w:cs="MS PGothic" w:eastAsia="MS PGothic" w:hAnsi="MS PGothic"/>
          <w:sz w:val="12"/>
          <w:szCs w:val="12"/>
          <w:color w:val="auto"/>
        </w:rPr>
      </w:pPr>
      <w:r>
        <w:rPr>
          <w:rFonts w:ascii="Arial" w:cs="Arial" w:eastAsia="Arial" w:hAnsi="Arial"/>
          <w:sz w:val="10"/>
          <w:szCs w:val="10"/>
          <w:b w:val="1"/>
          <w:bCs w:val="1"/>
          <w:color w:val="auto"/>
        </w:rPr>
        <w:t>Commission File Number 001-36708</w:t>
      </w:r>
    </w:p>
    <w:p>
      <w:pPr>
        <w:spacing w:after="0" w:line="47" w:lineRule="exact"/>
        <w:rPr>
          <w:sz w:val="24"/>
          <w:szCs w:val="24"/>
          <w:color w:val="auto"/>
        </w:rPr>
      </w:pPr>
    </w:p>
    <w:tbl>
      <w:tblPr>
        <w:tblLayout w:type="fixed"/>
        <w:tblInd w:w="8" w:type="dxa"/>
        <w:tblCellMar>
          <w:top w:w="0" w:type="dxa"/>
          <w:left w:w="0" w:type="dxa"/>
          <w:bottom w:w="0" w:type="dxa"/>
          <w:right w:w="0" w:type="dxa"/>
        </w:tblCellMar>
      </w:tblPr>
      <w:tr>
        <w:trPr>
          <w:trHeight w:val="259"/>
        </w:trPr>
        <w:tc>
          <w:tcPr>
            <w:tcW w:w="2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2160" w:type="dxa"/>
            <w:vAlign w:val="bottom"/>
            <w:tcBorders>
              <w:top w:val="single" w:sz="8" w:color="auto"/>
            </w:tcBorders>
            <w:gridSpan w:val="3"/>
          </w:tcPr>
          <w:p>
            <w:pPr>
              <w:jc w:val="center"/>
              <w:ind w:right="450"/>
              <w:spacing w:after="0"/>
              <w:rPr>
                <w:sz w:val="20"/>
                <w:szCs w:val="20"/>
                <w:color w:val="auto"/>
              </w:rPr>
            </w:pPr>
            <w:r>
              <w:rPr>
                <w:rFonts w:ascii="Arial" w:cs="Arial" w:eastAsia="Arial" w:hAnsi="Arial"/>
                <w:sz w:val="22"/>
                <w:szCs w:val="22"/>
                <w:b w:val="1"/>
                <w:bCs w:val="1"/>
                <w:color w:val="auto"/>
                <w:w w:val="93"/>
              </w:rPr>
              <w:t>Uniti Group Inc.</w:t>
            </w:r>
          </w:p>
        </w:tc>
        <w:tc>
          <w:tcPr>
            <w:tcW w:w="2220" w:type="dxa"/>
            <w:vAlign w:val="bottom"/>
            <w:gridSpan w:val="3"/>
          </w:tcPr>
          <w:p>
            <w:pPr>
              <w:spacing w:after="0"/>
              <w:rPr>
                <w:sz w:val="22"/>
                <w:szCs w:val="22"/>
                <w:color w:val="auto"/>
              </w:rPr>
            </w:pPr>
          </w:p>
        </w:tc>
        <w:tc>
          <w:tcPr>
            <w:tcW w:w="0" w:type="dxa"/>
            <w:vAlign w:val="bottom"/>
          </w:tcPr>
          <w:p>
            <w:pPr>
              <w:spacing w:after="0"/>
              <w:rPr>
                <w:sz w:val="1"/>
                <w:szCs w:val="1"/>
                <w:color w:val="auto"/>
              </w:rPr>
            </w:pPr>
          </w:p>
        </w:tc>
      </w:tr>
      <w:tr>
        <w:trPr>
          <w:trHeight w:val="131"/>
        </w:trPr>
        <w:tc>
          <w:tcPr>
            <w:tcW w:w="2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880" w:type="dxa"/>
            <w:vAlign w:val="bottom"/>
            <w:gridSpan w:val="7"/>
          </w:tcPr>
          <w:p>
            <w:pPr>
              <w:jc w:val="center"/>
              <w:ind w:right="2149"/>
              <w:spacing w:after="0"/>
              <w:rPr>
                <w:sz w:val="20"/>
                <w:szCs w:val="20"/>
                <w:color w:val="auto"/>
              </w:rPr>
            </w:pPr>
            <w:r>
              <w:rPr>
                <w:rFonts w:ascii="Arial" w:cs="Arial" w:eastAsia="Arial" w:hAnsi="Arial"/>
                <w:sz w:val="10"/>
                <w:szCs w:val="10"/>
                <w:b w:val="1"/>
                <w:bCs w:val="1"/>
                <w:color w:val="auto"/>
                <w:w w:val="92"/>
              </w:rPr>
              <w:t>(Exact name of Registrant as specified in its Charter)</w:t>
            </w:r>
          </w:p>
        </w:tc>
        <w:tc>
          <w:tcPr>
            <w:tcW w:w="0" w:type="dxa"/>
            <w:vAlign w:val="bottom"/>
          </w:tcPr>
          <w:p>
            <w:pPr>
              <w:spacing w:after="0"/>
              <w:rPr>
                <w:sz w:val="1"/>
                <w:szCs w:val="1"/>
                <w:color w:val="auto"/>
              </w:rPr>
            </w:pPr>
          </w:p>
        </w:tc>
      </w:tr>
      <w:tr>
        <w:trPr>
          <w:trHeight w:val="51"/>
        </w:trPr>
        <w:tc>
          <w:tcPr>
            <w:tcW w:w="2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c>
          <w:tcPr>
            <w:tcW w:w="1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0"/>
        </w:trPr>
        <w:tc>
          <w:tcPr>
            <w:tcW w:w="2440" w:type="dxa"/>
            <w:vAlign w:val="bottom"/>
          </w:tcPr>
          <w:p>
            <w:pPr>
              <w:spacing w:after="0"/>
              <w:rPr>
                <w:sz w:val="9"/>
                <w:szCs w:val="9"/>
                <w:color w:val="auto"/>
              </w:rPr>
            </w:pPr>
          </w:p>
        </w:tc>
        <w:tc>
          <w:tcPr>
            <w:tcW w:w="2460" w:type="dxa"/>
            <w:vAlign w:val="bottom"/>
            <w:gridSpan w:val="3"/>
          </w:tcPr>
          <w:p>
            <w:pPr>
              <w:jc w:val="center"/>
              <w:ind w:right="1569"/>
              <w:spacing w:after="0" w:line="110" w:lineRule="exact"/>
              <w:rPr>
                <w:sz w:val="20"/>
                <w:szCs w:val="20"/>
                <w:color w:val="auto"/>
              </w:rPr>
            </w:pPr>
            <w:r>
              <w:rPr>
                <w:rFonts w:ascii="Arial" w:cs="Arial" w:eastAsia="Arial" w:hAnsi="Arial"/>
                <w:sz w:val="10"/>
                <w:szCs w:val="10"/>
                <w:b w:val="1"/>
                <w:bCs w:val="1"/>
                <w:color w:val="auto"/>
              </w:rPr>
              <w:t>Maryland</w:t>
            </w: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40" w:type="dxa"/>
            <w:vAlign w:val="bottom"/>
            <w:gridSpan w:val="3"/>
          </w:tcPr>
          <w:p>
            <w:pPr>
              <w:jc w:val="right"/>
              <w:ind w:right="12"/>
              <w:spacing w:after="0" w:line="110" w:lineRule="exact"/>
              <w:rPr>
                <w:sz w:val="20"/>
                <w:szCs w:val="20"/>
                <w:color w:val="auto"/>
              </w:rPr>
            </w:pPr>
            <w:r>
              <w:rPr>
                <w:rFonts w:ascii="Arial" w:cs="Arial" w:eastAsia="Arial" w:hAnsi="Arial"/>
                <w:sz w:val="10"/>
                <w:szCs w:val="10"/>
                <w:b w:val="1"/>
                <w:bCs w:val="1"/>
                <w:color w:val="auto"/>
              </w:rPr>
              <w:t>46-5230630</w:t>
            </w: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4900" w:type="dxa"/>
            <w:vAlign w:val="bottom"/>
            <w:gridSpan w:val="4"/>
          </w:tcPr>
          <w:p>
            <w:pPr>
              <w:jc w:val="center"/>
              <w:ind w:left="790"/>
              <w:spacing w:after="0" w:line="99" w:lineRule="exact"/>
              <w:rPr>
                <w:sz w:val="20"/>
                <w:szCs w:val="20"/>
                <w:color w:val="auto"/>
              </w:rPr>
            </w:pPr>
            <w:r>
              <w:rPr>
                <w:rFonts w:ascii="Arial" w:cs="Arial" w:eastAsia="Arial" w:hAnsi="Arial"/>
                <w:sz w:val="10"/>
                <w:szCs w:val="10"/>
                <w:b w:val="1"/>
                <w:bCs w:val="1"/>
                <w:color w:val="auto"/>
                <w:w w:val="87"/>
              </w:rPr>
              <w:t>( State or other jurisdiction of</w:t>
            </w: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gridSpan w:val="2"/>
          </w:tcPr>
          <w:p>
            <w:pPr>
              <w:jc w:val="center"/>
              <w:ind w:right="169"/>
              <w:spacing w:after="0" w:line="99" w:lineRule="exact"/>
              <w:rPr>
                <w:sz w:val="20"/>
                <w:szCs w:val="20"/>
                <w:color w:val="auto"/>
              </w:rPr>
            </w:pPr>
            <w:r>
              <w:rPr>
                <w:rFonts w:ascii="Arial" w:cs="Arial" w:eastAsia="Arial" w:hAnsi="Arial"/>
                <w:sz w:val="10"/>
                <w:szCs w:val="10"/>
                <w:b w:val="1"/>
                <w:bCs w:val="1"/>
                <w:color w:val="auto"/>
                <w:w w:val="91"/>
              </w:rPr>
              <w:t>(I.R.S. Employer</w:t>
            </w:r>
          </w:p>
        </w:tc>
        <w:tc>
          <w:tcPr>
            <w:tcW w:w="0" w:type="dxa"/>
            <w:vAlign w:val="bottom"/>
          </w:tcPr>
          <w:p>
            <w:pPr>
              <w:spacing w:after="0"/>
              <w:rPr>
                <w:sz w:val="1"/>
                <w:szCs w:val="1"/>
                <w:color w:val="auto"/>
              </w:rPr>
            </w:pPr>
          </w:p>
        </w:tc>
      </w:tr>
      <w:tr>
        <w:trPr>
          <w:trHeight w:val="103"/>
        </w:trPr>
        <w:tc>
          <w:tcPr>
            <w:tcW w:w="4900" w:type="dxa"/>
            <w:vAlign w:val="bottom"/>
            <w:gridSpan w:val="4"/>
          </w:tcPr>
          <w:p>
            <w:pPr>
              <w:jc w:val="center"/>
              <w:ind w:left="790"/>
              <w:spacing w:after="0" w:line="103" w:lineRule="exact"/>
              <w:rPr>
                <w:sz w:val="20"/>
                <w:szCs w:val="20"/>
                <w:color w:val="auto"/>
              </w:rPr>
            </w:pPr>
            <w:r>
              <w:rPr>
                <w:rFonts w:ascii="Arial" w:cs="Arial" w:eastAsia="Arial" w:hAnsi="Arial"/>
                <w:sz w:val="10"/>
                <w:szCs w:val="10"/>
                <w:b w:val="1"/>
                <w:bCs w:val="1"/>
                <w:color w:val="auto"/>
                <w:w w:val="88"/>
              </w:rPr>
              <w:t>incorporation or organization)</w:t>
            </w: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gridSpan w:val="2"/>
          </w:tcPr>
          <w:p>
            <w:pPr>
              <w:jc w:val="center"/>
              <w:ind w:right="169"/>
              <w:spacing w:after="0" w:line="103" w:lineRule="exact"/>
              <w:rPr>
                <w:sz w:val="20"/>
                <w:szCs w:val="20"/>
                <w:color w:val="auto"/>
              </w:rPr>
            </w:pPr>
            <w:r>
              <w:rPr>
                <w:rFonts w:ascii="Arial" w:cs="Arial" w:eastAsia="Arial" w:hAnsi="Arial"/>
                <w:sz w:val="10"/>
                <w:szCs w:val="10"/>
                <w:b w:val="1"/>
                <w:bCs w:val="1"/>
                <w:color w:val="auto"/>
                <w:w w:val="87"/>
              </w:rPr>
              <w:t>Identification No.)</w:t>
            </w:r>
          </w:p>
        </w:tc>
        <w:tc>
          <w:tcPr>
            <w:tcW w:w="0" w:type="dxa"/>
            <w:vAlign w:val="bottom"/>
          </w:tcPr>
          <w:p>
            <w:pPr>
              <w:spacing w:after="0"/>
              <w:rPr>
                <w:sz w:val="1"/>
                <w:szCs w:val="1"/>
                <w:color w:val="auto"/>
              </w:rPr>
            </w:pPr>
          </w:p>
        </w:tc>
      </w:tr>
      <w:tr>
        <w:trPr>
          <w:trHeight w:val="108"/>
        </w:trPr>
        <w:tc>
          <w:tcPr>
            <w:tcW w:w="4900" w:type="dxa"/>
            <w:vAlign w:val="bottom"/>
            <w:gridSpan w:val="4"/>
          </w:tcPr>
          <w:p>
            <w:pPr>
              <w:jc w:val="center"/>
              <w:ind w:left="790"/>
              <w:spacing w:after="0" w:line="108" w:lineRule="exact"/>
              <w:rPr>
                <w:sz w:val="20"/>
                <w:szCs w:val="20"/>
                <w:color w:val="auto"/>
              </w:rPr>
            </w:pPr>
            <w:r>
              <w:rPr>
                <w:rFonts w:ascii="Arial" w:cs="Arial" w:eastAsia="Arial" w:hAnsi="Arial"/>
                <w:sz w:val="10"/>
                <w:szCs w:val="10"/>
                <w:b w:val="1"/>
                <w:bCs w:val="1"/>
                <w:color w:val="auto"/>
                <w:w w:val="93"/>
              </w:rPr>
              <w:t>10802 Executive Center Drive</w:t>
            </w: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900" w:type="dxa"/>
            <w:vAlign w:val="bottom"/>
            <w:gridSpan w:val="4"/>
          </w:tcPr>
          <w:p>
            <w:pPr>
              <w:jc w:val="center"/>
              <w:ind w:left="790"/>
              <w:spacing w:after="0" w:line="108" w:lineRule="exact"/>
              <w:rPr>
                <w:sz w:val="20"/>
                <w:szCs w:val="20"/>
                <w:color w:val="auto"/>
              </w:rPr>
            </w:pPr>
            <w:r>
              <w:rPr>
                <w:rFonts w:ascii="Arial" w:cs="Arial" w:eastAsia="Arial" w:hAnsi="Arial"/>
                <w:sz w:val="10"/>
                <w:szCs w:val="10"/>
                <w:b w:val="1"/>
                <w:bCs w:val="1"/>
                <w:color w:val="auto"/>
                <w:w w:val="91"/>
              </w:rPr>
              <w:t>Benton Building Suite 300</w:t>
            </w: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4900" w:type="dxa"/>
            <w:vAlign w:val="bottom"/>
            <w:gridSpan w:val="4"/>
          </w:tcPr>
          <w:p>
            <w:pPr>
              <w:jc w:val="center"/>
              <w:ind w:left="770"/>
              <w:spacing w:after="0" w:line="104" w:lineRule="exact"/>
              <w:rPr>
                <w:sz w:val="20"/>
                <w:szCs w:val="20"/>
                <w:color w:val="auto"/>
              </w:rPr>
            </w:pPr>
            <w:r>
              <w:rPr>
                <w:rFonts w:ascii="Arial" w:cs="Arial" w:eastAsia="Arial" w:hAnsi="Arial"/>
                <w:sz w:val="10"/>
                <w:szCs w:val="10"/>
                <w:b w:val="1"/>
                <w:bCs w:val="1"/>
                <w:color w:val="auto"/>
                <w:w w:val="94"/>
              </w:rPr>
              <w:t>Little Rock, Arkansas</w:t>
            </w: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40" w:type="dxa"/>
            <w:vAlign w:val="bottom"/>
            <w:gridSpan w:val="3"/>
          </w:tcPr>
          <w:p>
            <w:pPr>
              <w:jc w:val="right"/>
              <w:ind w:right="132"/>
              <w:spacing w:after="0" w:line="104" w:lineRule="exact"/>
              <w:rPr>
                <w:sz w:val="20"/>
                <w:szCs w:val="20"/>
                <w:color w:val="auto"/>
              </w:rPr>
            </w:pPr>
            <w:r>
              <w:rPr>
                <w:rFonts w:ascii="Arial" w:cs="Arial" w:eastAsia="Arial" w:hAnsi="Arial"/>
                <w:sz w:val="10"/>
                <w:szCs w:val="10"/>
                <w:b w:val="1"/>
                <w:bCs w:val="1"/>
                <w:color w:val="auto"/>
              </w:rPr>
              <w:t>72211</w:t>
            </w: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4900" w:type="dxa"/>
            <w:vAlign w:val="bottom"/>
            <w:gridSpan w:val="4"/>
          </w:tcPr>
          <w:p>
            <w:pPr>
              <w:jc w:val="center"/>
              <w:ind w:left="790"/>
              <w:spacing w:after="0"/>
              <w:rPr>
                <w:sz w:val="20"/>
                <w:szCs w:val="20"/>
                <w:color w:val="auto"/>
              </w:rPr>
            </w:pPr>
            <w:r>
              <w:rPr>
                <w:rFonts w:ascii="Arial" w:cs="Arial" w:eastAsia="Arial" w:hAnsi="Arial"/>
                <w:sz w:val="10"/>
                <w:szCs w:val="10"/>
                <w:b w:val="1"/>
                <w:bCs w:val="1"/>
                <w:color w:val="auto"/>
                <w:w w:val="84"/>
              </w:rPr>
              <w:t>(Address of principal executive offices)</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120" w:type="dxa"/>
            <w:vAlign w:val="bottom"/>
            <w:gridSpan w:val="2"/>
          </w:tcPr>
          <w:p>
            <w:pPr>
              <w:jc w:val="center"/>
              <w:ind w:right="189"/>
              <w:spacing w:after="0"/>
              <w:rPr>
                <w:sz w:val="20"/>
                <w:szCs w:val="20"/>
                <w:color w:val="auto"/>
              </w:rPr>
            </w:pPr>
            <w:r>
              <w:rPr>
                <w:rFonts w:ascii="Arial" w:cs="Arial" w:eastAsia="Arial" w:hAnsi="Arial"/>
                <w:sz w:val="10"/>
                <w:szCs w:val="10"/>
                <w:b w:val="1"/>
                <w:bCs w:val="1"/>
                <w:color w:val="auto"/>
                <w:w w:val="88"/>
              </w:rPr>
              <w:t>(Zip Code)</w:t>
            </w:r>
          </w:p>
        </w:tc>
        <w:tc>
          <w:tcPr>
            <w:tcW w:w="0" w:type="dxa"/>
            <w:vAlign w:val="bottom"/>
          </w:tcPr>
          <w:p>
            <w:pPr>
              <w:spacing w:after="0"/>
              <w:rPr>
                <w:sz w:val="1"/>
                <w:szCs w:val="1"/>
                <w:color w:val="auto"/>
              </w:rPr>
            </w:pPr>
          </w:p>
        </w:tc>
      </w:tr>
      <w:tr>
        <w:trPr>
          <w:trHeight w:val="137"/>
        </w:trPr>
        <w:tc>
          <w:tcPr>
            <w:tcW w:w="2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140" w:type="dxa"/>
            <w:vAlign w:val="bottom"/>
            <w:gridSpan w:val="8"/>
          </w:tcPr>
          <w:p>
            <w:pPr>
              <w:jc w:val="center"/>
              <w:ind w:right="909"/>
              <w:spacing w:after="0"/>
              <w:rPr>
                <w:sz w:val="20"/>
                <w:szCs w:val="20"/>
                <w:color w:val="auto"/>
              </w:rPr>
            </w:pPr>
            <w:r>
              <w:rPr>
                <w:rFonts w:ascii="Arial" w:cs="Arial" w:eastAsia="Arial" w:hAnsi="Arial"/>
                <w:sz w:val="10"/>
                <w:szCs w:val="10"/>
                <w:b w:val="1"/>
                <w:bCs w:val="1"/>
                <w:color w:val="auto"/>
                <w:w w:val="91"/>
              </w:rPr>
              <w:t>Registrant’s telephone number, including area code: (501) 850-0820</w:t>
            </w:r>
          </w:p>
        </w:tc>
        <w:tc>
          <w:tcPr>
            <w:tcW w:w="0" w:type="dxa"/>
            <w:vAlign w:val="bottom"/>
          </w:tcPr>
          <w:p>
            <w:pPr>
              <w:spacing w:after="0"/>
              <w:rPr>
                <w:sz w:val="1"/>
                <w:szCs w:val="1"/>
                <w:color w:val="auto"/>
              </w:rPr>
            </w:pPr>
          </w:p>
        </w:tc>
      </w:tr>
      <w:tr>
        <w:trPr>
          <w:trHeight w:val="42"/>
        </w:trPr>
        <w:tc>
          <w:tcPr>
            <w:tcW w:w="2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3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6"/>
        </w:trPr>
        <w:tc>
          <w:tcPr>
            <w:tcW w:w="4900" w:type="dxa"/>
            <w:vAlign w:val="bottom"/>
            <w:gridSpan w:val="4"/>
          </w:tcPr>
          <w:p>
            <w:pPr>
              <w:spacing w:after="0"/>
              <w:rPr>
                <w:sz w:val="20"/>
                <w:szCs w:val="20"/>
                <w:color w:val="auto"/>
              </w:rPr>
            </w:pPr>
            <w:r>
              <w:rPr>
                <w:rFonts w:ascii="Arial" w:cs="Arial" w:eastAsia="Arial" w:hAnsi="Arial"/>
                <w:sz w:val="10"/>
                <w:szCs w:val="10"/>
                <w:color w:val="auto"/>
              </w:rPr>
              <w:t>Securities registered pursuant to Section 12(b) of the Act:</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780" w:type="dxa"/>
            <w:vAlign w:val="bottom"/>
          </w:tcPr>
          <w:p>
            <w:pPr>
              <w:spacing w:after="0"/>
              <w:rPr>
                <w:sz w:val="8"/>
                <w:szCs w:val="8"/>
                <w:color w:val="auto"/>
              </w:rPr>
            </w:pPr>
          </w:p>
        </w:tc>
        <w:tc>
          <w:tcPr>
            <w:tcW w:w="2220" w:type="dxa"/>
            <w:vAlign w:val="bottom"/>
            <w:gridSpan w:val="3"/>
          </w:tcPr>
          <w:p>
            <w:pPr>
              <w:jc w:val="center"/>
              <w:ind w:left="690"/>
              <w:spacing w:after="0" w:line="102" w:lineRule="exact"/>
              <w:rPr>
                <w:sz w:val="20"/>
                <w:szCs w:val="20"/>
                <w:color w:val="auto"/>
              </w:rPr>
            </w:pPr>
            <w:r>
              <w:rPr>
                <w:rFonts w:ascii="Arial" w:cs="Arial" w:eastAsia="Arial" w:hAnsi="Arial"/>
                <w:sz w:val="10"/>
                <w:szCs w:val="10"/>
                <w:color w:val="auto"/>
                <w:w w:val="84"/>
              </w:rPr>
              <w:t>Name of each exchange</w:t>
            </w:r>
          </w:p>
        </w:tc>
        <w:tc>
          <w:tcPr>
            <w:tcW w:w="0" w:type="dxa"/>
            <w:vAlign w:val="bottom"/>
          </w:tcPr>
          <w:p>
            <w:pPr>
              <w:spacing w:after="0"/>
              <w:rPr>
                <w:sz w:val="1"/>
                <w:szCs w:val="1"/>
                <w:color w:val="auto"/>
              </w:rPr>
            </w:pPr>
          </w:p>
        </w:tc>
      </w:tr>
      <w:tr>
        <w:trPr>
          <w:trHeight w:val="103"/>
        </w:trPr>
        <w:tc>
          <w:tcPr>
            <w:tcW w:w="2440" w:type="dxa"/>
            <w:vAlign w:val="bottom"/>
          </w:tcPr>
          <w:p>
            <w:pPr>
              <w:spacing w:after="0"/>
              <w:rPr>
                <w:sz w:val="8"/>
                <w:szCs w:val="8"/>
                <w:color w:val="auto"/>
              </w:rPr>
            </w:pPr>
          </w:p>
        </w:tc>
        <w:tc>
          <w:tcPr>
            <w:tcW w:w="700" w:type="dxa"/>
            <w:vAlign w:val="bottom"/>
            <w:tcBorders>
              <w:bottom w:val="single" w:sz="8" w:color="auto"/>
            </w:tcBorders>
          </w:tcPr>
          <w:p>
            <w:pPr>
              <w:jc w:val="center"/>
              <w:spacing w:after="0" w:line="103" w:lineRule="exact"/>
              <w:rPr>
                <w:sz w:val="20"/>
                <w:szCs w:val="20"/>
                <w:color w:val="auto"/>
              </w:rPr>
            </w:pPr>
            <w:r>
              <w:rPr>
                <w:rFonts w:ascii="Arial" w:cs="Arial" w:eastAsia="Arial" w:hAnsi="Arial"/>
                <w:sz w:val="10"/>
                <w:szCs w:val="10"/>
                <w:color w:val="auto"/>
                <w:w w:val="87"/>
              </w:rPr>
              <w:t>Title of each class</w:t>
            </w:r>
          </w:p>
        </w:tc>
        <w:tc>
          <w:tcPr>
            <w:tcW w:w="1760" w:type="dxa"/>
            <w:vAlign w:val="bottom"/>
            <w:gridSpan w:val="2"/>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Borders>
              <w:bottom w:val="single" w:sz="8" w:color="auto"/>
            </w:tcBorders>
          </w:tcPr>
          <w:p>
            <w:pPr>
              <w:jc w:val="center"/>
              <w:spacing w:after="0" w:line="103" w:lineRule="exact"/>
              <w:rPr>
                <w:sz w:val="20"/>
                <w:szCs w:val="20"/>
                <w:color w:val="auto"/>
              </w:rPr>
            </w:pPr>
            <w:r>
              <w:rPr>
                <w:rFonts w:ascii="Arial" w:cs="Arial" w:eastAsia="Arial" w:hAnsi="Arial"/>
                <w:sz w:val="10"/>
                <w:szCs w:val="10"/>
                <w:color w:val="auto"/>
                <w:w w:val="87"/>
              </w:rPr>
              <w:t>on which registered</w:t>
            </w: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2440" w:type="dxa"/>
            <w:vAlign w:val="bottom"/>
          </w:tcPr>
          <w:p>
            <w:pPr>
              <w:ind w:left="2080"/>
              <w:spacing w:after="0" w:line="109" w:lineRule="exact"/>
              <w:rPr>
                <w:sz w:val="20"/>
                <w:szCs w:val="20"/>
                <w:color w:val="auto"/>
              </w:rPr>
            </w:pPr>
            <w:r>
              <w:rPr>
                <w:rFonts w:ascii="Arial" w:cs="Arial" w:eastAsia="Arial" w:hAnsi="Arial"/>
                <w:sz w:val="10"/>
                <w:szCs w:val="10"/>
                <w:color w:val="auto"/>
                <w:w w:val="83"/>
              </w:rPr>
              <w:t>Common</w:t>
            </w:r>
          </w:p>
        </w:tc>
        <w:tc>
          <w:tcPr>
            <w:tcW w:w="700" w:type="dxa"/>
            <w:vAlign w:val="bottom"/>
          </w:tcPr>
          <w:p>
            <w:pPr>
              <w:jc w:val="center"/>
              <w:spacing w:after="0" w:line="114" w:lineRule="exact"/>
              <w:rPr>
                <w:sz w:val="20"/>
                <w:szCs w:val="20"/>
                <w:color w:val="auto"/>
              </w:rPr>
            </w:pPr>
            <w:r>
              <w:rPr>
                <w:rFonts w:ascii="Arial" w:cs="Arial" w:eastAsia="Arial" w:hAnsi="Arial"/>
                <w:sz w:val="10"/>
                <w:szCs w:val="10"/>
                <w:color w:val="auto"/>
                <w:w w:val="92"/>
              </w:rPr>
              <w:t>Stock, $0.0001</w:t>
            </w:r>
          </w:p>
        </w:tc>
        <w:tc>
          <w:tcPr>
            <w:tcW w:w="1760" w:type="dxa"/>
            <w:vAlign w:val="bottom"/>
            <w:gridSpan w:val="2"/>
          </w:tcPr>
          <w:p>
            <w:pPr>
              <w:spacing w:after="0" w:line="109" w:lineRule="exact"/>
              <w:rPr>
                <w:sz w:val="20"/>
                <w:szCs w:val="20"/>
                <w:color w:val="auto"/>
              </w:rPr>
            </w:pPr>
            <w:r>
              <w:rPr>
                <w:rFonts w:ascii="Arial" w:cs="Arial" w:eastAsia="Arial" w:hAnsi="Arial"/>
                <w:sz w:val="10"/>
                <w:szCs w:val="10"/>
                <w:color w:val="auto"/>
              </w:rPr>
              <w:t>Par Value</w:t>
            </w: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860" w:type="dxa"/>
            <w:vAlign w:val="bottom"/>
            <w:gridSpan w:val="2"/>
          </w:tcPr>
          <w:p>
            <w:pPr>
              <w:ind w:left="720"/>
              <w:spacing w:after="0" w:line="114" w:lineRule="exact"/>
              <w:rPr>
                <w:sz w:val="20"/>
                <w:szCs w:val="20"/>
                <w:color w:val="auto"/>
              </w:rPr>
            </w:pPr>
            <w:r>
              <w:rPr>
                <w:rFonts w:ascii="Arial" w:cs="Arial" w:eastAsia="Arial" w:hAnsi="Arial"/>
                <w:sz w:val="10"/>
                <w:szCs w:val="10"/>
                <w:color w:val="auto"/>
                <w:w w:val="89"/>
              </w:rPr>
              <w:t>The NASDAQ Global Select</w:t>
            </w:r>
          </w:p>
        </w:tc>
        <w:tc>
          <w:tcPr>
            <w:tcW w:w="360" w:type="dxa"/>
            <w:vAlign w:val="bottom"/>
          </w:tcPr>
          <w:p>
            <w:pPr>
              <w:ind w:left="80"/>
              <w:spacing w:after="0" w:line="109" w:lineRule="exact"/>
              <w:rPr>
                <w:sz w:val="20"/>
                <w:szCs w:val="20"/>
                <w:color w:val="auto"/>
              </w:rPr>
            </w:pPr>
            <w:r>
              <w:rPr>
                <w:rFonts w:ascii="Arial" w:cs="Arial" w:eastAsia="Arial" w:hAnsi="Arial"/>
                <w:sz w:val="10"/>
                <w:szCs w:val="10"/>
                <w:color w:val="auto"/>
                <w:w w:val="84"/>
              </w:rPr>
              <w:t>Market</w:t>
            </w:r>
          </w:p>
        </w:tc>
        <w:tc>
          <w:tcPr>
            <w:tcW w:w="0" w:type="dxa"/>
            <w:vAlign w:val="bottom"/>
          </w:tcPr>
          <w:p>
            <w:pPr>
              <w:spacing w:after="0"/>
              <w:rPr>
                <w:sz w:val="1"/>
                <w:szCs w:val="1"/>
                <w:color w:val="auto"/>
              </w:rPr>
            </w:pPr>
          </w:p>
        </w:tc>
      </w:tr>
      <w:tr>
        <w:trPr>
          <w:trHeight w:val="128"/>
        </w:trPr>
        <w:tc>
          <w:tcPr>
            <w:tcW w:w="4900" w:type="dxa"/>
            <w:vAlign w:val="bottom"/>
            <w:gridSpan w:val="4"/>
          </w:tcPr>
          <w:p>
            <w:pPr>
              <w:spacing w:after="0"/>
              <w:rPr>
                <w:sz w:val="20"/>
                <w:szCs w:val="20"/>
                <w:color w:val="auto"/>
              </w:rPr>
            </w:pPr>
            <w:r>
              <w:rPr>
                <w:rFonts w:ascii="Arial" w:cs="Arial" w:eastAsia="Arial" w:hAnsi="Arial"/>
                <w:sz w:val="10"/>
                <w:szCs w:val="10"/>
                <w:color w:val="auto"/>
              </w:rPr>
              <w:t xml:space="preserve">Securities registered pursuant to Section 12(g) of the Act: </w:t>
            </w:r>
            <w:r>
              <w:rPr>
                <w:rFonts w:ascii="Arial" w:cs="Arial" w:eastAsia="Arial" w:hAnsi="Arial"/>
                <w:sz w:val="10"/>
                <w:szCs w:val="10"/>
                <w:b w:val="1"/>
                <w:bCs w:val="1"/>
                <w:color w:val="auto"/>
              </w:rPr>
              <w:t>None</w:t>
            </w:r>
          </w:p>
        </w:tc>
        <w:tc>
          <w:tcPr>
            <w:tcW w:w="200" w:type="dxa"/>
            <w:vAlign w:val="bottom"/>
          </w:tcPr>
          <w:p>
            <w:pPr>
              <w:spacing w:after="0"/>
              <w:rPr>
                <w:sz w:val="11"/>
                <w:szCs w:val="11"/>
                <w:color w:val="auto"/>
              </w:rPr>
            </w:pPr>
          </w:p>
        </w:tc>
        <w:tc>
          <w:tcPr>
            <w:tcW w:w="180" w:type="dxa"/>
            <w:vAlign w:val="bottom"/>
            <w:vMerge w:val="restart"/>
          </w:tcPr>
          <w:p>
            <w:pPr>
              <w:ind w:left="60"/>
              <w:spacing w:after="0" w:line="101" w:lineRule="exact"/>
              <w:rPr>
                <w:sz w:val="20"/>
                <w:szCs w:val="20"/>
                <w:color w:val="auto"/>
              </w:rPr>
            </w:pPr>
            <w:r>
              <w:rPr>
                <w:rFonts w:ascii="MS PGothic" w:cs="MS PGothic" w:eastAsia="MS PGothic" w:hAnsi="MS PGothic"/>
                <w:sz w:val="10"/>
                <w:szCs w:val="10"/>
                <w:color w:val="auto"/>
                <w:w w:val="99"/>
              </w:rPr>
              <w:t>☒</w:t>
            </w:r>
          </w:p>
        </w:tc>
        <w:tc>
          <w:tcPr>
            <w:tcW w:w="4000" w:type="dxa"/>
            <w:vAlign w:val="bottom"/>
            <w:gridSpan w:val="4"/>
            <w:vMerge w:val="restart"/>
          </w:tcPr>
          <w:p>
            <w:pPr>
              <w:ind w:left="80"/>
              <w:spacing w:after="0" w:line="115" w:lineRule="exact"/>
              <w:rPr>
                <w:sz w:val="20"/>
                <w:szCs w:val="20"/>
                <w:color w:val="auto"/>
              </w:rPr>
            </w:pPr>
            <w:r>
              <w:rPr>
                <w:rFonts w:ascii="Arial" w:cs="Arial" w:eastAsia="Arial" w:hAnsi="Arial"/>
                <w:sz w:val="10"/>
                <w:szCs w:val="10"/>
                <w:color w:val="auto"/>
              </w:rPr>
              <w:t xml:space="preserve">NO </w:t>
            </w:r>
            <w:r>
              <w:rPr>
                <w:rFonts w:ascii="MS PGothic" w:cs="MS PGothic" w:eastAsia="MS PGothic" w:hAnsi="MS PGothic"/>
                <w:sz w:val="9"/>
                <w:szCs w:val="9"/>
                <w:color w:val="auto"/>
              </w:rPr>
              <w:t>☐</w:t>
            </w:r>
          </w:p>
        </w:tc>
        <w:tc>
          <w:tcPr>
            <w:tcW w:w="0" w:type="dxa"/>
            <w:vAlign w:val="bottom"/>
          </w:tcPr>
          <w:p>
            <w:pPr>
              <w:spacing w:after="0"/>
              <w:rPr>
                <w:sz w:val="1"/>
                <w:szCs w:val="1"/>
                <w:color w:val="auto"/>
              </w:rPr>
            </w:pPr>
          </w:p>
        </w:tc>
      </w:tr>
      <w:tr>
        <w:trPr>
          <w:trHeight w:val="132"/>
        </w:trPr>
        <w:tc>
          <w:tcPr>
            <w:tcW w:w="4900" w:type="dxa"/>
            <w:vAlign w:val="bottom"/>
            <w:gridSpan w:val="4"/>
          </w:tcPr>
          <w:p>
            <w:pPr>
              <w:spacing w:after="0"/>
              <w:rPr>
                <w:sz w:val="20"/>
                <w:szCs w:val="20"/>
                <w:color w:val="auto"/>
              </w:rPr>
            </w:pPr>
            <w:r>
              <w:rPr>
                <w:rFonts w:ascii="Arial" w:cs="Arial" w:eastAsia="Arial" w:hAnsi="Arial"/>
                <w:sz w:val="10"/>
                <w:szCs w:val="10"/>
                <w:color w:val="auto"/>
                <w:w w:val="93"/>
              </w:rPr>
              <w:t>Indicate by check mark if the Registrant is a well-known seasoned issuer, as defined in Rule 405 of the Securities Act.</w:t>
            </w:r>
          </w:p>
        </w:tc>
        <w:tc>
          <w:tcPr>
            <w:tcW w:w="200" w:type="dxa"/>
            <w:vAlign w:val="bottom"/>
          </w:tcPr>
          <w:p>
            <w:pPr>
              <w:ind w:left="20"/>
              <w:spacing w:after="0"/>
              <w:rPr>
                <w:sz w:val="20"/>
                <w:szCs w:val="20"/>
                <w:color w:val="auto"/>
              </w:rPr>
            </w:pPr>
            <w:r>
              <w:rPr>
                <w:rFonts w:ascii="Arial" w:cs="Arial" w:eastAsia="Arial" w:hAnsi="Arial"/>
                <w:sz w:val="10"/>
                <w:szCs w:val="10"/>
                <w:color w:val="auto"/>
                <w:w w:val="79"/>
              </w:rPr>
              <w:t>YES</w:t>
            </w:r>
          </w:p>
        </w:tc>
        <w:tc>
          <w:tcPr>
            <w:tcW w:w="180" w:type="dxa"/>
            <w:vAlign w:val="bottom"/>
            <w:vMerge w:val="continue"/>
          </w:tcPr>
          <w:p>
            <w:pPr>
              <w:spacing w:after="0"/>
              <w:rPr>
                <w:sz w:val="11"/>
                <w:szCs w:val="11"/>
                <w:color w:val="auto"/>
              </w:rPr>
            </w:pPr>
          </w:p>
        </w:tc>
        <w:tc>
          <w:tcPr>
            <w:tcW w:w="400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900" w:type="dxa"/>
            <w:vAlign w:val="bottom"/>
            <w:gridSpan w:val="4"/>
          </w:tcPr>
          <w:p>
            <w:pPr>
              <w:spacing w:after="0"/>
              <w:rPr>
                <w:sz w:val="20"/>
                <w:szCs w:val="20"/>
                <w:color w:val="auto"/>
              </w:rPr>
            </w:pPr>
            <w:r>
              <w:rPr>
                <w:rFonts w:ascii="Arial" w:cs="Arial" w:eastAsia="Arial" w:hAnsi="Arial"/>
                <w:sz w:val="10"/>
                <w:szCs w:val="10"/>
                <w:color w:val="auto"/>
                <w:w w:val="94"/>
              </w:rPr>
              <w:t>Indicate by check mark if the Registrant is not required to file reports pursuant to Section 13 or 15(d) of the Act.  YES</w:t>
            </w:r>
          </w:p>
        </w:tc>
        <w:tc>
          <w:tcPr>
            <w:tcW w:w="200" w:type="dxa"/>
            <w:vAlign w:val="bottom"/>
          </w:tcPr>
          <w:p>
            <w:pPr>
              <w:ind w:left="20"/>
              <w:spacing w:after="0" w:line="101" w:lineRule="exact"/>
              <w:rPr>
                <w:sz w:val="20"/>
                <w:szCs w:val="20"/>
                <w:color w:val="auto"/>
              </w:rPr>
            </w:pPr>
            <w:r>
              <w:rPr>
                <w:rFonts w:ascii="MS PGothic" w:cs="MS PGothic" w:eastAsia="MS PGothic" w:hAnsi="MS PGothic"/>
                <w:sz w:val="10"/>
                <w:szCs w:val="10"/>
                <w:color w:val="auto"/>
              </w:rPr>
              <w:t>☐</w:t>
            </w:r>
          </w:p>
        </w:tc>
        <w:tc>
          <w:tcPr>
            <w:tcW w:w="180" w:type="dxa"/>
            <w:vAlign w:val="bottom"/>
          </w:tcPr>
          <w:p>
            <w:pPr>
              <w:ind w:left="20"/>
              <w:spacing w:after="0"/>
              <w:rPr>
                <w:sz w:val="20"/>
                <w:szCs w:val="20"/>
                <w:color w:val="auto"/>
              </w:rPr>
            </w:pPr>
            <w:r>
              <w:rPr>
                <w:rFonts w:ascii="Arial" w:cs="Arial" w:eastAsia="Arial" w:hAnsi="Arial"/>
                <w:sz w:val="10"/>
                <w:szCs w:val="10"/>
                <w:color w:val="auto"/>
                <w:w w:val="93"/>
              </w:rPr>
              <w:t>NO</w:t>
            </w:r>
          </w:p>
        </w:tc>
        <w:tc>
          <w:tcPr>
            <w:tcW w:w="4000" w:type="dxa"/>
            <w:vAlign w:val="bottom"/>
            <w:gridSpan w:val="4"/>
          </w:tcPr>
          <w:p>
            <w:pPr>
              <w:ind w:left="20"/>
              <w:spacing w:after="0" w:line="101" w:lineRule="exact"/>
              <w:rPr>
                <w:sz w:val="20"/>
                <w:szCs w:val="20"/>
                <w:color w:val="auto"/>
              </w:rPr>
            </w:pPr>
            <w:r>
              <w:rPr>
                <w:rFonts w:ascii="MS PGothic" w:cs="MS PGothic" w:eastAsia="MS PGothic" w:hAnsi="MS PGothic"/>
                <w:sz w:val="10"/>
                <w:szCs w:val="10"/>
                <w:color w:val="auto"/>
              </w:rPr>
              <w:t>☒</w:t>
            </w:r>
          </w:p>
        </w:tc>
        <w:tc>
          <w:tcPr>
            <w:tcW w:w="0" w:type="dxa"/>
            <w:vAlign w:val="bottom"/>
          </w:tcPr>
          <w:p>
            <w:pPr>
              <w:spacing w:after="0"/>
              <w:rPr>
                <w:sz w:val="1"/>
                <w:szCs w:val="1"/>
                <w:color w:val="auto"/>
              </w:rPr>
            </w:pPr>
          </w:p>
        </w:tc>
      </w:tr>
    </w:tbl>
    <w:p>
      <w:pPr>
        <w:ind w:left="8" w:right="40"/>
        <w:spacing w:after="0" w:line="122" w:lineRule="exact"/>
        <w:rPr>
          <w:sz w:val="20"/>
          <w:szCs w:val="20"/>
          <w:color w:val="auto"/>
        </w:rPr>
      </w:pPr>
      <w:r>
        <w:rPr>
          <w:rFonts w:ascii="Arial" w:cs="Arial" w:eastAsia="Arial" w:hAnsi="Arial"/>
          <w:sz w:val="10"/>
          <w:szCs w:val="10"/>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9"/>
          <w:szCs w:val="9"/>
          <w:color w:val="auto"/>
        </w:rPr>
        <w:t>☒</w:t>
      </w:r>
      <w:r>
        <w:rPr>
          <w:rFonts w:ascii="Arial" w:cs="Arial" w:eastAsia="Arial" w:hAnsi="Arial"/>
          <w:sz w:val="10"/>
          <w:szCs w:val="10"/>
          <w:color w:val="auto"/>
        </w:rPr>
        <w:t xml:space="preserve"> NO </w:t>
      </w:r>
      <w:r>
        <w:rPr>
          <w:rFonts w:ascii="MS PGothic" w:cs="MS PGothic" w:eastAsia="MS PGothic" w:hAnsi="MS PGothic"/>
          <w:sz w:val="9"/>
          <w:szCs w:val="9"/>
          <w:color w:val="auto"/>
        </w:rPr>
        <w:t>☐</w:t>
      </w:r>
    </w:p>
    <w:p>
      <w:pPr>
        <w:spacing w:after="0" w:line="8" w:lineRule="exact"/>
        <w:rPr>
          <w:sz w:val="24"/>
          <w:szCs w:val="24"/>
          <w:color w:val="auto"/>
        </w:rPr>
      </w:pPr>
    </w:p>
    <w:p>
      <w:pPr>
        <w:ind w:left="8" w:right="260"/>
        <w:spacing w:after="0" w:line="123" w:lineRule="exact"/>
        <w:rPr>
          <w:sz w:val="20"/>
          <w:szCs w:val="20"/>
          <w:color w:val="auto"/>
        </w:rPr>
      </w:pPr>
      <w:r>
        <w:rPr>
          <w:rFonts w:ascii="Arial" w:cs="Arial" w:eastAsia="Arial" w:hAnsi="Arial"/>
          <w:sz w:val="10"/>
          <w:szCs w:val="10"/>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9"/>
          <w:szCs w:val="9"/>
          <w:color w:val="auto"/>
        </w:rPr>
        <w:t>☒</w:t>
      </w:r>
      <w:r>
        <w:rPr>
          <w:rFonts w:ascii="Arial" w:cs="Arial" w:eastAsia="Arial" w:hAnsi="Arial"/>
          <w:sz w:val="10"/>
          <w:szCs w:val="10"/>
          <w:color w:val="auto"/>
        </w:rPr>
        <w:t xml:space="preserve"> NO </w:t>
      </w:r>
      <w:r>
        <w:rPr>
          <w:rFonts w:ascii="MS PGothic" w:cs="MS PGothic" w:eastAsia="MS PGothic" w:hAnsi="MS PGothic"/>
          <w:sz w:val="9"/>
          <w:szCs w:val="9"/>
          <w:color w:val="auto"/>
        </w:rPr>
        <w:t>☐</w:t>
      </w:r>
    </w:p>
    <w:p>
      <w:pPr>
        <w:spacing w:after="0" w:line="8" w:lineRule="exact"/>
        <w:rPr>
          <w:sz w:val="24"/>
          <w:szCs w:val="24"/>
          <w:color w:val="auto"/>
        </w:rPr>
      </w:pPr>
    </w:p>
    <w:p>
      <w:pPr>
        <w:ind w:left="8" w:right="180"/>
        <w:spacing w:after="0" w:line="123" w:lineRule="exact"/>
        <w:rPr>
          <w:sz w:val="20"/>
          <w:szCs w:val="20"/>
          <w:color w:val="auto"/>
        </w:rPr>
      </w:pPr>
      <w:r>
        <w:rPr>
          <w:rFonts w:ascii="Arial" w:cs="Arial" w:eastAsia="Arial" w:hAnsi="Arial"/>
          <w:sz w:val="10"/>
          <w:szCs w:val="10"/>
          <w:color w:val="auto"/>
        </w:rPr>
        <w:t xml:space="preserve">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9"/>
          <w:szCs w:val="9"/>
          <w:color w:val="auto"/>
        </w:rPr>
        <w:t>☒</w:t>
      </w:r>
    </w:p>
    <w:p>
      <w:pPr>
        <w:spacing w:after="0" w:line="1" w:lineRule="exact"/>
        <w:rPr>
          <w:sz w:val="24"/>
          <w:szCs w:val="24"/>
          <w:color w:val="auto"/>
        </w:rPr>
      </w:pPr>
    </w:p>
    <w:p>
      <w:pPr>
        <w:ind w:left="8"/>
        <w:spacing w:after="0" w:line="245" w:lineRule="auto"/>
        <w:rPr>
          <w:sz w:val="20"/>
          <w:szCs w:val="20"/>
          <w:color w:val="auto"/>
        </w:rPr>
      </w:pPr>
      <w:r>
        <w:rPr>
          <w:rFonts w:ascii="Arial" w:cs="Arial" w:eastAsia="Arial" w:hAnsi="Arial"/>
          <w:sz w:val="10"/>
          <w:szCs w:val="10"/>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tbl>
      <w:tblPr>
        <w:tblLayout w:type="fixed"/>
        <w:tblInd w:w="8" w:type="dxa"/>
        <w:tblCellMar>
          <w:top w:w="0" w:type="dxa"/>
          <w:left w:w="0" w:type="dxa"/>
          <w:bottom w:w="0" w:type="dxa"/>
          <w:right w:w="0" w:type="dxa"/>
        </w:tblCellMar>
      </w:tblPr>
      <w:tr>
        <w:trPr>
          <w:trHeight w:val="138"/>
        </w:trPr>
        <w:tc>
          <w:tcPr>
            <w:tcW w:w="1440" w:type="dxa"/>
            <w:vAlign w:val="bottom"/>
          </w:tcPr>
          <w:p>
            <w:pPr>
              <w:spacing w:after="0"/>
              <w:rPr>
                <w:sz w:val="20"/>
                <w:szCs w:val="20"/>
                <w:color w:val="auto"/>
              </w:rPr>
            </w:pPr>
            <w:r>
              <w:rPr>
                <w:rFonts w:ascii="Arial" w:cs="Arial" w:eastAsia="Arial" w:hAnsi="Arial"/>
                <w:sz w:val="10"/>
                <w:szCs w:val="10"/>
                <w:color w:val="auto"/>
              </w:rPr>
              <w:t>Large accelerated filer</w:t>
            </w:r>
          </w:p>
        </w:tc>
        <w:tc>
          <w:tcPr>
            <w:tcW w:w="3280" w:type="dxa"/>
            <w:vAlign w:val="bottom"/>
          </w:tcPr>
          <w:p>
            <w:pPr>
              <w:ind w:left="540"/>
              <w:spacing w:after="0" w:line="101" w:lineRule="exact"/>
              <w:rPr>
                <w:sz w:val="20"/>
                <w:szCs w:val="20"/>
                <w:color w:val="auto"/>
              </w:rPr>
            </w:pPr>
            <w:r>
              <w:rPr>
                <w:rFonts w:ascii="MS PGothic" w:cs="MS PGothic" w:eastAsia="MS PGothic" w:hAnsi="MS PGothic"/>
                <w:sz w:val="10"/>
                <w:szCs w:val="10"/>
                <w:color w:val="auto"/>
              </w:rPr>
              <w:t>☒</w:t>
            </w:r>
          </w:p>
        </w:tc>
        <w:tc>
          <w:tcPr>
            <w:tcW w:w="6100" w:type="dxa"/>
            <w:vAlign w:val="bottom"/>
          </w:tcPr>
          <w:p>
            <w:pPr>
              <w:ind w:left="4100"/>
              <w:spacing w:after="0"/>
              <w:rPr>
                <w:sz w:val="20"/>
                <w:szCs w:val="20"/>
                <w:color w:val="auto"/>
              </w:rPr>
            </w:pPr>
            <w:r>
              <w:rPr>
                <w:rFonts w:ascii="Arial" w:cs="Arial" w:eastAsia="Arial" w:hAnsi="Arial"/>
                <w:sz w:val="10"/>
                <w:szCs w:val="10"/>
                <w:color w:val="auto"/>
              </w:rPr>
              <w:t>Accelerated filer</w:t>
            </w:r>
          </w:p>
        </w:tc>
        <w:tc>
          <w:tcPr>
            <w:tcW w:w="500" w:type="dxa"/>
            <w:vAlign w:val="bottom"/>
          </w:tcPr>
          <w:p>
            <w:pPr>
              <w:ind w:left="420"/>
              <w:spacing w:after="0" w:line="81" w:lineRule="exact"/>
              <w:rPr>
                <w:sz w:val="20"/>
                <w:szCs w:val="20"/>
                <w:color w:val="auto"/>
              </w:rPr>
            </w:pPr>
            <w:r>
              <w:rPr>
                <w:rFonts w:ascii="MS PGothic" w:cs="MS PGothic" w:eastAsia="MS PGothic" w:hAnsi="MS PGothic"/>
                <w:sz w:val="8"/>
                <w:szCs w:val="8"/>
                <w:color w:val="auto"/>
                <w:w w:val="74"/>
              </w:rPr>
              <w:t>☐</w:t>
            </w:r>
          </w:p>
        </w:tc>
      </w:tr>
      <w:tr>
        <w:trPr>
          <w:trHeight w:val="117"/>
        </w:trPr>
        <w:tc>
          <w:tcPr>
            <w:tcW w:w="1440" w:type="dxa"/>
            <w:vAlign w:val="bottom"/>
          </w:tcPr>
          <w:p>
            <w:pPr>
              <w:spacing w:after="0"/>
              <w:rPr>
                <w:sz w:val="20"/>
                <w:szCs w:val="20"/>
                <w:color w:val="auto"/>
              </w:rPr>
            </w:pPr>
            <w:r>
              <w:rPr>
                <w:rFonts w:ascii="Arial" w:cs="Arial" w:eastAsia="Arial" w:hAnsi="Arial"/>
                <w:sz w:val="10"/>
                <w:szCs w:val="10"/>
                <w:color w:val="auto"/>
              </w:rPr>
              <w:t>Non-accelerated filer</w:t>
            </w:r>
          </w:p>
        </w:tc>
        <w:tc>
          <w:tcPr>
            <w:tcW w:w="3280" w:type="dxa"/>
            <w:vAlign w:val="bottom"/>
          </w:tcPr>
          <w:p>
            <w:pPr>
              <w:ind w:left="540"/>
              <w:spacing w:after="0" w:line="115" w:lineRule="exact"/>
              <w:rPr>
                <w:sz w:val="20"/>
                <w:szCs w:val="20"/>
                <w:color w:val="auto"/>
              </w:rPr>
            </w:pPr>
            <w:r>
              <w:rPr>
                <w:rFonts w:ascii="MS PGothic" w:cs="MS PGothic" w:eastAsia="MS PGothic" w:hAnsi="MS PGothic"/>
                <w:sz w:val="9"/>
                <w:szCs w:val="9"/>
                <w:color w:val="auto"/>
              </w:rPr>
              <w:t>☐</w:t>
            </w:r>
            <w:r>
              <w:rPr>
                <w:rFonts w:ascii="Arial" w:cs="Arial" w:eastAsia="Arial" w:hAnsi="Arial"/>
                <w:sz w:val="10"/>
                <w:szCs w:val="10"/>
                <w:color w:val="auto"/>
              </w:rPr>
              <w:t xml:space="preserve"> (Do not check if a small reporting company)</w:t>
            </w:r>
          </w:p>
        </w:tc>
        <w:tc>
          <w:tcPr>
            <w:tcW w:w="6100" w:type="dxa"/>
            <w:vAlign w:val="bottom"/>
          </w:tcPr>
          <w:p>
            <w:pPr>
              <w:ind w:left="4100"/>
              <w:spacing w:after="0"/>
              <w:rPr>
                <w:sz w:val="20"/>
                <w:szCs w:val="20"/>
                <w:color w:val="auto"/>
              </w:rPr>
            </w:pPr>
            <w:r>
              <w:rPr>
                <w:rFonts w:ascii="Arial" w:cs="Arial" w:eastAsia="Arial" w:hAnsi="Arial"/>
                <w:sz w:val="10"/>
                <w:szCs w:val="10"/>
                <w:color w:val="auto"/>
              </w:rPr>
              <w:t>Smaller reporting company</w:t>
            </w:r>
          </w:p>
        </w:tc>
        <w:tc>
          <w:tcPr>
            <w:tcW w:w="500" w:type="dxa"/>
            <w:vAlign w:val="bottom"/>
          </w:tcPr>
          <w:p>
            <w:pPr>
              <w:ind w:left="420"/>
              <w:spacing w:after="0" w:line="81" w:lineRule="exact"/>
              <w:rPr>
                <w:sz w:val="20"/>
                <w:szCs w:val="20"/>
                <w:color w:val="auto"/>
              </w:rPr>
            </w:pPr>
            <w:r>
              <w:rPr>
                <w:rFonts w:ascii="MS PGothic" w:cs="MS PGothic" w:eastAsia="MS PGothic" w:hAnsi="MS PGothic"/>
                <w:sz w:val="8"/>
                <w:szCs w:val="8"/>
                <w:color w:val="auto"/>
                <w:w w:val="74"/>
              </w:rPr>
              <w:t>☐</w:t>
            </w:r>
          </w:p>
        </w:tc>
      </w:tr>
      <w:tr>
        <w:trPr>
          <w:trHeight w:val="146"/>
        </w:trPr>
        <w:tc>
          <w:tcPr>
            <w:tcW w:w="144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6100" w:type="dxa"/>
            <w:vAlign w:val="bottom"/>
          </w:tcPr>
          <w:p>
            <w:pPr>
              <w:ind w:left="4100"/>
              <w:spacing w:after="0"/>
              <w:rPr>
                <w:sz w:val="20"/>
                <w:szCs w:val="20"/>
                <w:color w:val="auto"/>
              </w:rPr>
            </w:pPr>
            <w:r>
              <w:rPr>
                <w:rFonts w:ascii="Arial" w:cs="Arial" w:eastAsia="Arial" w:hAnsi="Arial"/>
                <w:sz w:val="10"/>
                <w:szCs w:val="10"/>
                <w:color w:val="auto"/>
              </w:rPr>
              <w:t>Emerging growth company</w:t>
            </w:r>
          </w:p>
        </w:tc>
        <w:tc>
          <w:tcPr>
            <w:tcW w:w="500" w:type="dxa"/>
            <w:vAlign w:val="bottom"/>
          </w:tcPr>
          <w:p>
            <w:pPr>
              <w:ind w:left="420"/>
              <w:spacing w:after="0" w:line="81" w:lineRule="exact"/>
              <w:rPr>
                <w:sz w:val="20"/>
                <w:szCs w:val="20"/>
                <w:color w:val="auto"/>
              </w:rPr>
            </w:pPr>
            <w:r>
              <w:rPr>
                <w:rFonts w:ascii="MS PGothic" w:cs="MS PGothic" w:eastAsia="MS PGothic" w:hAnsi="MS PGothic"/>
                <w:sz w:val="8"/>
                <w:szCs w:val="8"/>
                <w:color w:val="auto"/>
                <w:w w:val="74"/>
              </w:rPr>
              <w:t>☐</w:t>
            </w:r>
          </w:p>
        </w:tc>
      </w:tr>
      <w:tr>
        <w:trPr>
          <w:trHeight w:val="125"/>
        </w:trPr>
        <w:tc>
          <w:tcPr>
            <w:tcW w:w="10820" w:type="dxa"/>
            <w:vAlign w:val="bottom"/>
            <w:gridSpan w:val="3"/>
          </w:tcPr>
          <w:p>
            <w:pPr>
              <w:spacing w:after="0" w:line="115" w:lineRule="exact"/>
              <w:rPr>
                <w:sz w:val="20"/>
                <w:szCs w:val="20"/>
                <w:color w:val="auto"/>
              </w:rPr>
            </w:pPr>
            <w:r>
              <w:rPr>
                <w:rFonts w:ascii="Arial" w:cs="Arial" w:eastAsia="Arial" w:hAnsi="Arial"/>
                <w:sz w:val="10"/>
                <w:szCs w:val="10"/>
                <w:color w:val="auto"/>
                <w:w w:val="9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0"/>
                <w:szCs w:val="10"/>
                <w:color w:val="auto"/>
                <w:w w:val="96"/>
              </w:rPr>
              <w:t>☐</w:t>
            </w:r>
          </w:p>
        </w:tc>
        <w:tc>
          <w:tcPr>
            <w:tcW w:w="500" w:type="dxa"/>
            <w:vAlign w:val="bottom"/>
          </w:tcPr>
          <w:p>
            <w:pPr>
              <w:spacing w:after="0"/>
              <w:rPr>
                <w:sz w:val="10"/>
                <w:szCs w:val="10"/>
                <w:color w:val="auto"/>
              </w:rPr>
            </w:pPr>
          </w:p>
        </w:tc>
      </w:tr>
      <w:tr>
        <w:trPr>
          <w:trHeight w:val="149"/>
        </w:trPr>
        <w:tc>
          <w:tcPr>
            <w:tcW w:w="4720" w:type="dxa"/>
            <w:vAlign w:val="bottom"/>
            <w:gridSpan w:val="2"/>
          </w:tcPr>
          <w:p>
            <w:pPr>
              <w:spacing w:after="0" w:line="115" w:lineRule="exact"/>
              <w:rPr>
                <w:sz w:val="20"/>
                <w:szCs w:val="20"/>
                <w:color w:val="auto"/>
              </w:rPr>
            </w:pPr>
            <w:r>
              <w:rPr>
                <w:rFonts w:ascii="Arial" w:cs="Arial" w:eastAsia="Arial" w:hAnsi="Arial"/>
                <w:sz w:val="10"/>
                <w:szCs w:val="10"/>
                <w:color w:val="auto"/>
                <w:w w:val="95"/>
              </w:rPr>
              <w:t xml:space="preserve">Indicate by check mark whether the Registrant is a shell company (as defined in Rule 12b-2 of the Act).  YES </w:t>
            </w:r>
            <w:r>
              <w:rPr>
                <w:rFonts w:ascii="MS PGothic" w:cs="MS PGothic" w:eastAsia="MS PGothic" w:hAnsi="MS PGothic"/>
                <w:sz w:val="9"/>
                <w:szCs w:val="9"/>
                <w:color w:val="auto"/>
                <w:w w:val="95"/>
              </w:rPr>
              <w:t>☐</w:t>
            </w:r>
          </w:p>
        </w:tc>
        <w:tc>
          <w:tcPr>
            <w:tcW w:w="6100" w:type="dxa"/>
            <w:vAlign w:val="bottom"/>
          </w:tcPr>
          <w:p>
            <w:pPr>
              <w:ind w:left="40"/>
              <w:spacing w:after="0" w:line="115" w:lineRule="exact"/>
              <w:rPr>
                <w:sz w:val="20"/>
                <w:szCs w:val="20"/>
                <w:color w:val="auto"/>
              </w:rPr>
            </w:pPr>
            <w:r>
              <w:rPr>
                <w:rFonts w:ascii="Arial" w:cs="Arial" w:eastAsia="Arial" w:hAnsi="Arial"/>
                <w:sz w:val="10"/>
                <w:szCs w:val="10"/>
                <w:color w:val="auto"/>
              </w:rPr>
              <w:t xml:space="preserve">NO </w:t>
            </w:r>
            <w:r>
              <w:rPr>
                <w:rFonts w:ascii="MS PGothic" w:cs="MS PGothic" w:eastAsia="MS PGothic" w:hAnsi="MS PGothic"/>
                <w:sz w:val="9"/>
                <w:szCs w:val="9"/>
                <w:color w:val="auto"/>
              </w:rPr>
              <w:t>☒</w:t>
            </w:r>
          </w:p>
        </w:tc>
        <w:tc>
          <w:tcPr>
            <w:tcW w:w="500" w:type="dxa"/>
            <w:vAlign w:val="bottom"/>
          </w:tcPr>
          <w:p>
            <w:pPr>
              <w:spacing w:after="0"/>
              <w:rPr>
                <w:sz w:val="12"/>
                <w:szCs w:val="12"/>
                <w:color w:val="auto"/>
              </w:rPr>
            </w:pPr>
          </w:p>
        </w:tc>
      </w:tr>
    </w:tbl>
    <w:p>
      <w:pPr>
        <w:spacing w:after="0" w:line="7" w:lineRule="exact"/>
        <w:rPr>
          <w:sz w:val="24"/>
          <w:szCs w:val="24"/>
          <w:color w:val="auto"/>
        </w:rPr>
      </w:pPr>
    </w:p>
    <w:p>
      <w:pPr>
        <w:ind w:left="8" w:right="1460"/>
        <w:spacing w:after="0" w:line="275" w:lineRule="auto"/>
        <w:rPr>
          <w:sz w:val="20"/>
          <w:szCs w:val="20"/>
          <w:color w:val="auto"/>
        </w:rPr>
      </w:pPr>
      <w:r>
        <w:rPr>
          <w:rFonts w:ascii="Arial" w:cs="Arial" w:eastAsia="Arial" w:hAnsi="Arial"/>
          <w:sz w:val="10"/>
          <w:szCs w:val="10"/>
          <w:color w:val="auto"/>
        </w:rPr>
        <w:t>The aggregate market value of the voting and non-voting common equity held by non-affiliates of the Registrant, based on the closing price of the shares of common stock on The NASDAQ Stock Market on June 30, 2017, was $3,342,033,490 The number of shares of Registrant’s Common Stock outstanding as of February 23, 2018 was 175,428,468.</w:t>
      </w:r>
    </w:p>
    <w:p>
      <w:pPr>
        <w:spacing w:after="0" w:line="1" w:lineRule="exact"/>
        <w:rPr>
          <w:sz w:val="24"/>
          <w:szCs w:val="24"/>
          <w:color w:val="auto"/>
        </w:rPr>
      </w:pPr>
    </w:p>
    <w:p>
      <w:pPr>
        <w:ind w:left="4628"/>
        <w:spacing w:after="0"/>
        <w:rPr>
          <w:sz w:val="20"/>
          <w:szCs w:val="20"/>
          <w:color w:val="auto"/>
        </w:rPr>
      </w:pPr>
      <w:r>
        <w:rPr>
          <w:rFonts w:ascii="Arial" w:cs="Arial" w:eastAsia="Arial" w:hAnsi="Arial"/>
          <w:sz w:val="10"/>
          <w:szCs w:val="10"/>
          <w:color w:val="auto"/>
        </w:rPr>
        <w:t>DOCUMENTS INCORPORATED BY REFERENCE</w:t>
      </w:r>
    </w:p>
    <w:p>
      <w:pPr>
        <w:spacing w:after="0" w:line="17" w:lineRule="exact"/>
        <w:rPr>
          <w:sz w:val="24"/>
          <w:szCs w:val="24"/>
          <w:color w:val="auto"/>
        </w:rPr>
      </w:pPr>
    </w:p>
    <w:p>
      <w:pPr>
        <w:ind w:left="8"/>
        <w:spacing w:after="0"/>
        <w:rPr>
          <w:sz w:val="20"/>
          <w:szCs w:val="20"/>
          <w:color w:val="auto"/>
        </w:rPr>
      </w:pPr>
      <w:r>
        <w:rPr>
          <w:rFonts w:ascii="Arial" w:cs="Arial" w:eastAsia="Arial" w:hAnsi="Arial"/>
          <w:sz w:val="10"/>
          <w:szCs w:val="10"/>
          <w:color w:val="auto"/>
        </w:rPr>
        <w:t>Portions of the Registrant’s definitive proxy statement relating to the 2018 annual meeting of stockholders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29845</wp:posOffset>
            </wp:positionV>
            <wp:extent cx="72923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9234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41275</wp:posOffset>
            </wp:positionV>
            <wp:extent cx="729234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92340" cy="571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114300</wp:posOffset>
            </wp:positionV>
            <wp:extent cx="7329170"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368"/>
          </w:cols>
          <w:pgMar w:left="212" w:top="203" w:right="319" w:bottom="1440" w:gutter="0" w:footer="0" w:header="0"/>
        </w:sectPr>
      </w:pPr>
    </w:p>
    <w:bookmarkStart w:id="1" w:name="page2"/>
    <w:bookmarkEnd w:id="1"/>
    <w:p>
      <w:pPr>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tbl>
      <w:tblPr>
        <w:tblLayout w:type="fixed"/>
        <w:tblInd w:w="0" w:type="dxa"/>
        <w:tblCellMar>
          <w:top w:w="0" w:type="dxa"/>
          <w:left w:w="0" w:type="dxa"/>
          <w:bottom w:w="0" w:type="dxa"/>
          <w:right w:w="0" w:type="dxa"/>
        </w:tblCellMar>
      </w:tblPr>
      <w:tr>
        <w:trPr>
          <w:trHeight w:val="177"/>
        </w:trPr>
        <w:tc>
          <w:tcPr>
            <w:tcW w:w="840" w:type="dxa"/>
            <w:vAlign w:val="bottom"/>
            <w:tcBorders>
              <w:top w:val="single" w:sz="8" w:color="0000EE"/>
            </w:tcBorders>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60" w:type="dxa"/>
            <w:vAlign w:val="bottom"/>
            <w:gridSpan w:val="5"/>
          </w:tcPr>
          <w:p>
            <w:pPr>
              <w:ind w:left="520"/>
              <w:spacing w:after="0"/>
              <w:rPr>
                <w:sz w:val="20"/>
                <w:szCs w:val="20"/>
                <w:color w:val="auto"/>
              </w:rPr>
            </w:pPr>
            <w:r>
              <w:rPr>
                <w:rFonts w:ascii="Arial" w:cs="Arial" w:eastAsia="Arial" w:hAnsi="Arial"/>
                <w:sz w:val="12"/>
                <w:szCs w:val="12"/>
                <w:b w:val="1"/>
                <w:bCs w:val="1"/>
                <w:color w:val="auto"/>
              </w:rPr>
              <w:t>Table of Contents</w:t>
            </w: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840" w:type="dxa"/>
            <w:vAlign w:val="bottom"/>
            <w:vMerge w:val="restart"/>
          </w:tcPr>
          <w:p>
            <w:pPr>
              <w:spacing w:after="0"/>
              <w:rPr>
                <w:sz w:val="20"/>
                <w:szCs w:val="20"/>
                <w:color w:val="auto"/>
              </w:rPr>
            </w:pPr>
            <w:r>
              <w:rPr>
                <w:rFonts w:ascii="Arial" w:cs="Arial" w:eastAsia="Arial" w:hAnsi="Arial"/>
                <w:sz w:val="12"/>
                <w:szCs w:val="12"/>
                <w:b w:val="1"/>
                <w:bCs w:val="1"/>
                <w:color w:val="auto"/>
              </w:rPr>
              <w:t>PART I</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660" w:type="dxa"/>
            <w:vAlign w:val="bottom"/>
            <w:tcBorders>
              <w:bottom w:val="single" w:sz="8" w:color="auto"/>
            </w:tcBorders>
          </w:tcPr>
          <w:p>
            <w:pPr>
              <w:jc w:val="right"/>
              <w:ind w:right="181"/>
              <w:spacing w:after="0"/>
              <w:rPr>
                <w:sz w:val="20"/>
                <w:szCs w:val="20"/>
                <w:color w:val="auto"/>
              </w:rPr>
            </w:pPr>
            <w:r>
              <w:rPr>
                <w:rFonts w:ascii="Arial" w:cs="Arial" w:eastAsia="Arial" w:hAnsi="Arial"/>
                <w:sz w:val="10"/>
                <w:szCs w:val="10"/>
                <w:b w:val="1"/>
                <w:bCs w:val="1"/>
                <w:color w:val="auto"/>
              </w:rPr>
              <w:t>Page</w:t>
            </w:r>
          </w:p>
        </w:tc>
        <w:tc>
          <w:tcPr>
            <w:tcW w:w="0" w:type="dxa"/>
            <w:vAlign w:val="bottom"/>
          </w:tcPr>
          <w:p>
            <w:pPr>
              <w:spacing w:after="0"/>
              <w:rPr>
                <w:sz w:val="1"/>
                <w:szCs w:val="1"/>
                <w:color w:val="auto"/>
              </w:rPr>
            </w:pPr>
          </w:p>
        </w:tc>
      </w:tr>
      <w:tr>
        <w:trPr>
          <w:trHeight w:val="142"/>
        </w:trPr>
        <w:tc>
          <w:tcPr>
            <w:tcW w:w="8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840" w:type="dxa"/>
            <w:vAlign w:val="bottom"/>
          </w:tcPr>
          <w:p>
            <w:pPr>
              <w:ind w:left="80"/>
              <w:spacing w:after="0" w:line="126" w:lineRule="exact"/>
              <w:rPr>
                <w:sz w:val="20"/>
                <w:szCs w:val="20"/>
                <w:color w:val="auto"/>
              </w:rPr>
            </w:pPr>
            <w:r>
              <w:rPr>
                <w:rFonts w:ascii="Arial" w:cs="Arial" w:eastAsia="Arial" w:hAnsi="Arial"/>
                <w:sz w:val="12"/>
                <w:szCs w:val="12"/>
                <w:color w:val="auto"/>
              </w:rPr>
              <w:t>Item 1.</w:t>
            </w:r>
          </w:p>
        </w:tc>
        <w:tc>
          <w:tcPr>
            <w:tcW w:w="280" w:type="dxa"/>
            <w:vAlign w:val="bottom"/>
          </w:tcPr>
          <w:p>
            <w:pPr>
              <w:spacing w:after="0"/>
              <w:rPr>
                <w:sz w:val="10"/>
                <w:szCs w:val="10"/>
                <w:color w:val="auto"/>
              </w:rPr>
            </w:pPr>
          </w:p>
        </w:tc>
        <w:tc>
          <w:tcPr>
            <w:tcW w:w="440" w:type="dxa"/>
            <w:vAlign w:val="bottom"/>
            <w:tcBorders>
              <w:bottom w:val="single" w:sz="8" w:color="0000EE"/>
            </w:tcBorders>
          </w:tcPr>
          <w:p>
            <w:pPr>
              <w:spacing w:after="0" w:line="126" w:lineRule="exact"/>
              <w:rPr>
                <w:rFonts w:ascii="Arial" w:cs="Arial" w:eastAsia="Arial" w:hAnsi="Arial"/>
                <w:sz w:val="12"/>
                <w:szCs w:val="12"/>
                <w:color w:val="0000EE"/>
                <w:w w:val="86"/>
              </w:rPr>
            </w:pPr>
            <w:hyperlink w:anchor="page5">
              <w:r>
                <w:rPr>
                  <w:rFonts w:ascii="Arial" w:cs="Arial" w:eastAsia="Arial" w:hAnsi="Arial"/>
                  <w:sz w:val="12"/>
                  <w:szCs w:val="12"/>
                  <w:color w:val="0000EE"/>
                  <w:w w:val="86"/>
                </w:rPr>
                <w:t>Business</w:t>
              </w:r>
            </w:hyperlink>
          </w:p>
        </w:tc>
        <w:tc>
          <w:tcPr>
            <w:tcW w:w="9260" w:type="dxa"/>
            <w:vAlign w:val="bottom"/>
            <w:gridSpan w:val="20"/>
          </w:tcPr>
          <w:p>
            <w:pPr>
              <w:spacing w:after="0"/>
              <w:rPr>
                <w:sz w:val="10"/>
                <w:szCs w:val="10"/>
                <w:color w:val="auto"/>
              </w:rPr>
            </w:pPr>
          </w:p>
        </w:tc>
        <w:tc>
          <w:tcPr>
            <w:tcW w:w="660" w:type="dxa"/>
            <w:vAlign w:val="bottom"/>
          </w:tcPr>
          <w:p>
            <w:pPr>
              <w:jc w:val="right"/>
              <w:spacing w:after="0" w:line="126" w:lineRule="exact"/>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133"/>
        </w:trPr>
        <w:tc>
          <w:tcPr>
            <w:tcW w:w="840" w:type="dxa"/>
            <w:vAlign w:val="bottom"/>
          </w:tcPr>
          <w:p>
            <w:pPr>
              <w:ind w:left="80"/>
              <w:spacing w:after="0" w:line="133" w:lineRule="exact"/>
              <w:rPr>
                <w:sz w:val="20"/>
                <w:szCs w:val="20"/>
                <w:color w:val="auto"/>
              </w:rPr>
            </w:pPr>
            <w:r>
              <w:rPr>
                <w:rFonts w:ascii="Arial" w:cs="Arial" w:eastAsia="Arial" w:hAnsi="Arial"/>
                <w:sz w:val="12"/>
                <w:szCs w:val="12"/>
                <w:color w:val="auto"/>
              </w:rPr>
              <w:t>Item 1A.</w:t>
            </w:r>
          </w:p>
        </w:tc>
        <w:tc>
          <w:tcPr>
            <w:tcW w:w="280" w:type="dxa"/>
            <w:vAlign w:val="bottom"/>
          </w:tcPr>
          <w:p>
            <w:pPr>
              <w:spacing w:after="0"/>
              <w:rPr>
                <w:sz w:val="11"/>
                <w:szCs w:val="11"/>
                <w:color w:val="auto"/>
              </w:rPr>
            </w:pPr>
          </w:p>
        </w:tc>
        <w:tc>
          <w:tcPr>
            <w:tcW w:w="620" w:type="dxa"/>
            <w:vAlign w:val="bottom"/>
            <w:tcBorders>
              <w:bottom w:val="single" w:sz="8" w:color="0000EE"/>
            </w:tcBorders>
            <w:gridSpan w:val="3"/>
          </w:tcPr>
          <w:p>
            <w:pPr>
              <w:spacing w:after="0" w:line="133" w:lineRule="exact"/>
              <w:rPr>
                <w:rFonts w:ascii="Arial" w:cs="Arial" w:eastAsia="Arial" w:hAnsi="Arial"/>
                <w:sz w:val="12"/>
                <w:szCs w:val="12"/>
                <w:color w:val="0000EE"/>
                <w:w w:val="89"/>
              </w:rPr>
            </w:pPr>
            <w:hyperlink w:anchor="page13">
              <w:r>
                <w:rPr>
                  <w:rFonts w:ascii="Arial" w:cs="Arial" w:eastAsia="Arial" w:hAnsi="Arial"/>
                  <w:sz w:val="12"/>
                  <w:szCs w:val="12"/>
                  <w:color w:val="0000EE"/>
                  <w:w w:val="89"/>
                </w:rPr>
                <w:t>Risk Factors</w:t>
              </w:r>
            </w:hyperlink>
          </w:p>
        </w:tc>
        <w:tc>
          <w:tcPr>
            <w:tcW w:w="9080" w:type="dxa"/>
            <w:vAlign w:val="bottom"/>
            <w:gridSpan w:val="18"/>
          </w:tcPr>
          <w:p>
            <w:pPr>
              <w:spacing w:after="0"/>
              <w:rPr>
                <w:sz w:val="11"/>
                <w:szCs w:val="11"/>
                <w:color w:val="auto"/>
              </w:rPr>
            </w:pPr>
          </w:p>
        </w:tc>
        <w:tc>
          <w:tcPr>
            <w:tcW w:w="660" w:type="dxa"/>
            <w:vAlign w:val="bottom"/>
          </w:tcPr>
          <w:p>
            <w:pPr>
              <w:jc w:val="right"/>
              <w:spacing w:after="0" w:line="133" w:lineRule="exact"/>
              <w:rPr>
                <w:sz w:val="20"/>
                <w:szCs w:val="20"/>
                <w:color w:val="auto"/>
              </w:rPr>
            </w:pPr>
            <w:r>
              <w:rPr>
                <w:rFonts w:ascii="Arial" w:cs="Arial" w:eastAsia="Arial" w:hAnsi="Arial"/>
                <w:sz w:val="12"/>
                <w:szCs w:val="12"/>
                <w:color w:val="auto"/>
              </w:rPr>
              <w:t>13</w:t>
            </w:r>
          </w:p>
        </w:tc>
        <w:tc>
          <w:tcPr>
            <w:tcW w:w="0" w:type="dxa"/>
            <w:vAlign w:val="bottom"/>
          </w:tcPr>
          <w:p>
            <w:pPr>
              <w:spacing w:after="0"/>
              <w:rPr>
                <w:sz w:val="1"/>
                <w:szCs w:val="1"/>
                <w:color w:val="auto"/>
              </w:rPr>
            </w:pPr>
          </w:p>
        </w:tc>
      </w:tr>
      <w:tr>
        <w:trPr>
          <w:trHeight w:val="133"/>
        </w:trPr>
        <w:tc>
          <w:tcPr>
            <w:tcW w:w="840" w:type="dxa"/>
            <w:vAlign w:val="bottom"/>
          </w:tcPr>
          <w:p>
            <w:pPr>
              <w:ind w:left="80"/>
              <w:spacing w:after="0" w:line="133" w:lineRule="exact"/>
              <w:rPr>
                <w:sz w:val="20"/>
                <w:szCs w:val="20"/>
                <w:color w:val="auto"/>
              </w:rPr>
            </w:pPr>
            <w:r>
              <w:rPr>
                <w:rFonts w:ascii="Arial" w:cs="Arial" w:eastAsia="Arial" w:hAnsi="Arial"/>
                <w:sz w:val="12"/>
                <w:szCs w:val="12"/>
                <w:color w:val="auto"/>
              </w:rPr>
              <w:t>Item 1B.</w:t>
            </w:r>
          </w:p>
        </w:tc>
        <w:tc>
          <w:tcPr>
            <w:tcW w:w="280" w:type="dxa"/>
            <w:vAlign w:val="bottom"/>
          </w:tcPr>
          <w:p>
            <w:pPr>
              <w:spacing w:after="0"/>
              <w:rPr>
                <w:sz w:val="11"/>
                <w:szCs w:val="11"/>
                <w:color w:val="auto"/>
              </w:rPr>
            </w:pPr>
          </w:p>
        </w:tc>
        <w:tc>
          <w:tcPr>
            <w:tcW w:w="1380" w:type="dxa"/>
            <w:vAlign w:val="bottom"/>
            <w:tcBorders>
              <w:bottom w:val="single" w:sz="8" w:color="0000EE"/>
            </w:tcBorders>
            <w:gridSpan w:val="10"/>
          </w:tcPr>
          <w:p>
            <w:pPr>
              <w:spacing w:after="0" w:line="133" w:lineRule="exact"/>
              <w:rPr>
                <w:rFonts w:ascii="Arial" w:cs="Arial" w:eastAsia="Arial" w:hAnsi="Arial"/>
                <w:sz w:val="12"/>
                <w:szCs w:val="12"/>
                <w:color w:val="0000EE"/>
                <w:w w:val="90"/>
              </w:rPr>
            </w:pPr>
            <w:hyperlink w:anchor="page19">
              <w:r>
                <w:rPr>
                  <w:rFonts w:ascii="Arial" w:cs="Arial" w:eastAsia="Arial" w:hAnsi="Arial"/>
                  <w:sz w:val="12"/>
                  <w:szCs w:val="12"/>
                  <w:color w:val="0000EE"/>
                  <w:w w:val="90"/>
                </w:rPr>
                <w:t>Unresolved Staff Comments</w:t>
              </w:r>
            </w:hyperlink>
          </w:p>
        </w:tc>
        <w:tc>
          <w:tcPr>
            <w:tcW w:w="8320" w:type="dxa"/>
            <w:vAlign w:val="bottom"/>
            <w:gridSpan w:val="11"/>
          </w:tcPr>
          <w:p>
            <w:pPr>
              <w:spacing w:after="0"/>
              <w:rPr>
                <w:sz w:val="11"/>
                <w:szCs w:val="11"/>
                <w:color w:val="auto"/>
              </w:rPr>
            </w:pPr>
          </w:p>
        </w:tc>
        <w:tc>
          <w:tcPr>
            <w:tcW w:w="660" w:type="dxa"/>
            <w:vAlign w:val="bottom"/>
          </w:tcPr>
          <w:p>
            <w:pPr>
              <w:jc w:val="right"/>
              <w:spacing w:after="0" w:line="133" w:lineRule="exact"/>
              <w:rPr>
                <w:sz w:val="20"/>
                <w:szCs w:val="20"/>
                <w:color w:val="auto"/>
              </w:rPr>
            </w:pPr>
            <w:r>
              <w:rPr>
                <w:rFonts w:ascii="Arial" w:cs="Arial" w:eastAsia="Arial" w:hAnsi="Arial"/>
                <w:sz w:val="12"/>
                <w:szCs w:val="12"/>
                <w:color w:val="auto"/>
              </w:rPr>
              <w:t>19</w:t>
            </w:r>
          </w:p>
        </w:tc>
        <w:tc>
          <w:tcPr>
            <w:tcW w:w="0" w:type="dxa"/>
            <w:vAlign w:val="bottom"/>
          </w:tcPr>
          <w:p>
            <w:pPr>
              <w:spacing w:after="0"/>
              <w:rPr>
                <w:sz w:val="1"/>
                <w:szCs w:val="1"/>
                <w:color w:val="auto"/>
              </w:rPr>
            </w:pPr>
          </w:p>
        </w:tc>
      </w:tr>
      <w:tr>
        <w:trPr>
          <w:trHeight w:val="133"/>
        </w:trPr>
        <w:tc>
          <w:tcPr>
            <w:tcW w:w="840" w:type="dxa"/>
            <w:vAlign w:val="bottom"/>
          </w:tcPr>
          <w:p>
            <w:pPr>
              <w:ind w:left="80"/>
              <w:spacing w:after="0" w:line="133" w:lineRule="exact"/>
              <w:rPr>
                <w:sz w:val="20"/>
                <w:szCs w:val="20"/>
                <w:color w:val="auto"/>
              </w:rPr>
            </w:pPr>
            <w:r>
              <w:rPr>
                <w:rFonts w:ascii="Arial" w:cs="Arial" w:eastAsia="Arial" w:hAnsi="Arial"/>
                <w:sz w:val="12"/>
                <w:szCs w:val="12"/>
                <w:color w:val="auto"/>
              </w:rPr>
              <w:t>Item 2.</w:t>
            </w:r>
          </w:p>
        </w:tc>
        <w:tc>
          <w:tcPr>
            <w:tcW w:w="280" w:type="dxa"/>
            <w:vAlign w:val="bottom"/>
          </w:tcPr>
          <w:p>
            <w:pPr>
              <w:spacing w:after="0"/>
              <w:rPr>
                <w:sz w:val="11"/>
                <w:szCs w:val="11"/>
                <w:color w:val="auto"/>
              </w:rPr>
            </w:pPr>
          </w:p>
        </w:tc>
        <w:tc>
          <w:tcPr>
            <w:tcW w:w="500" w:type="dxa"/>
            <w:vAlign w:val="bottom"/>
            <w:tcBorders>
              <w:bottom w:val="single" w:sz="8" w:color="0000EE"/>
            </w:tcBorders>
            <w:gridSpan w:val="2"/>
          </w:tcPr>
          <w:p>
            <w:pPr>
              <w:spacing w:after="0" w:line="133" w:lineRule="exact"/>
              <w:rPr>
                <w:rFonts w:ascii="Arial" w:cs="Arial" w:eastAsia="Arial" w:hAnsi="Arial"/>
                <w:sz w:val="12"/>
                <w:szCs w:val="12"/>
                <w:color w:val="0000EE"/>
                <w:w w:val="87"/>
              </w:rPr>
            </w:pPr>
            <w:hyperlink w:anchor="page20">
              <w:r>
                <w:rPr>
                  <w:rFonts w:ascii="Arial" w:cs="Arial" w:eastAsia="Arial" w:hAnsi="Arial"/>
                  <w:sz w:val="12"/>
                  <w:szCs w:val="12"/>
                  <w:color w:val="0000EE"/>
                  <w:w w:val="87"/>
                </w:rPr>
                <w:t>Properties</w:t>
              </w:r>
            </w:hyperlink>
          </w:p>
        </w:tc>
        <w:tc>
          <w:tcPr>
            <w:tcW w:w="9200" w:type="dxa"/>
            <w:vAlign w:val="bottom"/>
            <w:gridSpan w:val="19"/>
          </w:tcPr>
          <w:p>
            <w:pPr>
              <w:spacing w:after="0"/>
              <w:rPr>
                <w:sz w:val="11"/>
                <w:szCs w:val="11"/>
                <w:color w:val="auto"/>
              </w:rPr>
            </w:pPr>
          </w:p>
        </w:tc>
        <w:tc>
          <w:tcPr>
            <w:tcW w:w="660" w:type="dxa"/>
            <w:vAlign w:val="bottom"/>
          </w:tcPr>
          <w:p>
            <w:pPr>
              <w:jc w:val="right"/>
              <w:spacing w:after="0" w:line="133" w:lineRule="exact"/>
              <w:rPr>
                <w:sz w:val="20"/>
                <w:szCs w:val="20"/>
                <w:color w:val="auto"/>
              </w:rPr>
            </w:pPr>
            <w:r>
              <w:rPr>
                <w:rFonts w:ascii="Arial" w:cs="Arial" w:eastAsia="Arial" w:hAnsi="Arial"/>
                <w:sz w:val="12"/>
                <w:szCs w:val="12"/>
                <w:color w:val="auto"/>
              </w:rPr>
              <w:t>20</w:t>
            </w:r>
          </w:p>
        </w:tc>
        <w:tc>
          <w:tcPr>
            <w:tcW w:w="0" w:type="dxa"/>
            <w:vAlign w:val="bottom"/>
          </w:tcPr>
          <w:p>
            <w:pPr>
              <w:spacing w:after="0"/>
              <w:rPr>
                <w:sz w:val="1"/>
                <w:szCs w:val="1"/>
                <w:color w:val="auto"/>
              </w:rPr>
            </w:pPr>
          </w:p>
        </w:tc>
      </w:tr>
      <w:tr>
        <w:trPr>
          <w:trHeight w:val="133"/>
        </w:trPr>
        <w:tc>
          <w:tcPr>
            <w:tcW w:w="840" w:type="dxa"/>
            <w:vAlign w:val="bottom"/>
          </w:tcPr>
          <w:p>
            <w:pPr>
              <w:ind w:left="80"/>
              <w:spacing w:after="0" w:line="133" w:lineRule="exact"/>
              <w:rPr>
                <w:sz w:val="20"/>
                <w:szCs w:val="20"/>
                <w:color w:val="auto"/>
              </w:rPr>
            </w:pPr>
            <w:r>
              <w:rPr>
                <w:rFonts w:ascii="Arial" w:cs="Arial" w:eastAsia="Arial" w:hAnsi="Arial"/>
                <w:sz w:val="12"/>
                <w:szCs w:val="12"/>
                <w:color w:val="auto"/>
              </w:rPr>
              <w:t>Item 3.</w:t>
            </w:r>
          </w:p>
        </w:tc>
        <w:tc>
          <w:tcPr>
            <w:tcW w:w="280" w:type="dxa"/>
            <w:vAlign w:val="bottom"/>
          </w:tcPr>
          <w:p>
            <w:pPr>
              <w:spacing w:after="0"/>
              <w:rPr>
                <w:sz w:val="11"/>
                <w:szCs w:val="11"/>
                <w:color w:val="auto"/>
              </w:rPr>
            </w:pPr>
          </w:p>
        </w:tc>
        <w:tc>
          <w:tcPr>
            <w:tcW w:w="900" w:type="dxa"/>
            <w:vAlign w:val="bottom"/>
            <w:tcBorders>
              <w:bottom w:val="single" w:sz="8" w:color="0000EE"/>
            </w:tcBorders>
            <w:gridSpan w:val="5"/>
          </w:tcPr>
          <w:p>
            <w:pPr>
              <w:spacing w:after="0" w:line="133" w:lineRule="exact"/>
              <w:rPr>
                <w:rFonts w:ascii="Arial" w:cs="Arial" w:eastAsia="Arial" w:hAnsi="Arial"/>
                <w:sz w:val="12"/>
                <w:szCs w:val="12"/>
                <w:color w:val="0000EE"/>
                <w:w w:val="88"/>
              </w:rPr>
            </w:pPr>
            <w:hyperlink w:anchor="page21">
              <w:r>
                <w:rPr>
                  <w:rFonts w:ascii="Arial" w:cs="Arial" w:eastAsia="Arial" w:hAnsi="Arial"/>
                  <w:sz w:val="12"/>
                  <w:szCs w:val="12"/>
                  <w:color w:val="0000EE"/>
                  <w:w w:val="88"/>
                </w:rPr>
                <w:t>Legal Proceedings</w:t>
              </w:r>
            </w:hyperlink>
          </w:p>
        </w:tc>
        <w:tc>
          <w:tcPr>
            <w:tcW w:w="8800" w:type="dxa"/>
            <w:vAlign w:val="bottom"/>
            <w:gridSpan w:val="16"/>
          </w:tcPr>
          <w:p>
            <w:pPr>
              <w:spacing w:after="0"/>
              <w:rPr>
                <w:sz w:val="11"/>
                <w:szCs w:val="11"/>
                <w:color w:val="auto"/>
              </w:rPr>
            </w:pPr>
          </w:p>
        </w:tc>
        <w:tc>
          <w:tcPr>
            <w:tcW w:w="660" w:type="dxa"/>
            <w:vAlign w:val="bottom"/>
          </w:tcPr>
          <w:p>
            <w:pPr>
              <w:jc w:val="right"/>
              <w:spacing w:after="0" w:line="133" w:lineRule="exact"/>
              <w:rPr>
                <w:sz w:val="20"/>
                <w:szCs w:val="20"/>
                <w:color w:val="auto"/>
              </w:rPr>
            </w:pPr>
            <w:r>
              <w:rPr>
                <w:rFonts w:ascii="Arial" w:cs="Arial" w:eastAsia="Arial" w:hAnsi="Arial"/>
                <w:sz w:val="12"/>
                <w:szCs w:val="12"/>
                <w:color w:val="auto"/>
              </w:rPr>
              <w:t>21</w:t>
            </w:r>
          </w:p>
        </w:tc>
        <w:tc>
          <w:tcPr>
            <w:tcW w:w="0" w:type="dxa"/>
            <w:vAlign w:val="bottom"/>
          </w:tcPr>
          <w:p>
            <w:pPr>
              <w:spacing w:after="0"/>
              <w:rPr>
                <w:sz w:val="1"/>
                <w:szCs w:val="1"/>
                <w:color w:val="auto"/>
              </w:rPr>
            </w:pPr>
          </w:p>
        </w:tc>
      </w:tr>
      <w:tr>
        <w:trPr>
          <w:trHeight w:val="133"/>
        </w:trPr>
        <w:tc>
          <w:tcPr>
            <w:tcW w:w="840" w:type="dxa"/>
            <w:vAlign w:val="bottom"/>
          </w:tcPr>
          <w:p>
            <w:pPr>
              <w:ind w:left="80"/>
              <w:spacing w:after="0" w:line="133" w:lineRule="exact"/>
              <w:rPr>
                <w:sz w:val="20"/>
                <w:szCs w:val="20"/>
                <w:color w:val="auto"/>
              </w:rPr>
            </w:pPr>
            <w:r>
              <w:rPr>
                <w:rFonts w:ascii="Arial" w:cs="Arial" w:eastAsia="Arial" w:hAnsi="Arial"/>
                <w:sz w:val="12"/>
                <w:szCs w:val="12"/>
                <w:color w:val="auto"/>
              </w:rPr>
              <w:t>Item 4.</w:t>
            </w:r>
          </w:p>
        </w:tc>
        <w:tc>
          <w:tcPr>
            <w:tcW w:w="280" w:type="dxa"/>
            <w:vAlign w:val="bottom"/>
          </w:tcPr>
          <w:p>
            <w:pPr>
              <w:spacing w:after="0"/>
              <w:rPr>
                <w:sz w:val="11"/>
                <w:szCs w:val="11"/>
                <w:color w:val="auto"/>
              </w:rPr>
            </w:pPr>
          </w:p>
        </w:tc>
        <w:tc>
          <w:tcPr>
            <w:tcW w:w="9700" w:type="dxa"/>
            <w:vAlign w:val="bottom"/>
            <w:gridSpan w:val="21"/>
          </w:tcPr>
          <w:p>
            <w:pPr>
              <w:spacing w:after="0" w:line="133" w:lineRule="exact"/>
              <w:rPr>
                <w:rFonts w:ascii="Arial" w:cs="Arial" w:eastAsia="Arial" w:hAnsi="Arial"/>
                <w:sz w:val="12"/>
                <w:szCs w:val="12"/>
                <w:color w:val="0000EE"/>
              </w:rPr>
            </w:pPr>
            <w:hyperlink w:anchor="page22">
              <w:r>
                <w:rPr>
                  <w:rFonts w:ascii="Arial" w:cs="Arial" w:eastAsia="Arial" w:hAnsi="Arial"/>
                  <w:sz w:val="12"/>
                  <w:szCs w:val="12"/>
                  <w:color w:val="0000EE"/>
                </w:rPr>
                <w:t>Mine Safety Disclosures</w:t>
              </w:r>
            </w:hyperlink>
          </w:p>
        </w:tc>
        <w:tc>
          <w:tcPr>
            <w:tcW w:w="660" w:type="dxa"/>
            <w:vAlign w:val="bottom"/>
          </w:tcPr>
          <w:p>
            <w:pPr>
              <w:jc w:val="right"/>
              <w:spacing w:after="0" w:line="133" w:lineRule="exact"/>
              <w:rPr>
                <w:sz w:val="20"/>
                <w:szCs w:val="20"/>
                <w:color w:val="auto"/>
              </w:rPr>
            </w:pPr>
            <w:r>
              <w:rPr>
                <w:rFonts w:ascii="Arial" w:cs="Arial" w:eastAsia="Arial" w:hAnsi="Arial"/>
                <w:sz w:val="12"/>
                <w:szCs w:val="12"/>
                <w:color w:val="auto"/>
              </w:rPr>
              <w:t>22</w:t>
            </w:r>
          </w:p>
        </w:tc>
        <w:tc>
          <w:tcPr>
            <w:tcW w:w="0" w:type="dxa"/>
            <w:vAlign w:val="bottom"/>
          </w:tcPr>
          <w:p>
            <w:pPr>
              <w:spacing w:after="0"/>
              <w:rPr>
                <w:sz w:val="1"/>
                <w:szCs w:val="1"/>
                <w:color w:val="auto"/>
              </w:rPr>
            </w:pPr>
          </w:p>
        </w:tc>
      </w:tr>
      <w:tr>
        <w:trPr>
          <w:trHeight w:val="250"/>
        </w:trPr>
        <w:tc>
          <w:tcPr>
            <w:tcW w:w="840" w:type="dxa"/>
            <w:vAlign w:val="bottom"/>
          </w:tcPr>
          <w:p>
            <w:pPr>
              <w:spacing w:after="0"/>
              <w:rPr>
                <w:sz w:val="20"/>
                <w:szCs w:val="20"/>
                <w:color w:val="auto"/>
              </w:rPr>
            </w:pPr>
            <w:r>
              <w:rPr>
                <w:rFonts w:ascii="Arial" w:cs="Arial" w:eastAsia="Arial" w:hAnsi="Arial"/>
                <w:sz w:val="12"/>
                <w:szCs w:val="12"/>
                <w:b w:val="1"/>
                <w:bCs w:val="1"/>
                <w:color w:val="auto"/>
              </w:rPr>
              <w:t>PART II</w:t>
            </w:r>
          </w:p>
        </w:tc>
        <w:tc>
          <w:tcPr>
            <w:tcW w:w="280" w:type="dxa"/>
            <w:vAlign w:val="bottom"/>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26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6"/>
        </w:trPr>
        <w:tc>
          <w:tcPr>
            <w:tcW w:w="840" w:type="dxa"/>
            <w:vAlign w:val="bottom"/>
          </w:tcPr>
          <w:p>
            <w:pPr>
              <w:ind w:left="80"/>
              <w:spacing w:after="0" w:line="126" w:lineRule="exact"/>
              <w:rPr>
                <w:sz w:val="20"/>
                <w:szCs w:val="20"/>
                <w:color w:val="auto"/>
              </w:rPr>
            </w:pPr>
            <w:r>
              <w:rPr>
                <w:rFonts w:ascii="Arial" w:cs="Arial" w:eastAsia="Arial" w:hAnsi="Arial"/>
                <w:sz w:val="12"/>
                <w:szCs w:val="12"/>
                <w:color w:val="auto"/>
              </w:rPr>
              <w:t>Item 5.</w:t>
            </w:r>
          </w:p>
        </w:tc>
        <w:tc>
          <w:tcPr>
            <w:tcW w:w="280" w:type="dxa"/>
            <w:vAlign w:val="bottom"/>
          </w:tcPr>
          <w:p>
            <w:pPr>
              <w:spacing w:after="0"/>
              <w:rPr>
                <w:sz w:val="10"/>
                <w:szCs w:val="10"/>
                <w:color w:val="auto"/>
              </w:rPr>
            </w:pPr>
          </w:p>
        </w:tc>
        <w:tc>
          <w:tcPr>
            <w:tcW w:w="5400" w:type="dxa"/>
            <w:vAlign w:val="bottom"/>
            <w:tcBorders>
              <w:bottom w:val="single" w:sz="8" w:color="0000EE"/>
            </w:tcBorders>
            <w:gridSpan w:val="20"/>
          </w:tcPr>
          <w:p>
            <w:pPr>
              <w:spacing w:after="0" w:line="126" w:lineRule="exact"/>
              <w:rPr>
                <w:rFonts w:ascii="Arial" w:cs="Arial" w:eastAsia="Arial" w:hAnsi="Arial"/>
                <w:sz w:val="12"/>
                <w:szCs w:val="12"/>
                <w:color w:val="0000EE"/>
                <w:w w:val="90"/>
              </w:rPr>
            </w:pPr>
            <w:hyperlink w:anchor="page23">
              <w:r>
                <w:rPr>
                  <w:rFonts w:ascii="Arial" w:cs="Arial" w:eastAsia="Arial" w:hAnsi="Arial"/>
                  <w:sz w:val="12"/>
                  <w:szCs w:val="12"/>
                  <w:color w:val="0000EE"/>
                  <w:w w:val="90"/>
                </w:rPr>
                <w:t>Market for Registrant’s Common Equity, Related Stockholder Matters and Issuer Purchases of Equity Securities</w:t>
              </w:r>
            </w:hyperlink>
          </w:p>
        </w:tc>
        <w:tc>
          <w:tcPr>
            <w:tcW w:w="4300" w:type="dxa"/>
            <w:vAlign w:val="bottom"/>
          </w:tcPr>
          <w:p>
            <w:pPr>
              <w:spacing w:after="0"/>
              <w:rPr>
                <w:sz w:val="10"/>
                <w:szCs w:val="10"/>
                <w:color w:val="auto"/>
              </w:rPr>
            </w:pPr>
          </w:p>
        </w:tc>
        <w:tc>
          <w:tcPr>
            <w:tcW w:w="660" w:type="dxa"/>
            <w:vAlign w:val="bottom"/>
          </w:tcPr>
          <w:p>
            <w:pPr>
              <w:jc w:val="right"/>
              <w:spacing w:after="0" w:line="126" w:lineRule="exact"/>
              <w:rPr>
                <w:sz w:val="20"/>
                <w:szCs w:val="20"/>
                <w:color w:val="auto"/>
              </w:rPr>
            </w:pPr>
            <w:r>
              <w:rPr>
                <w:rFonts w:ascii="Arial" w:cs="Arial" w:eastAsia="Arial" w:hAnsi="Arial"/>
                <w:sz w:val="12"/>
                <w:szCs w:val="12"/>
                <w:color w:val="auto"/>
              </w:rPr>
              <w:t>23</w:t>
            </w:r>
          </w:p>
        </w:tc>
        <w:tc>
          <w:tcPr>
            <w:tcW w:w="0" w:type="dxa"/>
            <w:vAlign w:val="bottom"/>
          </w:tcPr>
          <w:p>
            <w:pPr>
              <w:spacing w:after="0"/>
              <w:rPr>
                <w:sz w:val="1"/>
                <w:szCs w:val="1"/>
                <w:color w:val="auto"/>
              </w:rPr>
            </w:pPr>
          </w:p>
        </w:tc>
      </w:tr>
      <w:tr>
        <w:trPr>
          <w:trHeight w:val="133"/>
        </w:trPr>
        <w:tc>
          <w:tcPr>
            <w:tcW w:w="840" w:type="dxa"/>
            <w:vAlign w:val="bottom"/>
          </w:tcPr>
          <w:p>
            <w:pPr>
              <w:ind w:left="80"/>
              <w:spacing w:after="0" w:line="133" w:lineRule="exact"/>
              <w:rPr>
                <w:sz w:val="20"/>
                <w:szCs w:val="20"/>
                <w:color w:val="auto"/>
              </w:rPr>
            </w:pPr>
            <w:r>
              <w:rPr>
                <w:rFonts w:ascii="Arial" w:cs="Arial" w:eastAsia="Arial" w:hAnsi="Arial"/>
                <w:sz w:val="12"/>
                <w:szCs w:val="12"/>
                <w:color w:val="auto"/>
              </w:rPr>
              <w:t>Item 6.</w:t>
            </w:r>
          </w:p>
        </w:tc>
        <w:tc>
          <w:tcPr>
            <w:tcW w:w="280" w:type="dxa"/>
            <w:vAlign w:val="bottom"/>
          </w:tcPr>
          <w:p>
            <w:pPr>
              <w:spacing w:after="0"/>
              <w:rPr>
                <w:sz w:val="11"/>
                <w:szCs w:val="11"/>
                <w:color w:val="auto"/>
              </w:rPr>
            </w:pPr>
          </w:p>
        </w:tc>
        <w:tc>
          <w:tcPr>
            <w:tcW w:w="9700" w:type="dxa"/>
            <w:vAlign w:val="bottom"/>
            <w:gridSpan w:val="21"/>
          </w:tcPr>
          <w:p>
            <w:pPr>
              <w:spacing w:after="0" w:line="133" w:lineRule="exact"/>
              <w:rPr>
                <w:rFonts w:ascii="Arial" w:cs="Arial" w:eastAsia="Arial" w:hAnsi="Arial"/>
                <w:sz w:val="12"/>
                <w:szCs w:val="12"/>
                <w:color w:val="0000EE"/>
              </w:rPr>
            </w:pPr>
            <w:hyperlink w:anchor="page25">
              <w:r>
                <w:rPr>
                  <w:rFonts w:ascii="Arial" w:cs="Arial" w:eastAsia="Arial" w:hAnsi="Arial"/>
                  <w:sz w:val="12"/>
                  <w:szCs w:val="12"/>
                  <w:color w:val="0000EE"/>
                </w:rPr>
                <w:t>Selected Financial Data</w:t>
              </w:r>
            </w:hyperlink>
          </w:p>
        </w:tc>
        <w:tc>
          <w:tcPr>
            <w:tcW w:w="660" w:type="dxa"/>
            <w:vAlign w:val="bottom"/>
          </w:tcPr>
          <w:p>
            <w:pPr>
              <w:jc w:val="right"/>
              <w:spacing w:after="0" w:line="133" w:lineRule="exact"/>
              <w:rPr>
                <w:sz w:val="20"/>
                <w:szCs w:val="20"/>
                <w:color w:val="auto"/>
              </w:rPr>
            </w:pPr>
            <w:r>
              <w:rPr>
                <w:rFonts w:ascii="Arial" w:cs="Arial" w:eastAsia="Arial" w:hAnsi="Arial"/>
                <w:sz w:val="12"/>
                <w:szCs w:val="12"/>
                <w:color w:val="auto"/>
              </w:rPr>
              <w:t>25</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840" w:type="dxa"/>
            <w:vAlign w:val="bottom"/>
          </w:tcPr>
          <w:p>
            <w:pPr>
              <w:ind w:left="80"/>
              <w:spacing w:after="0" w:line="133" w:lineRule="exact"/>
              <w:rPr>
                <w:sz w:val="20"/>
                <w:szCs w:val="20"/>
                <w:color w:val="auto"/>
              </w:rPr>
            </w:pPr>
            <w:r>
              <w:rPr>
                <w:rFonts w:ascii="Arial" w:cs="Arial" w:eastAsia="Arial" w:hAnsi="Arial"/>
                <w:sz w:val="12"/>
                <w:szCs w:val="12"/>
                <w:color w:val="auto"/>
              </w:rPr>
              <w:t>Item 7.</w:t>
            </w:r>
          </w:p>
        </w:tc>
        <w:tc>
          <w:tcPr>
            <w:tcW w:w="280" w:type="dxa"/>
            <w:vAlign w:val="bottom"/>
          </w:tcPr>
          <w:p>
            <w:pPr>
              <w:spacing w:after="0"/>
              <w:rPr>
                <w:sz w:val="11"/>
                <w:szCs w:val="11"/>
                <w:color w:val="auto"/>
              </w:rPr>
            </w:pPr>
          </w:p>
        </w:tc>
        <w:tc>
          <w:tcPr>
            <w:tcW w:w="4320" w:type="dxa"/>
            <w:vAlign w:val="bottom"/>
            <w:tcBorders>
              <w:bottom w:val="single" w:sz="8" w:color="0000EE"/>
            </w:tcBorders>
            <w:gridSpan w:val="17"/>
          </w:tcPr>
          <w:p>
            <w:pPr>
              <w:spacing w:after="0" w:line="133" w:lineRule="exact"/>
              <w:rPr>
                <w:rFonts w:ascii="Arial" w:cs="Arial" w:eastAsia="Arial" w:hAnsi="Arial"/>
                <w:sz w:val="12"/>
                <w:szCs w:val="12"/>
                <w:color w:val="0000EE"/>
                <w:w w:val="91"/>
              </w:rPr>
            </w:pPr>
            <w:hyperlink w:anchor="page27">
              <w:r>
                <w:rPr>
                  <w:rFonts w:ascii="Arial" w:cs="Arial" w:eastAsia="Arial" w:hAnsi="Arial"/>
                  <w:sz w:val="12"/>
                  <w:szCs w:val="12"/>
                  <w:color w:val="0000EE"/>
                  <w:w w:val="91"/>
                </w:rPr>
                <w:t>Management’s Discussion and Analysis of Financial Condition and Results of Operations</w:t>
              </w:r>
            </w:hyperlink>
          </w:p>
        </w:tc>
        <w:tc>
          <w:tcPr>
            <w:tcW w:w="5380" w:type="dxa"/>
            <w:vAlign w:val="bottom"/>
            <w:gridSpan w:val="4"/>
          </w:tcPr>
          <w:p>
            <w:pPr>
              <w:spacing w:after="0"/>
              <w:rPr>
                <w:sz w:val="11"/>
                <w:szCs w:val="11"/>
                <w:color w:val="auto"/>
              </w:rPr>
            </w:pPr>
          </w:p>
        </w:tc>
        <w:tc>
          <w:tcPr>
            <w:tcW w:w="660" w:type="dxa"/>
            <w:vAlign w:val="bottom"/>
          </w:tcPr>
          <w:p>
            <w:pPr>
              <w:jc w:val="right"/>
              <w:spacing w:after="0" w:line="133" w:lineRule="exact"/>
              <w:rPr>
                <w:sz w:val="20"/>
                <w:szCs w:val="20"/>
                <w:color w:val="auto"/>
              </w:rPr>
            </w:pPr>
            <w:r>
              <w:rPr>
                <w:rFonts w:ascii="Arial" w:cs="Arial" w:eastAsia="Arial" w:hAnsi="Arial"/>
                <w:sz w:val="12"/>
                <w:szCs w:val="12"/>
                <w:color w:val="auto"/>
              </w:rPr>
              <w:t>27</w:t>
            </w:r>
          </w:p>
        </w:tc>
        <w:tc>
          <w:tcPr>
            <w:tcW w:w="0" w:type="dxa"/>
            <w:vAlign w:val="bottom"/>
          </w:tcPr>
          <w:p>
            <w:pPr>
              <w:spacing w:after="0"/>
              <w:rPr>
                <w:sz w:val="1"/>
                <w:szCs w:val="1"/>
                <w:color w:val="auto"/>
              </w:rPr>
            </w:pPr>
          </w:p>
        </w:tc>
      </w:tr>
      <w:tr>
        <w:trPr>
          <w:trHeight w:val="133"/>
        </w:trPr>
        <w:tc>
          <w:tcPr>
            <w:tcW w:w="840" w:type="dxa"/>
            <w:vAlign w:val="bottom"/>
          </w:tcPr>
          <w:p>
            <w:pPr>
              <w:ind w:left="80"/>
              <w:spacing w:after="0" w:line="133" w:lineRule="exact"/>
              <w:rPr>
                <w:sz w:val="20"/>
                <w:szCs w:val="20"/>
                <w:color w:val="auto"/>
              </w:rPr>
            </w:pPr>
            <w:r>
              <w:rPr>
                <w:rFonts w:ascii="Arial" w:cs="Arial" w:eastAsia="Arial" w:hAnsi="Arial"/>
                <w:sz w:val="12"/>
                <w:szCs w:val="12"/>
                <w:color w:val="auto"/>
              </w:rPr>
              <w:t>Item 7A.</w:t>
            </w:r>
          </w:p>
        </w:tc>
        <w:tc>
          <w:tcPr>
            <w:tcW w:w="280" w:type="dxa"/>
            <w:vAlign w:val="bottom"/>
          </w:tcPr>
          <w:p>
            <w:pPr>
              <w:spacing w:after="0"/>
              <w:rPr>
                <w:sz w:val="11"/>
                <w:szCs w:val="11"/>
                <w:color w:val="auto"/>
              </w:rPr>
            </w:pPr>
          </w:p>
        </w:tc>
        <w:tc>
          <w:tcPr>
            <w:tcW w:w="2920" w:type="dxa"/>
            <w:vAlign w:val="bottom"/>
            <w:tcBorders>
              <w:bottom w:val="single" w:sz="8" w:color="0000EE"/>
            </w:tcBorders>
            <w:gridSpan w:val="15"/>
          </w:tcPr>
          <w:p>
            <w:pPr>
              <w:spacing w:after="0" w:line="133" w:lineRule="exact"/>
              <w:rPr>
                <w:rFonts w:ascii="Arial" w:cs="Arial" w:eastAsia="Arial" w:hAnsi="Arial"/>
                <w:sz w:val="12"/>
                <w:szCs w:val="12"/>
                <w:color w:val="0000EE"/>
                <w:w w:val="92"/>
              </w:rPr>
            </w:pPr>
            <w:hyperlink w:anchor="page46">
              <w:r>
                <w:rPr>
                  <w:rFonts w:ascii="Arial" w:cs="Arial" w:eastAsia="Arial" w:hAnsi="Arial"/>
                  <w:sz w:val="12"/>
                  <w:szCs w:val="12"/>
                  <w:color w:val="0000EE"/>
                  <w:w w:val="92"/>
                </w:rPr>
                <w:t>Quantitative and Qualitative Disclosures About Market Risk</w:t>
              </w:r>
            </w:hyperlink>
          </w:p>
        </w:tc>
        <w:tc>
          <w:tcPr>
            <w:tcW w:w="6780" w:type="dxa"/>
            <w:vAlign w:val="bottom"/>
            <w:gridSpan w:val="6"/>
          </w:tcPr>
          <w:p>
            <w:pPr>
              <w:spacing w:after="0"/>
              <w:rPr>
                <w:sz w:val="11"/>
                <w:szCs w:val="11"/>
                <w:color w:val="auto"/>
              </w:rPr>
            </w:pPr>
          </w:p>
        </w:tc>
        <w:tc>
          <w:tcPr>
            <w:tcW w:w="660" w:type="dxa"/>
            <w:vAlign w:val="bottom"/>
          </w:tcPr>
          <w:p>
            <w:pPr>
              <w:jc w:val="right"/>
              <w:spacing w:after="0" w:line="133" w:lineRule="exact"/>
              <w:rPr>
                <w:sz w:val="20"/>
                <w:szCs w:val="20"/>
                <w:color w:val="auto"/>
              </w:rPr>
            </w:pPr>
            <w:r>
              <w:rPr>
                <w:rFonts w:ascii="Arial" w:cs="Arial" w:eastAsia="Arial" w:hAnsi="Arial"/>
                <w:sz w:val="12"/>
                <w:szCs w:val="12"/>
                <w:color w:val="auto"/>
              </w:rPr>
              <w:t>46</w:t>
            </w:r>
          </w:p>
        </w:tc>
        <w:tc>
          <w:tcPr>
            <w:tcW w:w="0" w:type="dxa"/>
            <w:vAlign w:val="bottom"/>
          </w:tcPr>
          <w:p>
            <w:pPr>
              <w:spacing w:after="0"/>
              <w:rPr>
                <w:sz w:val="1"/>
                <w:szCs w:val="1"/>
                <w:color w:val="auto"/>
              </w:rPr>
            </w:pPr>
          </w:p>
        </w:tc>
      </w:tr>
      <w:tr>
        <w:trPr>
          <w:trHeight w:val="133"/>
        </w:trPr>
        <w:tc>
          <w:tcPr>
            <w:tcW w:w="840" w:type="dxa"/>
            <w:vAlign w:val="bottom"/>
          </w:tcPr>
          <w:p>
            <w:pPr>
              <w:ind w:left="80"/>
              <w:spacing w:after="0" w:line="133" w:lineRule="exact"/>
              <w:rPr>
                <w:sz w:val="20"/>
                <w:szCs w:val="20"/>
                <w:color w:val="auto"/>
              </w:rPr>
            </w:pPr>
            <w:r>
              <w:rPr>
                <w:rFonts w:ascii="Arial" w:cs="Arial" w:eastAsia="Arial" w:hAnsi="Arial"/>
                <w:sz w:val="12"/>
                <w:szCs w:val="12"/>
                <w:color w:val="auto"/>
              </w:rPr>
              <w:t>Item 8.</w:t>
            </w:r>
          </w:p>
        </w:tc>
        <w:tc>
          <w:tcPr>
            <w:tcW w:w="280" w:type="dxa"/>
            <w:vAlign w:val="bottom"/>
          </w:tcPr>
          <w:p>
            <w:pPr>
              <w:spacing w:after="0"/>
              <w:rPr>
                <w:sz w:val="11"/>
                <w:szCs w:val="11"/>
                <w:color w:val="auto"/>
              </w:rPr>
            </w:pPr>
          </w:p>
        </w:tc>
        <w:tc>
          <w:tcPr>
            <w:tcW w:w="9700" w:type="dxa"/>
            <w:vAlign w:val="bottom"/>
            <w:gridSpan w:val="21"/>
          </w:tcPr>
          <w:p>
            <w:pPr>
              <w:spacing w:after="0" w:line="133" w:lineRule="exact"/>
              <w:rPr>
                <w:rFonts w:ascii="Arial" w:cs="Arial" w:eastAsia="Arial" w:hAnsi="Arial"/>
                <w:sz w:val="12"/>
                <w:szCs w:val="12"/>
                <w:color w:val="0000EE"/>
              </w:rPr>
            </w:pPr>
            <w:hyperlink w:anchor="page48">
              <w:r>
                <w:rPr>
                  <w:rFonts w:ascii="Arial" w:cs="Arial" w:eastAsia="Arial" w:hAnsi="Arial"/>
                  <w:sz w:val="12"/>
                  <w:szCs w:val="12"/>
                  <w:color w:val="0000EE"/>
                </w:rPr>
                <w:t>Financial Statements and Supplementary Data</w:t>
              </w:r>
            </w:hyperlink>
          </w:p>
        </w:tc>
        <w:tc>
          <w:tcPr>
            <w:tcW w:w="660" w:type="dxa"/>
            <w:vAlign w:val="bottom"/>
          </w:tcPr>
          <w:p>
            <w:pPr>
              <w:jc w:val="right"/>
              <w:spacing w:after="0" w:line="133" w:lineRule="exact"/>
              <w:rPr>
                <w:sz w:val="20"/>
                <w:szCs w:val="20"/>
                <w:color w:val="auto"/>
              </w:rPr>
            </w:pPr>
            <w:r>
              <w:rPr>
                <w:rFonts w:ascii="Arial" w:cs="Arial" w:eastAsia="Arial" w:hAnsi="Arial"/>
                <w:sz w:val="12"/>
                <w:szCs w:val="12"/>
                <w:color w:val="auto"/>
              </w:rPr>
              <w:t>48</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840" w:type="dxa"/>
            <w:vAlign w:val="bottom"/>
          </w:tcPr>
          <w:p>
            <w:pPr>
              <w:ind w:left="80"/>
              <w:spacing w:after="0" w:line="133" w:lineRule="exact"/>
              <w:rPr>
                <w:sz w:val="20"/>
                <w:szCs w:val="20"/>
                <w:color w:val="auto"/>
              </w:rPr>
            </w:pPr>
            <w:r>
              <w:rPr>
                <w:rFonts w:ascii="Arial" w:cs="Arial" w:eastAsia="Arial" w:hAnsi="Arial"/>
                <w:sz w:val="12"/>
                <w:szCs w:val="12"/>
                <w:color w:val="auto"/>
              </w:rPr>
              <w:t>Item 9.</w:t>
            </w:r>
          </w:p>
        </w:tc>
        <w:tc>
          <w:tcPr>
            <w:tcW w:w="280" w:type="dxa"/>
            <w:vAlign w:val="bottom"/>
          </w:tcPr>
          <w:p>
            <w:pPr>
              <w:spacing w:after="0"/>
              <w:rPr>
                <w:sz w:val="11"/>
                <w:szCs w:val="11"/>
                <w:color w:val="auto"/>
              </w:rPr>
            </w:pPr>
          </w:p>
        </w:tc>
        <w:tc>
          <w:tcPr>
            <w:tcW w:w="9700" w:type="dxa"/>
            <w:vAlign w:val="bottom"/>
            <w:gridSpan w:val="21"/>
          </w:tcPr>
          <w:p>
            <w:pPr>
              <w:spacing w:after="0" w:line="133" w:lineRule="exact"/>
              <w:rPr>
                <w:rFonts w:ascii="Arial" w:cs="Arial" w:eastAsia="Arial" w:hAnsi="Arial"/>
                <w:sz w:val="12"/>
                <w:szCs w:val="12"/>
                <w:color w:val="0000EE"/>
              </w:rPr>
            </w:pPr>
            <w:hyperlink w:anchor="page99">
              <w:r>
                <w:rPr>
                  <w:rFonts w:ascii="Arial" w:cs="Arial" w:eastAsia="Arial" w:hAnsi="Arial"/>
                  <w:sz w:val="12"/>
                  <w:szCs w:val="12"/>
                  <w:color w:val="0000EE"/>
                </w:rPr>
                <w:t>Changes in and Disagreements With Accountants on Accounting and Financial Disclosure</w:t>
              </w:r>
            </w:hyperlink>
          </w:p>
        </w:tc>
        <w:tc>
          <w:tcPr>
            <w:tcW w:w="660" w:type="dxa"/>
            <w:vAlign w:val="bottom"/>
          </w:tcPr>
          <w:p>
            <w:pPr>
              <w:jc w:val="right"/>
              <w:spacing w:after="0" w:line="133" w:lineRule="exact"/>
              <w:rPr>
                <w:sz w:val="20"/>
                <w:szCs w:val="20"/>
                <w:color w:val="auto"/>
              </w:rPr>
            </w:pPr>
            <w:r>
              <w:rPr>
                <w:rFonts w:ascii="Arial" w:cs="Arial" w:eastAsia="Arial" w:hAnsi="Arial"/>
                <w:sz w:val="12"/>
                <w:szCs w:val="12"/>
                <w:color w:val="auto"/>
              </w:rPr>
              <w:t>99</w:t>
            </w:r>
          </w:p>
        </w:tc>
        <w:tc>
          <w:tcPr>
            <w:tcW w:w="0" w:type="dxa"/>
            <w:vAlign w:val="bottom"/>
          </w:tcPr>
          <w:p>
            <w:pPr>
              <w:spacing w:after="0"/>
              <w:rPr>
                <w:sz w:val="1"/>
                <w:szCs w:val="1"/>
                <w:color w:val="auto"/>
              </w:rPr>
            </w:pPr>
          </w:p>
        </w:tc>
      </w:tr>
      <w:tr>
        <w:trPr>
          <w:trHeight w:val="133"/>
        </w:trPr>
        <w:tc>
          <w:tcPr>
            <w:tcW w:w="840" w:type="dxa"/>
            <w:vAlign w:val="bottom"/>
          </w:tcPr>
          <w:p>
            <w:pPr>
              <w:ind w:left="80"/>
              <w:spacing w:after="0" w:line="133" w:lineRule="exact"/>
              <w:rPr>
                <w:sz w:val="20"/>
                <w:szCs w:val="20"/>
                <w:color w:val="auto"/>
              </w:rPr>
            </w:pPr>
            <w:r>
              <w:rPr>
                <w:rFonts w:ascii="Arial" w:cs="Arial" w:eastAsia="Arial" w:hAnsi="Arial"/>
                <w:sz w:val="12"/>
                <w:szCs w:val="12"/>
                <w:color w:val="auto"/>
              </w:rPr>
              <w:t>Item 9A.</w:t>
            </w:r>
          </w:p>
        </w:tc>
        <w:tc>
          <w:tcPr>
            <w:tcW w:w="280" w:type="dxa"/>
            <w:vAlign w:val="bottom"/>
          </w:tcPr>
          <w:p>
            <w:pPr>
              <w:spacing w:after="0"/>
              <w:rPr>
                <w:sz w:val="11"/>
                <w:szCs w:val="11"/>
                <w:color w:val="auto"/>
              </w:rPr>
            </w:pPr>
          </w:p>
        </w:tc>
        <w:tc>
          <w:tcPr>
            <w:tcW w:w="4340" w:type="dxa"/>
            <w:vAlign w:val="bottom"/>
            <w:tcBorders>
              <w:top w:val="single" w:sz="8" w:color="0000EE"/>
            </w:tcBorders>
            <w:gridSpan w:val="18"/>
          </w:tcPr>
          <w:p>
            <w:pPr>
              <w:spacing w:after="0" w:line="133" w:lineRule="exact"/>
              <w:rPr>
                <w:rFonts w:ascii="Arial" w:cs="Arial" w:eastAsia="Arial" w:hAnsi="Arial"/>
                <w:sz w:val="12"/>
                <w:szCs w:val="12"/>
                <w:color w:val="0000EE"/>
              </w:rPr>
            </w:pPr>
            <w:hyperlink w:anchor="page99">
              <w:r>
                <w:rPr>
                  <w:rFonts w:ascii="Arial" w:cs="Arial" w:eastAsia="Arial" w:hAnsi="Arial"/>
                  <w:sz w:val="12"/>
                  <w:szCs w:val="12"/>
                  <w:color w:val="0000EE"/>
                </w:rPr>
                <w:t>Controls and Procedures</w:t>
              </w:r>
            </w:hyperlink>
          </w:p>
        </w:tc>
        <w:tc>
          <w:tcPr>
            <w:tcW w:w="5360" w:type="dxa"/>
            <w:vAlign w:val="bottom"/>
            <w:gridSpan w:val="3"/>
          </w:tcPr>
          <w:p>
            <w:pPr>
              <w:spacing w:after="0"/>
              <w:rPr>
                <w:sz w:val="11"/>
                <w:szCs w:val="11"/>
                <w:color w:val="auto"/>
              </w:rPr>
            </w:pPr>
          </w:p>
        </w:tc>
        <w:tc>
          <w:tcPr>
            <w:tcW w:w="660" w:type="dxa"/>
            <w:vAlign w:val="bottom"/>
          </w:tcPr>
          <w:p>
            <w:pPr>
              <w:jc w:val="right"/>
              <w:spacing w:after="0" w:line="133" w:lineRule="exact"/>
              <w:rPr>
                <w:sz w:val="20"/>
                <w:szCs w:val="20"/>
                <w:color w:val="auto"/>
              </w:rPr>
            </w:pPr>
            <w:r>
              <w:rPr>
                <w:rFonts w:ascii="Arial" w:cs="Arial" w:eastAsia="Arial" w:hAnsi="Arial"/>
                <w:sz w:val="12"/>
                <w:szCs w:val="12"/>
                <w:color w:val="auto"/>
              </w:rPr>
              <w:t>99</w:t>
            </w:r>
          </w:p>
        </w:tc>
        <w:tc>
          <w:tcPr>
            <w:tcW w:w="0" w:type="dxa"/>
            <w:vAlign w:val="bottom"/>
          </w:tcPr>
          <w:p>
            <w:pPr>
              <w:spacing w:after="0"/>
              <w:rPr>
                <w:sz w:val="1"/>
                <w:szCs w:val="1"/>
                <w:color w:val="auto"/>
              </w:rPr>
            </w:pPr>
          </w:p>
        </w:tc>
      </w:tr>
      <w:tr>
        <w:trPr>
          <w:trHeight w:val="133"/>
        </w:trPr>
        <w:tc>
          <w:tcPr>
            <w:tcW w:w="840" w:type="dxa"/>
            <w:vAlign w:val="bottom"/>
          </w:tcPr>
          <w:p>
            <w:pPr>
              <w:ind w:left="80"/>
              <w:spacing w:after="0" w:line="133" w:lineRule="exact"/>
              <w:rPr>
                <w:sz w:val="20"/>
                <w:szCs w:val="20"/>
                <w:color w:val="auto"/>
              </w:rPr>
            </w:pPr>
            <w:r>
              <w:rPr>
                <w:rFonts w:ascii="Arial" w:cs="Arial" w:eastAsia="Arial" w:hAnsi="Arial"/>
                <w:sz w:val="12"/>
                <w:szCs w:val="12"/>
                <w:color w:val="auto"/>
              </w:rPr>
              <w:t>Item 9B.</w:t>
            </w:r>
          </w:p>
        </w:tc>
        <w:tc>
          <w:tcPr>
            <w:tcW w:w="280" w:type="dxa"/>
            <w:vAlign w:val="bottom"/>
          </w:tcPr>
          <w:p>
            <w:pPr>
              <w:spacing w:after="0"/>
              <w:rPr>
                <w:sz w:val="11"/>
                <w:szCs w:val="11"/>
                <w:color w:val="auto"/>
              </w:rPr>
            </w:pPr>
          </w:p>
        </w:tc>
        <w:tc>
          <w:tcPr>
            <w:tcW w:w="1180" w:type="dxa"/>
            <w:vAlign w:val="bottom"/>
            <w:tcBorders>
              <w:top w:val="single" w:sz="8" w:color="0000EE"/>
            </w:tcBorders>
            <w:gridSpan w:val="8"/>
          </w:tcPr>
          <w:p>
            <w:pPr>
              <w:spacing w:after="0" w:line="133" w:lineRule="exact"/>
              <w:rPr>
                <w:rFonts w:ascii="Arial" w:cs="Arial" w:eastAsia="Arial" w:hAnsi="Arial"/>
                <w:sz w:val="12"/>
                <w:szCs w:val="12"/>
                <w:color w:val="0000EE"/>
              </w:rPr>
            </w:pPr>
            <w:hyperlink w:anchor="page100">
              <w:r>
                <w:rPr>
                  <w:rFonts w:ascii="Arial" w:cs="Arial" w:eastAsia="Arial" w:hAnsi="Arial"/>
                  <w:sz w:val="12"/>
                  <w:szCs w:val="12"/>
                  <w:color w:val="0000EE"/>
                </w:rPr>
                <w:t>Other Information</w:t>
              </w:r>
            </w:hyperlink>
          </w:p>
        </w:tc>
        <w:tc>
          <w:tcPr>
            <w:tcW w:w="8520" w:type="dxa"/>
            <w:vAlign w:val="bottom"/>
            <w:gridSpan w:val="13"/>
          </w:tcPr>
          <w:p>
            <w:pPr>
              <w:spacing w:after="0"/>
              <w:rPr>
                <w:sz w:val="11"/>
                <w:szCs w:val="11"/>
                <w:color w:val="auto"/>
              </w:rPr>
            </w:pPr>
          </w:p>
        </w:tc>
        <w:tc>
          <w:tcPr>
            <w:tcW w:w="660" w:type="dxa"/>
            <w:vAlign w:val="bottom"/>
          </w:tcPr>
          <w:p>
            <w:pPr>
              <w:jc w:val="right"/>
              <w:spacing w:after="0" w:line="133" w:lineRule="exact"/>
              <w:rPr>
                <w:sz w:val="20"/>
                <w:szCs w:val="20"/>
                <w:color w:val="auto"/>
              </w:rPr>
            </w:pPr>
            <w:r>
              <w:rPr>
                <w:rFonts w:ascii="Arial" w:cs="Arial" w:eastAsia="Arial" w:hAnsi="Arial"/>
                <w:sz w:val="12"/>
                <w:szCs w:val="12"/>
                <w:color w:val="auto"/>
              </w:rPr>
              <w:t>100</w:t>
            </w:r>
          </w:p>
        </w:tc>
        <w:tc>
          <w:tcPr>
            <w:tcW w:w="0" w:type="dxa"/>
            <w:vAlign w:val="bottom"/>
          </w:tcPr>
          <w:p>
            <w:pPr>
              <w:spacing w:after="0"/>
              <w:rPr>
                <w:sz w:val="1"/>
                <w:szCs w:val="1"/>
                <w:color w:val="auto"/>
              </w:rPr>
            </w:pPr>
          </w:p>
        </w:tc>
      </w:tr>
      <w:tr>
        <w:trPr>
          <w:trHeight w:val="250"/>
        </w:trPr>
        <w:tc>
          <w:tcPr>
            <w:tcW w:w="840" w:type="dxa"/>
            <w:vAlign w:val="bottom"/>
          </w:tcPr>
          <w:p>
            <w:pPr>
              <w:spacing w:after="0"/>
              <w:rPr>
                <w:sz w:val="20"/>
                <w:szCs w:val="20"/>
                <w:color w:val="auto"/>
              </w:rPr>
            </w:pPr>
            <w:r>
              <w:rPr>
                <w:rFonts w:ascii="Arial" w:cs="Arial" w:eastAsia="Arial" w:hAnsi="Arial"/>
                <w:sz w:val="12"/>
                <w:szCs w:val="12"/>
                <w:b w:val="1"/>
                <w:bCs w:val="1"/>
                <w:color w:val="auto"/>
              </w:rPr>
              <w:t>PART III</w:t>
            </w:r>
          </w:p>
        </w:tc>
        <w:tc>
          <w:tcPr>
            <w:tcW w:w="280" w:type="dxa"/>
            <w:vAlign w:val="bottom"/>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26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6"/>
        </w:trPr>
        <w:tc>
          <w:tcPr>
            <w:tcW w:w="840" w:type="dxa"/>
            <w:vAlign w:val="bottom"/>
          </w:tcPr>
          <w:p>
            <w:pPr>
              <w:ind w:left="80"/>
              <w:spacing w:after="0" w:line="126" w:lineRule="exact"/>
              <w:rPr>
                <w:sz w:val="20"/>
                <w:szCs w:val="20"/>
                <w:color w:val="auto"/>
              </w:rPr>
            </w:pPr>
            <w:r>
              <w:rPr>
                <w:rFonts w:ascii="Arial" w:cs="Arial" w:eastAsia="Arial" w:hAnsi="Arial"/>
                <w:sz w:val="12"/>
                <w:szCs w:val="12"/>
                <w:color w:val="auto"/>
              </w:rPr>
              <w:t>Item 10.</w:t>
            </w:r>
          </w:p>
        </w:tc>
        <w:tc>
          <w:tcPr>
            <w:tcW w:w="280" w:type="dxa"/>
            <w:vAlign w:val="bottom"/>
          </w:tcPr>
          <w:p>
            <w:pPr>
              <w:spacing w:after="0"/>
              <w:rPr>
                <w:sz w:val="10"/>
                <w:szCs w:val="10"/>
                <w:color w:val="auto"/>
              </w:rPr>
            </w:pPr>
          </w:p>
        </w:tc>
        <w:tc>
          <w:tcPr>
            <w:tcW w:w="2740" w:type="dxa"/>
            <w:vAlign w:val="bottom"/>
            <w:tcBorders>
              <w:bottom w:val="single" w:sz="8" w:color="0000EE"/>
            </w:tcBorders>
            <w:gridSpan w:val="14"/>
          </w:tcPr>
          <w:p>
            <w:pPr>
              <w:spacing w:after="0" w:line="126" w:lineRule="exact"/>
              <w:rPr>
                <w:rFonts w:ascii="Arial" w:cs="Arial" w:eastAsia="Arial" w:hAnsi="Arial"/>
                <w:sz w:val="12"/>
                <w:szCs w:val="12"/>
                <w:color w:val="0000EE"/>
                <w:w w:val="90"/>
              </w:rPr>
            </w:pPr>
            <w:hyperlink w:anchor="page101">
              <w:r>
                <w:rPr>
                  <w:rFonts w:ascii="Arial" w:cs="Arial" w:eastAsia="Arial" w:hAnsi="Arial"/>
                  <w:sz w:val="12"/>
                  <w:szCs w:val="12"/>
                  <w:color w:val="0000EE"/>
                  <w:w w:val="90"/>
                </w:rPr>
                <w:t>Directors, Executive Officers and Corporate Governance</w:t>
              </w:r>
            </w:hyperlink>
          </w:p>
        </w:tc>
        <w:tc>
          <w:tcPr>
            <w:tcW w:w="6960" w:type="dxa"/>
            <w:vAlign w:val="bottom"/>
            <w:gridSpan w:val="7"/>
          </w:tcPr>
          <w:p>
            <w:pPr>
              <w:spacing w:after="0"/>
              <w:rPr>
                <w:sz w:val="10"/>
                <w:szCs w:val="10"/>
                <w:color w:val="auto"/>
              </w:rPr>
            </w:pPr>
          </w:p>
        </w:tc>
        <w:tc>
          <w:tcPr>
            <w:tcW w:w="660" w:type="dxa"/>
            <w:vAlign w:val="bottom"/>
          </w:tcPr>
          <w:p>
            <w:pPr>
              <w:jc w:val="right"/>
              <w:spacing w:after="0" w:line="126" w:lineRule="exact"/>
              <w:rPr>
                <w:sz w:val="20"/>
                <w:szCs w:val="20"/>
                <w:color w:val="auto"/>
              </w:rPr>
            </w:pPr>
            <w:r>
              <w:rPr>
                <w:rFonts w:ascii="Arial" w:cs="Arial" w:eastAsia="Arial" w:hAnsi="Arial"/>
                <w:sz w:val="12"/>
                <w:szCs w:val="12"/>
                <w:color w:val="auto"/>
              </w:rPr>
              <w:t>101</w:t>
            </w:r>
          </w:p>
        </w:tc>
        <w:tc>
          <w:tcPr>
            <w:tcW w:w="0" w:type="dxa"/>
            <w:vAlign w:val="bottom"/>
          </w:tcPr>
          <w:p>
            <w:pPr>
              <w:spacing w:after="0"/>
              <w:rPr>
                <w:sz w:val="1"/>
                <w:szCs w:val="1"/>
                <w:color w:val="auto"/>
              </w:rPr>
            </w:pPr>
          </w:p>
        </w:tc>
      </w:tr>
      <w:tr>
        <w:trPr>
          <w:trHeight w:val="133"/>
        </w:trPr>
        <w:tc>
          <w:tcPr>
            <w:tcW w:w="840" w:type="dxa"/>
            <w:vAlign w:val="bottom"/>
          </w:tcPr>
          <w:p>
            <w:pPr>
              <w:ind w:left="80"/>
              <w:spacing w:after="0" w:line="133" w:lineRule="exact"/>
              <w:rPr>
                <w:sz w:val="20"/>
                <w:szCs w:val="20"/>
                <w:color w:val="auto"/>
              </w:rPr>
            </w:pPr>
            <w:r>
              <w:rPr>
                <w:rFonts w:ascii="Arial" w:cs="Arial" w:eastAsia="Arial" w:hAnsi="Arial"/>
                <w:sz w:val="12"/>
                <w:szCs w:val="12"/>
                <w:color w:val="auto"/>
              </w:rPr>
              <w:t>Item 11.</w:t>
            </w:r>
          </w:p>
        </w:tc>
        <w:tc>
          <w:tcPr>
            <w:tcW w:w="280" w:type="dxa"/>
            <w:vAlign w:val="bottom"/>
          </w:tcPr>
          <w:p>
            <w:pPr>
              <w:spacing w:after="0"/>
              <w:rPr>
                <w:sz w:val="11"/>
                <w:szCs w:val="11"/>
                <w:color w:val="auto"/>
              </w:rPr>
            </w:pPr>
          </w:p>
        </w:tc>
        <w:tc>
          <w:tcPr>
            <w:tcW w:w="1220" w:type="dxa"/>
            <w:vAlign w:val="bottom"/>
            <w:tcBorders>
              <w:bottom w:val="single" w:sz="8" w:color="0000EE"/>
            </w:tcBorders>
            <w:gridSpan w:val="9"/>
          </w:tcPr>
          <w:p>
            <w:pPr>
              <w:spacing w:after="0" w:line="133" w:lineRule="exact"/>
              <w:rPr>
                <w:rFonts w:ascii="Arial" w:cs="Arial" w:eastAsia="Arial" w:hAnsi="Arial"/>
                <w:sz w:val="12"/>
                <w:szCs w:val="12"/>
                <w:color w:val="0000EE"/>
                <w:w w:val="90"/>
              </w:rPr>
            </w:pPr>
            <w:hyperlink w:anchor="page101">
              <w:r>
                <w:rPr>
                  <w:rFonts w:ascii="Arial" w:cs="Arial" w:eastAsia="Arial" w:hAnsi="Arial"/>
                  <w:sz w:val="12"/>
                  <w:szCs w:val="12"/>
                  <w:color w:val="0000EE"/>
                  <w:w w:val="90"/>
                </w:rPr>
                <w:t>Executive Compensation</w:t>
              </w:r>
            </w:hyperlink>
          </w:p>
        </w:tc>
        <w:tc>
          <w:tcPr>
            <w:tcW w:w="8480" w:type="dxa"/>
            <w:vAlign w:val="bottom"/>
            <w:gridSpan w:val="12"/>
          </w:tcPr>
          <w:p>
            <w:pPr>
              <w:spacing w:after="0"/>
              <w:rPr>
                <w:sz w:val="11"/>
                <w:szCs w:val="11"/>
                <w:color w:val="auto"/>
              </w:rPr>
            </w:pPr>
          </w:p>
        </w:tc>
        <w:tc>
          <w:tcPr>
            <w:tcW w:w="660" w:type="dxa"/>
            <w:vAlign w:val="bottom"/>
          </w:tcPr>
          <w:p>
            <w:pPr>
              <w:jc w:val="right"/>
              <w:spacing w:after="0" w:line="133" w:lineRule="exact"/>
              <w:rPr>
                <w:sz w:val="20"/>
                <w:szCs w:val="20"/>
                <w:color w:val="auto"/>
              </w:rPr>
            </w:pPr>
            <w:r>
              <w:rPr>
                <w:rFonts w:ascii="Arial" w:cs="Arial" w:eastAsia="Arial" w:hAnsi="Arial"/>
                <w:sz w:val="12"/>
                <w:szCs w:val="12"/>
                <w:color w:val="auto"/>
              </w:rPr>
              <w:t>101</w:t>
            </w:r>
          </w:p>
        </w:tc>
        <w:tc>
          <w:tcPr>
            <w:tcW w:w="0" w:type="dxa"/>
            <w:vAlign w:val="bottom"/>
          </w:tcPr>
          <w:p>
            <w:pPr>
              <w:spacing w:after="0"/>
              <w:rPr>
                <w:sz w:val="1"/>
                <w:szCs w:val="1"/>
                <w:color w:val="auto"/>
              </w:rPr>
            </w:pPr>
          </w:p>
        </w:tc>
      </w:tr>
      <w:tr>
        <w:trPr>
          <w:trHeight w:val="133"/>
        </w:trPr>
        <w:tc>
          <w:tcPr>
            <w:tcW w:w="840" w:type="dxa"/>
            <w:vAlign w:val="bottom"/>
          </w:tcPr>
          <w:p>
            <w:pPr>
              <w:ind w:left="80"/>
              <w:spacing w:after="0" w:line="133" w:lineRule="exact"/>
              <w:rPr>
                <w:sz w:val="20"/>
                <w:szCs w:val="20"/>
                <w:color w:val="auto"/>
              </w:rPr>
            </w:pPr>
            <w:r>
              <w:rPr>
                <w:rFonts w:ascii="Arial" w:cs="Arial" w:eastAsia="Arial" w:hAnsi="Arial"/>
                <w:sz w:val="12"/>
                <w:szCs w:val="12"/>
                <w:color w:val="auto"/>
              </w:rPr>
              <w:t>Item 12.</w:t>
            </w:r>
          </w:p>
        </w:tc>
        <w:tc>
          <w:tcPr>
            <w:tcW w:w="280" w:type="dxa"/>
            <w:vAlign w:val="bottom"/>
          </w:tcPr>
          <w:p>
            <w:pPr>
              <w:spacing w:after="0"/>
              <w:rPr>
                <w:sz w:val="11"/>
                <w:szCs w:val="11"/>
                <w:color w:val="auto"/>
              </w:rPr>
            </w:pPr>
          </w:p>
        </w:tc>
        <w:tc>
          <w:tcPr>
            <w:tcW w:w="4880" w:type="dxa"/>
            <w:vAlign w:val="bottom"/>
            <w:tcBorders>
              <w:bottom w:val="single" w:sz="8" w:color="0000EE"/>
            </w:tcBorders>
            <w:gridSpan w:val="19"/>
          </w:tcPr>
          <w:p>
            <w:pPr>
              <w:spacing w:after="0" w:line="133" w:lineRule="exact"/>
              <w:rPr>
                <w:rFonts w:ascii="Arial" w:cs="Arial" w:eastAsia="Arial" w:hAnsi="Arial"/>
                <w:sz w:val="12"/>
                <w:szCs w:val="12"/>
                <w:color w:val="0000EE"/>
                <w:w w:val="90"/>
              </w:rPr>
            </w:pPr>
            <w:hyperlink w:anchor="page101">
              <w:r>
                <w:rPr>
                  <w:rFonts w:ascii="Arial" w:cs="Arial" w:eastAsia="Arial" w:hAnsi="Arial"/>
                  <w:sz w:val="12"/>
                  <w:szCs w:val="12"/>
                  <w:color w:val="0000EE"/>
                  <w:w w:val="90"/>
                </w:rPr>
                <w:t>Security Ownership of Certain Beneficial Owners and Management and Related Stockholder Matters</w:t>
              </w:r>
            </w:hyperlink>
          </w:p>
        </w:tc>
        <w:tc>
          <w:tcPr>
            <w:tcW w:w="4820" w:type="dxa"/>
            <w:vAlign w:val="bottom"/>
            <w:gridSpan w:val="2"/>
          </w:tcPr>
          <w:p>
            <w:pPr>
              <w:spacing w:after="0"/>
              <w:rPr>
                <w:sz w:val="11"/>
                <w:szCs w:val="11"/>
                <w:color w:val="auto"/>
              </w:rPr>
            </w:pPr>
          </w:p>
        </w:tc>
        <w:tc>
          <w:tcPr>
            <w:tcW w:w="660" w:type="dxa"/>
            <w:vAlign w:val="bottom"/>
          </w:tcPr>
          <w:p>
            <w:pPr>
              <w:jc w:val="right"/>
              <w:spacing w:after="0" w:line="133" w:lineRule="exact"/>
              <w:rPr>
                <w:sz w:val="20"/>
                <w:szCs w:val="20"/>
                <w:color w:val="auto"/>
              </w:rPr>
            </w:pPr>
            <w:r>
              <w:rPr>
                <w:rFonts w:ascii="Arial" w:cs="Arial" w:eastAsia="Arial" w:hAnsi="Arial"/>
                <w:sz w:val="12"/>
                <w:szCs w:val="12"/>
                <w:color w:val="auto"/>
              </w:rPr>
              <w:t>101</w:t>
            </w:r>
          </w:p>
        </w:tc>
        <w:tc>
          <w:tcPr>
            <w:tcW w:w="0" w:type="dxa"/>
            <w:vAlign w:val="bottom"/>
          </w:tcPr>
          <w:p>
            <w:pPr>
              <w:spacing w:after="0"/>
              <w:rPr>
                <w:sz w:val="1"/>
                <w:szCs w:val="1"/>
                <w:color w:val="auto"/>
              </w:rPr>
            </w:pPr>
          </w:p>
        </w:tc>
      </w:tr>
      <w:tr>
        <w:trPr>
          <w:trHeight w:val="133"/>
        </w:trPr>
        <w:tc>
          <w:tcPr>
            <w:tcW w:w="840" w:type="dxa"/>
            <w:vAlign w:val="bottom"/>
          </w:tcPr>
          <w:p>
            <w:pPr>
              <w:ind w:left="80"/>
              <w:spacing w:after="0" w:line="133" w:lineRule="exact"/>
              <w:rPr>
                <w:sz w:val="20"/>
                <w:szCs w:val="20"/>
                <w:color w:val="auto"/>
              </w:rPr>
            </w:pPr>
            <w:r>
              <w:rPr>
                <w:rFonts w:ascii="Arial" w:cs="Arial" w:eastAsia="Arial" w:hAnsi="Arial"/>
                <w:sz w:val="12"/>
                <w:szCs w:val="12"/>
                <w:color w:val="auto"/>
              </w:rPr>
              <w:t>Item 13.</w:t>
            </w:r>
          </w:p>
        </w:tc>
        <w:tc>
          <w:tcPr>
            <w:tcW w:w="280" w:type="dxa"/>
            <w:vAlign w:val="bottom"/>
          </w:tcPr>
          <w:p>
            <w:pPr>
              <w:spacing w:after="0"/>
              <w:rPr>
                <w:sz w:val="11"/>
                <w:szCs w:val="11"/>
                <w:color w:val="auto"/>
              </w:rPr>
            </w:pPr>
          </w:p>
        </w:tc>
        <w:tc>
          <w:tcPr>
            <w:tcW w:w="9700" w:type="dxa"/>
            <w:vAlign w:val="bottom"/>
            <w:gridSpan w:val="21"/>
          </w:tcPr>
          <w:p>
            <w:pPr>
              <w:spacing w:after="0" w:line="133" w:lineRule="exact"/>
              <w:rPr>
                <w:rFonts w:ascii="Arial" w:cs="Arial" w:eastAsia="Arial" w:hAnsi="Arial"/>
                <w:sz w:val="12"/>
                <w:szCs w:val="12"/>
                <w:color w:val="0000EE"/>
              </w:rPr>
            </w:pPr>
            <w:hyperlink w:anchor="page102">
              <w:r>
                <w:rPr>
                  <w:rFonts w:ascii="Arial" w:cs="Arial" w:eastAsia="Arial" w:hAnsi="Arial"/>
                  <w:sz w:val="12"/>
                  <w:szCs w:val="12"/>
                  <w:color w:val="0000EE"/>
                </w:rPr>
                <w:t>Certain Relationships and Related Transactions, and Director Independence</w:t>
              </w:r>
            </w:hyperlink>
          </w:p>
        </w:tc>
        <w:tc>
          <w:tcPr>
            <w:tcW w:w="660" w:type="dxa"/>
            <w:vAlign w:val="bottom"/>
          </w:tcPr>
          <w:p>
            <w:pPr>
              <w:jc w:val="right"/>
              <w:spacing w:after="0" w:line="133" w:lineRule="exact"/>
              <w:rPr>
                <w:sz w:val="20"/>
                <w:szCs w:val="20"/>
                <w:color w:val="auto"/>
              </w:rPr>
            </w:pPr>
            <w:r>
              <w:rPr>
                <w:rFonts w:ascii="Arial" w:cs="Arial" w:eastAsia="Arial" w:hAnsi="Arial"/>
                <w:sz w:val="12"/>
                <w:szCs w:val="12"/>
                <w:color w:val="auto"/>
              </w:rPr>
              <w:t>102</w:t>
            </w:r>
          </w:p>
        </w:tc>
        <w:tc>
          <w:tcPr>
            <w:tcW w:w="0" w:type="dxa"/>
            <w:vAlign w:val="bottom"/>
          </w:tcPr>
          <w:p>
            <w:pPr>
              <w:spacing w:after="0"/>
              <w:rPr>
                <w:sz w:val="1"/>
                <w:szCs w:val="1"/>
                <w:color w:val="auto"/>
              </w:rPr>
            </w:pPr>
          </w:p>
        </w:tc>
      </w:tr>
      <w:tr>
        <w:trPr>
          <w:trHeight w:val="133"/>
        </w:trPr>
        <w:tc>
          <w:tcPr>
            <w:tcW w:w="840" w:type="dxa"/>
            <w:vAlign w:val="bottom"/>
          </w:tcPr>
          <w:p>
            <w:pPr>
              <w:ind w:left="80"/>
              <w:spacing w:after="0" w:line="133" w:lineRule="exact"/>
              <w:rPr>
                <w:sz w:val="20"/>
                <w:szCs w:val="20"/>
                <w:color w:val="auto"/>
              </w:rPr>
            </w:pPr>
            <w:r>
              <w:rPr>
                <w:rFonts w:ascii="Arial" w:cs="Arial" w:eastAsia="Arial" w:hAnsi="Arial"/>
                <w:sz w:val="12"/>
                <w:szCs w:val="12"/>
                <w:color w:val="auto"/>
              </w:rPr>
              <w:t>Item 14.</w:t>
            </w:r>
          </w:p>
        </w:tc>
        <w:tc>
          <w:tcPr>
            <w:tcW w:w="280" w:type="dxa"/>
            <w:vAlign w:val="bottom"/>
          </w:tcPr>
          <w:p>
            <w:pPr>
              <w:spacing w:after="0"/>
              <w:rPr>
                <w:sz w:val="11"/>
                <w:szCs w:val="11"/>
                <w:color w:val="auto"/>
              </w:rPr>
            </w:pPr>
          </w:p>
        </w:tc>
        <w:tc>
          <w:tcPr>
            <w:tcW w:w="3640" w:type="dxa"/>
            <w:vAlign w:val="bottom"/>
            <w:tcBorders>
              <w:top w:val="single" w:sz="8" w:color="0000EE"/>
            </w:tcBorders>
            <w:gridSpan w:val="16"/>
          </w:tcPr>
          <w:p>
            <w:pPr>
              <w:spacing w:after="0" w:line="133" w:lineRule="exact"/>
              <w:rPr>
                <w:rFonts w:ascii="Arial" w:cs="Arial" w:eastAsia="Arial" w:hAnsi="Arial"/>
                <w:sz w:val="12"/>
                <w:szCs w:val="12"/>
                <w:color w:val="0000EE"/>
              </w:rPr>
            </w:pPr>
            <w:hyperlink w:anchor="page102">
              <w:r>
                <w:rPr>
                  <w:rFonts w:ascii="Arial" w:cs="Arial" w:eastAsia="Arial" w:hAnsi="Arial"/>
                  <w:sz w:val="12"/>
                  <w:szCs w:val="12"/>
                  <w:color w:val="0000EE"/>
                </w:rPr>
                <w:t>Principal Accounting Fees and Services</w:t>
              </w:r>
            </w:hyperlink>
          </w:p>
        </w:tc>
        <w:tc>
          <w:tcPr>
            <w:tcW w:w="6060" w:type="dxa"/>
            <w:vAlign w:val="bottom"/>
            <w:gridSpan w:val="5"/>
          </w:tcPr>
          <w:p>
            <w:pPr>
              <w:spacing w:after="0"/>
              <w:rPr>
                <w:sz w:val="11"/>
                <w:szCs w:val="11"/>
                <w:color w:val="auto"/>
              </w:rPr>
            </w:pPr>
          </w:p>
        </w:tc>
        <w:tc>
          <w:tcPr>
            <w:tcW w:w="660" w:type="dxa"/>
            <w:vAlign w:val="bottom"/>
          </w:tcPr>
          <w:p>
            <w:pPr>
              <w:jc w:val="right"/>
              <w:spacing w:after="0" w:line="133" w:lineRule="exact"/>
              <w:rPr>
                <w:sz w:val="20"/>
                <w:szCs w:val="20"/>
                <w:color w:val="auto"/>
              </w:rPr>
            </w:pPr>
            <w:r>
              <w:rPr>
                <w:rFonts w:ascii="Arial" w:cs="Arial" w:eastAsia="Arial" w:hAnsi="Arial"/>
                <w:sz w:val="12"/>
                <w:szCs w:val="12"/>
                <w:color w:val="auto"/>
              </w:rPr>
              <w:t>102</w:t>
            </w:r>
          </w:p>
        </w:tc>
        <w:tc>
          <w:tcPr>
            <w:tcW w:w="0" w:type="dxa"/>
            <w:vAlign w:val="bottom"/>
          </w:tcPr>
          <w:p>
            <w:pPr>
              <w:spacing w:after="0"/>
              <w:rPr>
                <w:sz w:val="1"/>
                <w:szCs w:val="1"/>
                <w:color w:val="auto"/>
              </w:rPr>
            </w:pPr>
          </w:p>
        </w:tc>
      </w:tr>
      <w:tr>
        <w:trPr>
          <w:trHeight w:val="250"/>
        </w:trPr>
        <w:tc>
          <w:tcPr>
            <w:tcW w:w="840" w:type="dxa"/>
            <w:vAlign w:val="bottom"/>
          </w:tcPr>
          <w:p>
            <w:pPr>
              <w:spacing w:after="0"/>
              <w:rPr>
                <w:sz w:val="20"/>
                <w:szCs w:val="20"/>
                <w:color w:val="auto"/>
              </w:rPr>
            </w:pPr>
            <w:r>
              <w:rPr>
                <w:rFonts w:ascii="Arial" w:cs="Arial" w:eastAsia="Arial" w:hAnsi="Arial"/>
                <w:sz w:val="12"/>
                <w:szCs w:val="12"/>
                <w:b w:val="1"/>
                <w:bCs w:val="1"/>
                <w:color w:val="auto"/>
              </w:rPr>
              <w:t>PART IV</w:t>
            </w:r>
          </w:p>
        </w:tc>
        <w:tc>
          <w:tcPr>
            <w:tcW w:w="280" w:type="dxa"/>
            <w:vAlign w:val="bottom"/>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26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54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6"/>
        </w:trPr>
        <w:tc>
          <w:tcPr>
            <w:tcW w:w="840" w:type="dxa"/>
            <w:vAlign w:val="bottom"/>
          </w:tcPr>
          <w:p>
            <w:pPr>
              <w:ind w:left="80"/>
              <w:spacing w:after="0" w:line="126" w:lineRule="exact"/>
              <w:rPr>
                <w:sz w:val="20"/>
                <w:szCs w:val="20"/>
                <w:color w:val="auto"/>
              </w:rPr>
            </w:pPr>
            <w:r>
              <w:rPr>
                <w:rFonts w:ascii="Arial" w:cs="Arial" w:eastAsia="Arial" w:hAnsi="Arial"/>
                <w:sz w:val="12"/>
                <w:szCs w:val="12"/>
                <w:color w:val="auto"/>
              </w:rPr>
              <w:t>Item 15.</w:t>
            </w:r>
          </w:p>
        </w:tc>
        <w:tc>
          <w:tcPr>
            <w:tcW w:w="280" w:type="dxa"/>
            <w:vAlign w:val="bottom"/>
          </w:tcPr>
          <w:p>
            <w:pPr>
              <w:spacing w:after="0"/>
              <w:rPr>
                <w:sz w:val="10"/>
                <w:szCs w:val="10"/>
                <w:color w:val="auto"/>
              </w:rPr>
            </w:pPr>
          </w:p>
        </w:tc>
        <w:tc>
          <w:tcPr>
            <w:tcW w:w="9700" w:type="dxa"/>
            <w:vAlign w:val="bottom"/>
            <w:gridSpan w:val="21"/>
          </w:tcPr>
          <w:p>
            <w:pPr>
              <w:spacing w:after="0" w:line="126" w:lineRule="exact"/>
              <w:rPr>
                <w:rFonts w:ascii="Arial" w:cs="Arial" w:eastAsia="Arial" w:hAnsi="Arial"/>
                <w:sz w:val="12"/>
                <w:szCs w:val="12"/>
                <w:color w:val="0000EE"/>
              </w:rPr>
            </w:pPr>
            <w:hyperlink w:anchor="page103">
              <w:r>
                <w:rPr>
                  <w:rFonts w:ascii="Arial" w:cs="Arial" w:eastAsia="Arial" w:hAnsi="Arial"/>
                  <w:sz w:val="12"/>
                  <w:szCs w:val="12"/>
                  <w:color w:val="0000EE"/>
                </w:rPr>
                <w:t>Exhibits, Financial Statement Schedules</w:t>
              </w:r>
            </w:hyperlink>
          </w:p>
        </w:tc>
        <w:tc>
          <w:tcPr>
            <w:tcW w:w="660" w:type="dxa"/>
            <w:vAlign w:val="bottom"/>
          </w:tcPr>
          <w:p>
            <w:pPr>
              <w:jc w:val="right"/>
              <w:spacing w:after="0" w:line="126" w:lineRule="exact"/>
              <w:rPr>
                <w:sz w:val="20"/>
                <w:szCs w:val="20"/>
                <w:color w:val="auto"/>
              </w:rPr>
            </w:pPr>
            <w:r>
              <w:rPr>
                <w:rFonts w:ascii="Arial" w:cs="Arial" w:eastAsia="Arial" w:hAnsi="Arial"/>
                <w:sz w:val="12"/>
                <w:szCs w:val="12"/>
                <w:color w:val="auto"/>
              </w:rPr>
              <w:t>103</w:t>
            </w:r>
          </w:p>
        </w:tc>
        <w:tc>
          <w:tcPr>
            <w:tcW w:w="0" w:type="dxa"/>
            <w:vAlign w:val="bottom"/>
          </w:tcPr>
          <w:p>
            <w:pPr>
              <w:spacing w:after="0"/>
              <w:rPr>
                <w:sz w:val="1"/>
                <w:szCs w:val="1"/>
                <w:color w:val="auto"/>
              </w:rPr>
            </w:pPr>
          </w:p>
        </w:tc>
      </w:tr>
      <w:tr>
        <w:trPr>
          <w:trHeight w:val="133"/>
        </w:trPr>
        <w:tc>
          <w:tcPr>
            <w:tcW w:w="840" w:type="dxa"/>
            <w:vAlign w:val="bottom"/>
          </w:tcPr>
          <w:p>
            <w:pPr>
              <w:ind w:left="80"/>
              <w:spacing w:after="0" w:line="133" w:lineRule="exact"/>
              <w:rPr>
                <w:sz w:val="20"/>
                <w:szCs w:val="20"/>
                <w:color w:val="auto"/>
              </w:rPr>
            </w:pPr>
            <w:r>
              <w:rPr>
                <w:rFonts w:ascii="Arial" w:cs="Arial" w:eastAsia="Arial" w:hAnsi="Arial"/>
                <w:sz w:val="12"/>
                <w:szCs w:val="12"/>
                <w:color w:val="auto"/>
              </w:rPr>
              <w:t>Item 16.</w:t>
            </w:r>
          </w:p>
        </w:tc>
        <w:tc>
          <w:tcPr>
            <w:tcW w:w="280" w:type="dxa"/>
            <w:vAlign w:val="bottom"/>
          </w:tcPr>
          <w:p>
            <w:pPr>
              <w:spacing w:after="0"/>
              <w:rPr>
                <w:sz w:val="11"/>
                <w:szCs w:val="11"/>
                <w:color w:val="auto"/>
              </w:rPr>
            </w:pPr>
          </w:p>
        </w:tc>
        <w:tc>
          <w:tcPr>
            <w:tcW w:w="1940" w:type="dxa"/>
            <w:vAlign w:val="bottom"/>
            <w:tcBorders>
              <w:top w:val="single" w:sz="8" w:color="0000EE"/>
            </w:tcBorders>
            <w:gridSpan w:val="12"/>
          </w:tcPr>
          <w:p>
            <w:pPr>
              <w:spacing w:after="0" w:line="133" w:lineRule="exact"/>
              <w:rPr>
                <w:rFonts w:ascii="Arial" w:cs="Arial" w:eastAsia="Arial" w:hAnsi="Arial"/>
                <w:sz w:val="12"/>
                <w:szCs w:val="12"/>
                <w:color w:val="0000EE"/>
              </w:rPr>
            </w:pPr>
            <w:hyperlink w:anchor="page108">
              <w:r>
                <w:rPr>
                  <w:rFonts w:ascii="Arial" w:cs="Arial" w:eastAsia="Arial" w:hAnsi="Arial"/>
                  <w:sz w:val="12"/>
                  <w:szCs w:val="12"/>
                  <w:color w:val="0000EE"/>
                </w:rPr>
                <w:t>Form 10-K Summary</w:t>
              </w:r>
            </w:hyperlink>
          </w:p>
        </w:tc>
        <w:tc>
          <w:tcPr>
            <w:tcW w:w="7760" w:type="dxa"/>
            <w:vAlign w:val="bottom"/>
            <w:gridSpan w:val="9"/>
          </w:tcPr>
          <w:p>
            <w:pPr>
              <w:spacing w:after="0"/>
              <w:rPr>
                <w:sz w:val="11"/>
                <w:szCs w:val="11"/>
                <w:color w:val="auto"/>
              </w:rPr>
            </w:pPr>
          </w:p>
        </w:tc>
        <w:tc>
          <w:tcPr>
            <w:tcW w:w="660" w:type="dxa"/>
            <w:vAlign w:val="bottom"/>
          </w:tcPr>
          <w:p>
            <w:pPr>
              <w:jc w:val="right"/>
              <w:spacing w:after="0" w:line="133" w:lineRule="exact"/>
              <w:rPr>
                <w:sz w:val="20"/>
                <w:szCs w:val="20"/>
                <w:color w:val="auto"/>
              </w:rPr>
            </w:pPr>
            <w:r>
              <w:rPr>
                <w:rFonts w:ascii="Arial" w:cs="Arial" w:eastAsia="Arial" w:hAnsi="Arial"/>
                <w:sz w:val="12"/>
                <w:szCs w:val="12"/>
                <w:color w:val="auto"/>
              </w:rPr>
              <w:t>108</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19" w:right="199" w:bottom="1440" w:gutter="0" w:footer="0" w:header="0"/>
        </w:sectPr>
      </w:pPr>
    </w:p>
    <w:bookmarkStart w:id="2" w:name="page3"/>
    <w:bookmarkEnd w:id="2"/>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7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CAUTIONARY STATEMENT REGARDING FORWARD-LOOKING STATEMENTS</w:t>
      </w:r>
    </w:p>
    <w:p>
      <w:pPr>
        <w:spacing w:after="0" w:line="154" w:lineRule="exact"/>
        <w:rPr>
          <w:sz w:val="20"/>
          <w:szCs w:val="20"/>
          <w:color w:val="auto"/>
        </w:rPr>
      </w:pPr>
    </w:p>
    <w:p>
      <w:pPr>
        <w:spacing w:after="0" w:line="254" w:lineRule="auto"/>
        <w:rPr>
          <w:sz w:val="20"/>
          <w:szCs w:val="20"/>
          <w:color w:val="auto"/>
        </w:rPr>
      </w:pPr>
      <w:r>
        <w:rPr>
          <w:rFonts w:ascii="Arial" w:cs="Arial" w:eastAsia="Arial" w:hAnsi="Arial"/>
          <w:sz w:val="12"/>
          <w:szCs w:val="12"/>
          <w:color w:val="auto"/>
        </w:rPr>
        <w:t>This Annual Report on Form 10-K includes forward-looking statements as defined under U.S. federal securities law. Forward-looking statements include all statements that are not historical statements of fact and those regarding our intent, belief or expectations, including, but not limited to, statements regarding: our expectations regarding the future growth and demand of the telecommunication industry, future financing plans, business strategies, growth prospects and operating and financial performance; expectations regarding the impact and integration of Hunt Telecommunications, LLC ("Hunt") and Southern Light, LLC ("Southern Light"), including expectations regarding operational synergies with Uniti Towers and Uniti Fiber; expectations regarding settling conversion of our 3% convertible preferred stock in cash upon conversion; expectations regarding the probability of our obligation to pay contingent consideration upon Tower Cloud, Inc.'s ("Tower Cloud") or Hunt's achievement of certain defined operational and financial milestones; expectations regarding future deployment of fiber strand miles and recognition of revenue related thereto; expectations regarding levels of capital expenditures; expectations regarding the deductibility of goodwill for tax purposes; expectations regarding the amortization of intangible assets; expectations regarding the closing of the U.S. TelePacific Holding Corp. (“TPx”) transaction; and expectations regarding the payment of dividends.</w:t>
      </w:r>
    </w:p>
    <w:p>
      <w:pPr>
        <w:spacing w:after="0" w:line="131" w:lineRule="exact"/>
        <w:rPr>
          <w:sz w:val="20"/>
          <w:szCs w:val="20"/>
          <w:color w:val="auto"/>
        </w:rPr>
      </w:pPr>
    </w:p>
    <w:p>
      <w:pPr>
        <w:ind w:right="260"/>
        <w:spacing w:after="0" w:line="259" w:lineRule="auto"/>
        <w:rPr>
          <w:sz w:val="20"/>
          <w:szCs w:val="20"/>
          <w:color w:val="auto"/>
        </w:rPr>
      </w:pPr>
      <w:r>
        <w:rPr>
          <w:rFonts w:ascii="Arial" w:cs="Arial" w:eastAsia="Arial" w:hAnsi="Arial"/>
          <w:sz w:val="12"/>
          <w:szCs w:val="12"/>
          <w:color w:val="auto"/>
        </w:rPr>
        <w:t>Words such as "anticipate(s)," "expect(s)," "intend(s)," "plan(s)," "believe(s)," "may," "will," "would," "could," "should," "seek(s)" and similar expressions, or the negative of these terms, are intended to identify such forward-looking statements. These statements are based on management's current expectations and beliefs and are subject to a number of risks and uncertainties that could lead to actual results differing materially from those projected, forecasted or expected. Although we believe that the assumptions underlying the forward-looking statements are reasonable, we can give no assurance that our expectations will be attained. Factors which could have a material adverse effect on our operations and future prospects or which could cause actual results to differ materially from our expectations include, but are not limited to:</w:t>
      </w:r>
    </w:p>
    <w:p>
      <w:pPr>
        <w:spacing w:after="0" w:line="197" w:lineRule="exact"/>
        <w:rPr>
          <w:sz w:val="20"/>
          <w:szCs w:val="20"/>
          <w:color w:val="auto"/>
        </w:rPr>
      </w:pPr>
    </w:p>
    <w:p>
      <w:pPr>
        <w:ind w:left="1180" w:hanging="593"/>
        <w:spacing w:after="0"/>
        <w:tabs>
          <w:tab w:leader="none" w:pos="118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ability and willingness of our customers to meet and/or perform their obligations under any contractual arrangements entered into with us, including master lease arrangements;</w:t>
      </w:r>
    </w:p>
    <w:p>
      <w:pPr>
        <w:spacing w:after="0" w:line="78" w:lineRule="exact"/>
        <w:rPr>
          <w:rFonts w:ascii="Arial" w:cs="Arial" w:eastAsia="Arial" w:hAnsi="Arial"/>
          <w:sz w:val="12"/>
          <w:szCs w:val="12"/>
          <w:color w:val="auto"/>
        </w:rPr>
      </w:pPr>
    </w:p>
    <w:p>
      <w:pPr>
        <w:ind w:left="1180" w:hanging="593"/>
        <w:spacing w:after="0"/>
        <w:tabs>
          <w:tab w:leader="none" w:pos="118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ability of our customers to comply with laws, rules and regulations in the operation of the assets we lease to them;</w:t>
      </w:r>
    </w:p>
    <w:p>
      <w:pPr>
        <w:spacing w:after="0" w:line="78" w:lineRule="exact"/>
        <w:rPr>
          <w:rFonts w:ascii="Arial" w:cs="Arial" w:eastAsia="Arial" w:hAnsi="Arial"/>
          <w:sz w:val="12"/>
          <w:szCs w:val="12"/>
          <w:color w:val="auto"/>
        </w:rPr>
      </w:pPr>
    </w:p>
    <w:p>
      <w:pPr>
        <w:ind w:left="1180" w:right="140" w:hanging="593"/>
        <w:spacing w:after="0" w:line="276" w:lineRule="auto"/>
        <w:tabs>
          <w:tab w:leader="none" w:pos="118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ability and willingness of our customers to renew their leases with us upon their expiration, and the ability to reposition our properties on the same or better terms in the event of nonrenewal or in the event we replace an existing tenant;</w:t>
      </w:r>
    </w:p>
    <w:p>
      <w:pPr>
        <w:spacing w:after="0" w:line="42" w:lineRule="exact"/>
        <w:rPr>
          <w:rFonts w:ascii="Arial" w:cs="Arial" w:eastAsia="Arial" w:hAnsi="Arial"/>
          <w:sz w:val="12"/>
          <w:szCs w:val="12"/>
          <w:color w:val="auto"/>
        </w:rPr>
      </w:pPr>
    </w:p>
    <w:p>
      <w:pPr>
        <w:ind w:left="1180" w:hanging="593"/>
        <w:spacing w:after="0"/>
        <w:tabs>
          <w:tab w:leader="none" w:pos="118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ability to renew, extend or retain our contracts or to obtain new contracts with significant customers (including customers of the businesses that we acquire);</w:t>
      </w:r>
    </w:p>
    <w:p>
      <w:pPr>
        <w:spacing w:after="0" w:line="78" w:lineRule="exact"/>
        <w:rPr>
          <w:rFonts w:ascii="Arial" w:cs="Arial" w:eastAsia="Arial" w:hAnsi="Arial"/>
          <w:sz w:val="12"/>
          <w:szCs w:val="12"/>
          <w:color w:val="auto"/>
        </w:rPr>
      </w:pPr>
    </w:p>
    <w:p>
      <w:pPr>
        <w:ind w:left="1180" w:hanging="593"/>
        <w:spacing w:after="0"/>
        <w:tabs>
          <w:tab w:leader="none" w:pos="1180" w:val="left"/>
        </w:tabs>
        <w:numPr>
          <w:ilvl w:val="0"/>
          <w:numId w:val="3"/>
        </w:numPr>
        <w:rPr>
          <w:rFonts w:ascii="Arial" w:cs="Arial" w:eastAsia="Arial" w:hAnsi="Arial"/>
          <w:sz w:val="11"/>
          <w:szCs w:val="11"/>
          <w:color w:val="auto"/>
        </w:rPr>
      </w:pPr>
      <w:r>
        <w:rPr>
          <w:rFonts w:ascii="Arial" w:cs="Arial" w:eastAsia="Arial" w:hAnsi="Arial"/>
          <w:sz w:val="11"/>
          <w:szCs w:val="11"/>
          <w:color w:val="auto"/>
        </w:rPr>
        <w:t>the availability of and our ability to identify suitable acquisition opportunities and our ability to acquire and lease the respective properties on favorable terms or operate and integrate the acquired businesses;</w:t>
      </w:r>
    </w:p>
    <w:p>
      <w:pPr>
        <w:spacing w:after="0" w:line="89" w:lineRule="exact"/>
        <w:rPr>
          <w:rFonts w:ascii="Arial" w:cs="Arial" w:eastAsia="Arial" w:hAnsi="Arial"/>
          <w:sz w:val="11"/>
          <w:szCs w:val="11"/>
          <w:color w:val="auto"/>
        </w:rPr>
      </w:pPr>
    </w:p>
    <w:p>
      <w:pPr>
        <w:ind w:left="1180" w:hanging="593"/>
        <w:spacing w:after="0"/>
        <w:tabs>
          <w:tab w:leader="none" w:pos="118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ability to generate sufficient cash flows to service our outstanding indebtedness;</w:t>
      </w:r>
    </w:p>
    <w:p>
      <w:pPr>
        <w:spacing w:after="0" w:line="78" w:lineRule="exact"/>
        <w:rPr>
          <w:rFonts w:ascii="Arial" w:cs="Arial" w:eastAsia="Arial" w:hAnsi="Arial"/>
          <w:sz w:val="12"/>
          <w:szCs w:val="12"/>
          <w:color w:val="auto"/>
        </w:rPr>
      </w:pPr>
    </w:p>
    <w:p>
      <w:pPr>
        <w:ind w:left="1180" w:hanging="593"/>
        <w:spacing w:after="0"/>
        <w:tabs>
          <w:tab w:leader="none" w:pos="118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ability to access debt and equity capital markets;</w:t>
      </w:r>
    </w:p>
    <w:p>
      <w:pPr>
        <w:spacing w:after="0" w:line="78" w:lineRule="exact"/>
        <w:rPr>
          <w:rFonts w:ascii="Arial" w:cs="Arial" w:eastAsia="Arial" w:hAnsi="Arial"/>
          <w:sz w:val="12"/>
          <w:szCs w:val="12"/>
          <w:color w:val="auto"/>
        </w:rPr>
      </w:pPr>
    </w:p>
    <w:p>
      <w:pPr>
        <w:ind w:left="1180" w:hanging="593"/>
        <w:spacing w:after="0"/>
        <w:tabs>
          <w:tab w:leader="none" w:pos="118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impact on our business or the business of our customers as a result of credit rating downgrades, and fluctuating interest rates;</w:t>
      </w:r>
    </w:p>
    <w:p>
      <w:pPr>
        <w:spacing w:after="0" w:line="78" w:lineRule="exact"/>
        <w:rPr>
          <w:rFonts w:ascii="Arial" w:cs="Arial" w:eastAsia="Arial" w:hAnsi="Arial"/>
          <w:sz w:val="12"/>
          <w:szCs w:val="12"/>
          <w:color w:val="auto"/>
        </w:rPr>
      </w:pPr>
    </w:p>
    <w:p>
      <w:pPr>
        <w:ind w:left="1180" w:hanging="593"/>
        <w:spacing w:after="0"/>
        <w:tabs>
          <w:tab w:leader="none" w:pos="1180" w:val="left"/>
        </w:tabs>
        <w:numPr>
          <w:ilvl w:val="0"/>
          <w:numId w:val="3"/>
        </w:numPr>
        <w:rPr>
          <w:rFonts w:ascii="Arial" w:cs="Arial" w:eastAsia="Arial" w:hAnsi="Arial"/>
          <w:sz w:val="12"/>
          <w:szCs w:val="12"/>
          <w:color w:val="auto"/>
        </w:rPr>
      </w:pPr>
      <w:r>
        <w:rPr>
          <w:rFonts w:ascii="Arial" w:cs="Arial" w:eastAsia="Arial" w:hAnsi="Arial"/>
          <w:sz w:val="12"/>
          <w:szCs w:val="12"/>
          <w:color w:val="auto"/>
        </w:rPr>
        <w:t>adverse impacts of litigation or disputes involving us or our customers;</w:t>
      </w:r>
    </w:p>
    <w:p>
      <w:pPr>
        <w:spacing w:after="0" w:line="78" w:lineRule="exact"/>
        <w:rPr>
          <w:rFonts w:ascii="Arial" w:cs="Arial" w:eastAsia="Arial" w:hAnsi="Arial"/>
          <w:sz w:val="12"/>
          <w:szCs w:val="12"/>
          <w:color w:val="auto"/>
        </w:rPr>
      </w:pPr>
    </w:p>
    <w:p>
      <w:pPr>
        <w:ind w:left="1180" w:hanging="593"/>
        <w:spacing w:after="0"/>
        <w:tabs>
          <w:tab w:leader="none" w:pos="118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ability to retain our key management personnel;</w:t>
      </w:r>
    </w:p>
    <w:p>
      <w:pPr>
        <w:spacing w:after="0" w:line="78" w:lineRule="exact"/>
        <w:rPr>
          <w:rFonts w:ascii="Arial" w:cs="Arial" w:eastAsia="Arial" w:hAnsi="Arial"/>
          <w:sz w:val="12"/>
          <w:szCs w:val="12"/>
          <w:color w:val="auto"/>
        </w:rPr>
      </w:pPr>
    </w:p>
    <w:p>
      <w:pPr>
        <w:ind w:left="1180" w:hanging="593"/>
        <w:spacing w:after="0"/>
        <w:tabs>
          <w:tab w:leader="none" w:pos="118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ability to maintain our status as a real estate investment trust (“REIT”);</w:t>
      </w:r>
    </w:p>
    <w:p>
      <w:pPr>
        <w:spacing w:after="0" w:line="78" w:lineRule="exact"/>
        <w:rPr>
          <w:rFonts w:ascii="Arial" w:cs="Arial" w:eastAsia="Arial" w:hAnsi="Arial"/>
          <w:sz w:val="12"/>
          <w:szCs w:val="12"/>
          <w:color w:val="auto"/>
        </w:rPr>
      </w:pPr>
    </w:p>
    <w:p>
      <w:pPr>
        <w:ind w:left="1180" w:hanging="593"/>
        <w:spacing w:after="0"/>
        <w:tabs>
          <w:tab w:leader="none" w:pos="1180" w:val="left"/>
        </w:tabs>
        <w:numPr>
          <w:ilvl w:val="0"/>
          <w:numId w:val="3"/>
        </w:numPr>
        <w:rPr>
          <w:rFonts w:ascii="Arial" w:cs="Arial" w:eastAsia="Arial" w:hAnsi="Arial"/>
          <w:sz w:val="12"/>
          <w:szCs w:val="12"/>
          <w:color w:val="auto"/>
        </w:rPr>
      </w:pPr>
      <w:r>
        <w:rPr>
          <w:rFonts w:ascii="Arial" w:cs="Arial" w:eastAsia="Arial" w:hAnsi="Arial"/>
          <w:sz w:val="12"/>
          <w:szCs w:val="12"/>
          <w:color w:val="auto"/>
        </w:rPr>
        <w:t>changes in the U.S. tax law and other federal, state or local laws, whether or not specific to REITs, including the impact of the recently enacted U.S. tax reform legislation;</w:t>
      </w:r>
    </w:p>
    <w:p>
      <w:pPr>
        <w:spacing w:after="0" w:line="78" w:lineRule="exact"/>
        <w:rPr>
          <w:rFonts w:ascii="Arial" w:cs="Arial" w:eastAsia="Arial" w:hAnsi="Arial"/>
          <w:sz w:val="12"/>
          <w:szCs w:val="12"/>
          <w:color w:val="auto"/>
        </w:rPr>
      </w:pPr>
    </w:p>
    <w:p>
      <w:pPr>
        <w:ind w:left="1180" w:hanging="593"/>
        <w:spacing w:after="0"/>
        <w:tabs>
          <w:tab w:leader="none" w:pos="1180" w:val="left"/>
        </w:tabs>
        <w:numPr>
          <w:ilvl w:val="0"/>
          <w:numId w:val="3"/>
        </w:numPr>
        <w:rPr>
          <w:rFonts w:ascii="Arial" w:cs="Arial" w:eastAsia="Arial" w:hAnsi="Arial"/>
          <w:sz w:val="12"/>
          <w:szCs w:val="12"/>
          <w:color w:val="auto"/>
        </w:rPr>
      </w:pPr>
      <w:r>
        <w:rPr>
          <w:rFonts w:ascii="Arial" w:cs="Arial" w:eastAsia="Arial" w:hAnsi="Arial"/>
          <w:sz w:val="12"/>
          <w:szCs w:val="12"/>
          <w:color w:val="auto"/>
        </w:rPr>
        <w:t>covenants in our debt agreements that may limit our operational flexibility;</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131" w:right="219" w:bottom="1440" w:gutter="0" w:footer="0" w:header="0"/>
        </w:sectPr>
      </w:pPr>
    </w:p>
    <w:bookmarkStart w:id="3" w:name="page4"/>
    <w:bookmarkEnd w:id="3"/>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ind w:left="1180" w:hanging="593"/>
        <w:spacing w:after="0"/>
        <w:tabs>
          <w:tab w:leader="none" w:pos="118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possibility that we may experience equipment failures, natural disasters, cyber attacks or terrorist attacks for which our insurance may not provide adequate coverage;</w:t>
      </w:r>
    </w:p>
    <w:p>
      <w:pPr>
        <w:spacing w:after="0" w:line="78" w:lineRule="exact"/>
        <w:rPr>
          <w:rFonts w:ascii="Arial" w:cs="Arial" w:eastAsia="Arial" w:hAnsi="Arial"/>
          <w:sz w:val="12"/>
          <w:szCs w:val="12"/>
          <w:color w:val="auto"/>
        </w:rPr>
      </w:pPr>
    </w:p>
    <w:p>
      <w:pPr>
        <w:ind w:left="1180" w:hanging="593"/>
        <w:spacing w:after="0"/>
        <w:tabs>
          <w:tab w:leader="none" w:pos="118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risk that we fail to fully realize the potential benefits of or have difficulty in integrating the companies we acquire;</w:t>
      </w:r>
    </w:p>
    <w:p>
      <w:pPr>
        <w:spacing w:after="0" w:line="78" w:lineRule="exact"/>
        <w:rPr>
          <w:rFonts w:ascii="Arial" w:cs="Arial" w:eastAsia="Arial" w:hAnsi="Arial"/>
          <w:sz w:val="12"/>
          <w:szCs w:val="12"/>
          <w:color w:val="auto"/>
        </w:rPr>
      </w:pPr>
    </w:p>
    <w:p>
      <w:pPr>
        <w:ind w:left="1180" w:right="440" w:hanging="593"/>
        <w:spacing w:after="0" w:line="276" w:lineRule="auto"/>
        <w:tabs>
          <w:tab w:leader="none" w:pos="1180" w:val="left"/>
        </w:tabs>
        <w:numPr>
          <w:ilvl w:val="0"/>
          <w:numId w:val="4"/>
        </w:numPr>
        <w:rPr>
          <w:rFonts w:ascii="Arial" w:cs="Arial" w:eastAsia="Arial" w:hAnsi="Arial"/>
          <w:sz w:val="12"/>
          <w:szCs w:val="12"/>
          <w:color w:val="auto"/>
        </w:rPr>
      </w:pPr>
      <w:r>
        <w:rPr>
          <w:rFonts w:ascii="Arial" w:cs="Arial" w:eastAsia="Arial" w:hAnsi="Arial"/>
          <w:sz w:val="12"/>
          <w:szCs w:val="12"/>
          <w:color w:val="auto"/>
        </w:rPr>
        <w:t>other risks inherent in the communications industry and in the ownership of communications distribution systems, including potential liability relating to environmental matters and illiquidity of real estate investments;</w:t>
      </w:r>
    </w:p>
    <w:p>
      <w:pPr>
        <w:spacing w:after="0" w:line="42" w:lineRule="exact"/>
        <w:rPr>
          <w:rFonts w:ascii="Arial" w:cs="Arial" w:eastAsia="Arial" w:hAnsi="Arial"/>
          <w:sz w:val="12"/>
          <w:szCs w:val="12"/>
          <w:color w:val="auto"/>
        </w:rPr>
      </w:pPr>
    </w:p>
    <w:p>
      <w:pPr>
        <w:ind w:left="1180" w:hanging="593"/>
        <w:spacing w:after="0"/>
        <w:tabs>
          <w:tab w:leader="none" w:pos="118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risk that the TPx transaction agreements may be modified or terminated prior to expiration or that the conditions to the TPx transaction may not be satisfied; and</w:t>
      </w:r>
    </w:p>
    <w:p>
      <w:pPr>
        <w:spacing w:after="0" w:line="78" w:lineRule="exact"/>
        <w:rPr>
          <w:rFonts w:ascii="Arial" w:cs="Arial" w:eastAsia="Arial" w:hAnsi="Arial"/>
          <w:sz w:val="12"/>
          <w:szCs w:val="12"/>
          <w:color w:val="auto"/>
        </w:rPr>
      </w:pPr>
    </w:p>
    <w:p>
      <w:pPr>
        <w:ind w:left="1180" w:hanging="593"/>
        <w:spacing w:after="0" w:line="276" w:lineRule="auto"/>
        <w:tabs>
          <w:tab w:leader="none" w:pos="1180" w:val="left"/>
        </w:tabs>
        <w:numPr>
          <w:ilvl w:val="0"/>
          <w:numId w:val="4"/>
        </w:numPr>
        <w:rPr>
          <w:rFonts w:ascii="Arial" w:cs="Arial" w:eastAsia="Arial" w:hAnsi="Arial"/>
          <w:sz w:val="12"/>
          <w:szCs w:val="12"/>
          <w:color w:val="auto"/>
        </w:rPr>
      </w:pPr>
      <w:r>
        <w:rPr>
          <w:rFonts w:ascii="Arial" w:cs="Arial" w:eastAsia="Arial" w:hAnsi="Arial"/>
          <w:sz w:val="12"/>
          <w:szCs w:val="12"/>
          <w:color w:val="auto"/>
        </w:rPr>
        <w:t>additional factors discussed in Part I, Item 1A “Risk Factors” and Part II, Item 7 “Management’s Discussion and Analysis of Financial Condition and Results of Operations” of this Annual Report on Form 10-K, as well as those described from time to time in our future reports filed with the U.S. Securities and Exchange Commission (the “SEC”).</w:t>
      </w:r>
    </w:p>
    <w:p>
      <w:pPr>
        <w:spacing w:after="0" w:line="115" w:lineRule="exact"/>
        <w:rPr>
          <w:sz w:val="20"/>
          <w:szCs w:val="20"/>
          <w:color w:val="auto"/>
        </w:rPr>
      </w:pPr>
    </w:p>
    <w:p>
      <w:pPr>
        <w:ind w:right="220"/>
        <w:spacing w:after="0" w:line="276" w:lineRule="auto"/>
        <w:rPr>
          <w:sz w:val="20"/>
          <w:szCs w:val="20"/>
          <w:color w:val="auto"/>
        </w:rPr>
      </w:pPr>
      <w:r>
        <w:rPr>
          <w:rFonts w:ascii="Arial" w:cs="Arial" w:eastAsia="Arial" w:hAnsi="Arial"/>
          <w:sz w:val="12"/>
          <w:szCs w:val="12"/>
          <w:color w:val="auto"/>
        </w:rPr>
        <w:t>Forward-looking statements speak only as of the date of this Annual Report. Except in the normal course of our public disclosure obligations, we expressly disclaim any obligation to release publicly any updates or revisions to any forward-looking statements to reflect any change in our expectations or any change in events, conditions or circumstances on which any such statement is based.</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20"/>
          </w:cols>
          <w:pgMar w:left="220" w:top="131" w:right="259" w:bottom="1440" w:gutter="0" w:footer="0" w:header="0"/>
        </w:sectPr>
      </w:pPr>
    </w:p>
    <w:bookmarkStart w:id="4" w:name="page5"/>
    <w:bookmarkEnd w:id="4"/>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7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PART I</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 Business.</w:t>
      </w:r>
    </w:p>
    <w:p>
      <w:pPr>
        <w:spacing w:after="0" w:line="222"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The Company</w:t>
      </w:r>
    </w:p>
    <w:p>
      <w:pPr>
        <w:spacing w:after="0" w:line="226" w:lineRule="exact"/>
        <w:rPr>
          <w:sz w:val="20"/>
          <w:szCs w:val="20"/>
          <w:color w:val="auto"/>
        </w:rPr>
      </w:pPr>
    </w:p>
    <w:p>
      <w:pPr>
        <w:ind w:right="100"/>
        <w:spacing w:after="0" w:line="263" w:lineRule="auto"/>
        <w:rPr>
          <w:sz w:val="20"/>
          <w:szCs w:val="20"/>
          <w:color w:val="auto"/>
        </w:rPr>
      </w:pPr>
      <w:r>
        <w:rPr>
          <w:rFonts w:ascii="Arial" w:cs="Arial" w:eastAsia="Arial" w:hAnsi="Arial"/>
          <w:sz w:val="12"/>
          <w:szCs w:val="12"/>
          <w:color w:val="auto"/>
        </w:rPr>
        <w:t>Uniti Group Inc. (the “Company”, “Uniti”, “we”, “us” or “our”) was incorporated in the state of Delaware in February 2014 and reorganized in the state of Maryland on September 4, 2014. Uniti is an independent, internally managed real estate investment trust (“REIT”) engaged in the acquisition and construction of mission critical infrastructure in the communications industry. We are principally focused on acquiring and constructing fiber optic broadband networks, wireless communications towers, copper and coaxial broadband networks and data centers.</w:t>
      </w:r>
    </w:p>
    <w:p>
      <w:pPr>
        <w:spacing w:after="0" w:line="51" w:lineRule="exact"/>
        <w:rPr>
          <w:sz w:val="20"/>
          <w:szCs w:val="20"/>
          <w:color w:val="auto"/>
        </w:rPr>
      </w:pPr>
    </w:p>
    <w:p>
      <w:pPr>
        <w:ind w:right="60"/>
        <w:spacing w:after="0" w:line="259" w:lineRule="auto"/>
        <w:rPr>
          <w:sz w:val="20"/>
          <w:szCs w:val="20"/>
          <w:color w:val="auto"/>
        </w:rPr>
      </w:pPr>
      <w:r>
        <w:rPr>
          <w:rFonts w:ascii="Arial" w:cs="Arial" w:eastAsia="Arial" w:hAnsi="Arial"/>
          <w:sz w:val="12"/>
          <w:szCs w:val="12"/>
          <w:color w:val="auto"/>
        </w:rPr>
        <w:t>On April 24, 2015, we were separated and spun-off (the “Spin-Off”) from Windstream Holdings, Inc. (“Windstream Holdings” and together with its subsidiaries, “Windstream”) pursuant to which Windstream contributed certain telecommunications network assets, including fiber and copper networks and other real estate (the “Distribution Systems”) and a small consumer competitive local exchange carrier (“CLEC”) business (the “Consumer CLEC Business”) to Uniti and Uniti issued common stock and indebtedness and paid cash obtained from borrowings under Uniti’s senior credit facilities to Windstream. In connection with the Spin-Off, we entered into a long-term exclusive triple-net lease (the “Master Lease”) with Windstream, pursuant to which we lease the Distribution Systems back to Windstream.</w:t>
      </w:r>
    </w:p>
    <w:p>
      <w:pPr>
        <w:spacing w:after="0" w:line="125" w:lineRule="exact"/>
        <w:rPr>
          <w:sz w:val="20"/>
          <w:szCs w:val="20"/>
          <w:color w:val="auto"/>
        </w:rPr>
      </w:pPr>
    </w:p>
    <w:p>
      <w:pPr>
        <w:spacing w:after="0" w:line="263" w:lineRule="auto"/>
        <w:rPr>
          <w:sz w:val="20"/>
          <w:szCs w:val="20"/>
          <w:color w:val="auto"/>
        </w:rPr>
      </w:pPr>
      <w:r>
        <w:rPr>
          <w:rFonts w:ascii="Arial" w:cs="Arial" w:eastAsia="Arial" w:hAnsi="Arial"/>
          <w:sz w:val="12"/>
          <w:szCs w:val="12"/>
          <w:color w:val="auto"/>
        </w:rPr>
        <w:t>Uniti operates as a REIT for U.S. federal income tax purposes. As a REIT, the Company is generally not subject to U.S. federal income taxes on income generated by its REIT operations, which includes income derived from the Master Lease. We have elected to treat the subsidiaries through which we operate Uniti Fiber and Consumer CLEC Business as taxable REIT subsidiaries (“TRSs”). TRSs enable us to engage in activities that do not result in income that would be qualifying income for a REIT. Our TRSs are subject to U.S. federal, state and local corporate income taxes.</w:t>
      </w:r>
    </w:p>
    <w:p>
      <w:pPr>
        <w:spacing w:after="0" w:line="123" w:lineRule="exact"/>
        <w:rPr>
          <w:sz w:val="20"/>
          <w:szCs w:val="20"/>
          <w:color w:val="auto"/>
        </w:rPr>
      </w:pPr>
    </w:p>
    <w:p>
      <w:pPr>
        <w:ind w:right="20"/>
        <w:spacing w:after="0" w:line="286" w:lineRule="auto"/>
        <w:rPr>
          <w:sz w:val="20"/>
          <w:szCs w:val="20"/>
          <w:color w:val="auto"/>
        </w:rPr>
      </w:pPr>
      <w:r>
        <w:rPr>
          <w:rFonts w:ascii="Arial" w:cs="Arial" w:eastAsia="Arial" w:hAnsi="Arial"/>
          <w:sz w:val="11"/>
          <w:szCs w:val="11"/>
          <w:color w:val="auto"/>
        </w:rPr>
        <w:t>The Company operates through a customary up-REIT structure, pursuant to which we hold substantially all of our assets through a partnership, Uniti Group LP, a Delaware limited partnership (the “Operating Partnership”), that we control as general partner. The only significant difference between the financial position and results of operations of the Operating Partnership and its subsidiaries compared to the consolidated financial position and consolidated results of operations of Uniti is that the results for the Operating Partnership and its subsidiaries do not include the Consumer CLEC Business, which is operated through Talk America Services, LLC (“Talk America”), a direct, wholly-owned subsidiary of Uniti. This structure is intended to facilitate future acquisition opportunities by providing the Company with the ability to use common units of the Operating Partnership as a tax-efficient acquisition currency. As of December 31, 2017, we are the sole general partner of the Operating Partnership and own approximately 97.7% of the partnership interests in the Operating Partnership.</w:t>
      </w:r>
    </w:p>
    <w:p>
      <w:pPr>
        <w:spacing w:after="0" w:line="111" w:lineRule="exact"/>
        <w:rPr>
          <w:sz w:val="20"/>
          <w:szCs w:val="20"/>
          <w:color w:val="auto"/>
        </w:rPr>
      </w:pPr>
    </w:p>
    <w:p>
      <w:pPr>
        <w:spacing w:after="0" w:line="259" w:lineRule="auto"/>
        <w:rPr>
          <w:rFonts w:ascii="Arial" w:cs="Arial" w:eastAsia="Arial" w:hAnsi="Arial"/>
          <w:sz w:val="12"/>
          <w:szCs w:val="12"/>
          <w:color w:val="auto"/>
        </w:rPr>
      </w:pPr>
      <w:r>
        <w:rPr>
          <w:rFonts w:ascii="Arial" w:cs="Arial" w:eastAsia="Arial" w:hAnsi="Arial"/>
          <w:sz w:val="12"/>
          <w:szCs w:val="12"/>
          <w:color w:val="auto"/>
        </w:rPr>
        <w:t xml:space="preserve">For the year ended December 31, 2017, we had revenues of $916.0 million, net loss attributable to common shareholders of $16.6 million, Funds From Operations (“FFO”) of $352.5 million and Adjusted Funds From Operations (“AFFO”) of $424.8 million. Both FFO and AFFO are non-GAAP financial measures, which we use to analyze our results. Refer to Part II, Item 7 </w:t>
      </w:r>
      <w:r>
        <w:rPr>
          <w:rFonts w:ascii="Arial" w:cs="Arial" w:eastAsia="Arial" w:hAnsi="Arial"/>
          <w:sz w:val="12"/>
          <w:szCs w:val="12"/>
          <w:i w:val="1"/>
          <w:iCs w:val="1"/>
          <w:color w:val="auto"/>
        </w:rPr>
        <w:t>Management’s Discussion and Analysis of Financial Condition and Results of Operations,</w:t>
      </w:r>
      <w:r>
        <w:rPr>
          <w:rFonts w:ascii="Arial" w:cs="Arial" w:eastAsia="Arial" w:hAnsi="Arial"/>
          <w:sz w:val="12"/>
          <w:szCs w:val="12"/>
          <w:color w:val="auto"/>
        </w:rPr>
        <w:t xml:space="preserve"> of this Annual Report for additional information regarding these non-GAAP measures. As of December 31, 2017, we managed our operations in four reportable business segments, which are described in more detail in </w:t>
      </w:r>
      <w:hyperlink w:anchor="page84">
        <w:r>
          <w:rPr>
            <w:rFonts w:ascii="Arial" w:cs="Arial" w:eastAsia="Arial" w:hAnsi="Arial"/>
            <w:sz w:val="12"/>
            <w:szCs w:val="12"/>
            <w:u w:val="single" w:color="auto"/>
            <w:color w:val="0000EE"/>
          </w:rPr>
          <w:t>Note 13</w:t>
        </w:r>
        <w:r>
          <w:rPr>
            <w:rFonts w:ascii="Arial" w:cs="Arial" w:eastAsia="Arial" w:hAnsi="Arial"/>
            <w:sz w:val="12"/>
            <w:szCs w:val="12"/>
            <w:u w:val="single" w:color="auto"/>
            <w:color w:val="auto"/>
          </w:rPr>
          <w:t xml:space="preserve"> </w:t>
        </w:r>
      </w:hyperlink>
      <w:r>
        <w:rPr>
          <w:rFonts w:ascii="Arial" w:cs="Arial" w:eastAsia="Arial" w:hAnsi="Arial"/>
          <w:sz w:val="12"/>
          <w:szCs w:val="12"/>
          <w:color w:val="auto"/>
        </w:rPr>
        <w:t xml:space="preserve">to our consolidated financial statements contained in Part II, Item 8 </w:t>
      </w:r>
      <w:r>
        <w:rPr>
          <w:rFonts w:ascii="Arial" w:cs="Arial" w:eastAsia="Arial" w:hAnsi="Arial"/>
          <w:sz w:val="12"/>
          <w:szCs w:val="12"/>
          <w:i w:val="1"/>
          <w:iCs w:val="1"/>
          <w:color w:val="auto"/>
        </w:rPr>
        <w:t>Financial Statements and Supplementary Data</w:t>
      </w:r>
      <w:r>
        <w:rPr>
          <w:rFonts w:ascii="Arial" w:cs="Arial" w:eastAsia="Arial" w:hAnsi="Arial"/>
          <w:sz w:val="12"/>
          <w:szCs w:val="12"/>
          <w:color w:val="auto"/>
        </w:rPr>
        <w:t>.</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Business</w:t>
      </w:r>
    </w:p>
    <w:p>
      <w:pPr>
        <w:spacing w:after="0" w:line="154"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color w:val="auto"/>
        </w:rPr>
        <w:t xml:space="preserve">We are an independent, internally-managed REIT engaged in the acquisition and construction of mission critical infrastructure in the communications industry. We manage our operations in four separate lines of business: </w:t>
      </w:r>
      <w:r>
        <w:rPr>
          <w:rFonts w:ascii="Arial" w:cs="Arial" w:eastAsia="Arial" w:hAnsi="Arial"/>
          <w:sz w:val="12"/>
          <w:szCs w:val="12"/>
          <w:i w:val="1"/>
          <w:iCs w:val="1"/>
          <w:color w:val="auto"/>
        </w:rPr>
        <w:t>Uniti Fiber</w:t>
      </w:r>
      <w:r>
        <w:rPr>
          <w:rFonts w:ascii="Arial" w:cs="Arial" w:eastAsia="Arial" w:hAnsi="Arial"/>
          <w:sz w:val="12"/>
          <w:szCs w:val="12"/>
          <w:color w:val="auto"/>
        </w:rPr>
        <w:t xml:space="preserve">, </w:t>
      </w:r>
      <w:r>
        <w:rPr>
          <w:rFonts w:ascii="Arial" w:cs="Arial" w:eastAsia="Arial" w:hAnsi="Arial"/>
          <w:sz w:val="12"/>
          <w:szCs w:val="12"/>
          <w:i w:val="1"/>
          <w:iCs w:val="1"/>
          <w:color w:val="auto"/>
        </w:rPr>
        <w:t>Uniti</w:t>
      </w:r>
      <w:r>
        <w:rPr>
          <w:rFonts w:ascii="Arial" w:cs="Arial" w:eastAsia="Arial" w:hAnsi="Arial"/>
          <w:sz w:val="12"/>
          <w:szCs w:val="12"/>
          <w:color w:val="auto"/>
        </w:rPr>
        <w:t xml:space="preserve"> </w:t>
      </w:r>
      <w:r>
        <w:rPr>
          <w:rFonts w:ascii="Arial" w:cs="Arial" w:eastAsia="Arial" w:hAnsi="Arial"/>
          <w:sz w:val="12"/>
          <w:szCs w:val="12"/>
          <w:i w:val="1"/>
          <w:iCs w:val="1"/>
          <w:color w:val="auto"/>
        </w:rPr>
        <w:t>Towers</w:t>
      </w:r>
      <w:r>
        <w:rPr>
          <w:rFonts w:ascii="Arial" w:cs="Arial" w:eastAsia="Arial" w:hAnsi="Arial"/>
          <w:sz w:val="12"/>
          <w:szCs w:val="12"/>
          <w:color w:val="auto"/>
        </w:rPr>
        <w:t>,</w:t>
      </w:r>
      <w:r>
        <w:rPr>
          <w:rFonts w:ascii="Arial" w:cs="Arial" w:eastAsia="Arial" w:hAnsi="Arial"/>
          <w:sz w:val="12"/>
          <w:szCs w:val="12"/>
          <w:i w:val="1"/>
          <w:iCs w:val="1"/>
          <w:color w:val="auto"/>
        </w:rPr>
        <w:t xml:space="preserve"> Uniti Leasing </w:t>
      </w:r>
      <w:r>
        <w:rPr>
          <w:rFonts w:ascii="Arial" w:cs="Arial" w:eastAsia="Arial" w:hAnsi="Arial"/>
          <w:sz w:val="12"/>
          <w:szCs w:val="12"/>
          <w:color w:val="auto"/>
        </w:rPr>
        <w:t>and</w:t>
      </w:r>
      <w:r>
        <w:rPr>
          <w:rFonts w:ascii="Arial" w:cs="Arial" w:eastAsia="Arial" w:hAnsi="Arial"/>
          <w:sz w:val="12"/>
          <w:szCs w:val="12"/>
          <w:i w:val="1"/>
          <w:iCs w:val="1"/>
          <w:color w:val="auto"/>
        </w:rPr>
        <w:t xml:space="preserve"> Talk America</w:t>
      </w:r>
      <w:r>
        <w:rPr>
          <w:rFonts w:ascii="Arial" w:cs="Arial" w:eastAsia="Arial" w:hAnsi="Arial"/>
          <w:sz w:val="12"/>
          <w:szCs w:val="12"/>
          <w:color w:val="auto"/>
        </w:rPr>
        <w:t>.</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5" w:name="page6"/>
    <w:bookmarkEnd w:id="5"/>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7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Uniti Fiber</w:t>
      </w:r>
    </w:p>
    <w:p>
      <w:pPr>
        <w:spacing w:after="0" w:line="150" w:lineRule="exact"/>
        <w:rPr>
          <w:sz w:val="20"/>
          <w:szCs w:val="20"/>
          <w:color w:val="auto"/>
        </w:rPr>
      </w:pPr>
    </w:p>
    <w:p>
      <w:pPr>
        <w:ind w:right="20"/>
        <w:spacing w:after="0" w:line="259" w:lineRule="auto"/>
        <w:rPr>
          <w:sz w:val="20"/>
          <w:szCs w:val="20"/>
          <w:color w:val="auto"/>
        </w:rPr>
      </w:pPr>
      <w:r>
        <w:rPr>
          <w:rFonts w:ascii="Arial" w:cs="Arial" w:eastAsia="Arial" w:hAnsi="Arial"/>
          <w:sz w:val="12"/>
          <w:szCs w:val="12"/>
          <w:color w:val="auto"/>
        </w:rPr>
        <w:t>Uniti Fiber is a leading provider of infrastructure solutions, including cell site backhaul and small cell for wireless operators and Ethernet, wavelengths and dark fiber for telecommunications carriers and enterprises. With Uniti Fiber, our goal is to capitalize on the rising demand by carriers and enterprises for dark fiber, establish ourselves as a proven small-cell systems provider and leverage wholesale enterprise opportunities as well as opportunities through the School and Libraries Program (commonly referred to as E-Rate) administered by the Universal Service Administrative Company. We believe Uniti Fiber is the mission-critical focal point in the modern communications infrastructure industry and will accelerate our growth and diversification strategy and expand our relationships with high quality national and international wireless carriers.</w:t>
      </w:r>
    </w:p>
    <w:p>
      <w:pPr>
        <w:spacing w:after="0" w:line="125" w:lineRule="exact"/>
        <w:rPr>
          <w:sz w:val="20"/>
          <w:szCs w:val="20"/>
          <w:color w:val="auto"/>
        </w:rPr>
      </w:pPr>
    </w:p>
    <w:p>
      <w:pPr>
        <w:jc w:val="both"/>
        <w:ind w:right="300"/>
        <w:spacing w:after="0" w:line="263" w:lineRule="auto"/>
        <w:rPr>
          <w:sz w:val="20"/>
          <w:szCs w:val="20"/>
          <w:color w:val="auto"/>
        </w:rPr>
      </w:pPr>
      <w:r>
        <w:rPr>
          <w:rFonts w:ascii="Arial" w:cs="Arial" w:eastAsia="Arial" w:hAnsi="Arial"/>
          <w:sz w:val="12"/>
          <w:szCs w:val="12"/>
          <w:color w:val="auto"/>
        </w:rPr>
        <w:t>On July 3, 2017, we acquired Southern Light and Hunt. Southern Light is a provider of data transport services along the Gulf Coast region serving twelve attractive Tier II and Tier III markets across Florida, Alabama, Louisiana, and Mississippi, and Hunt is a provider of data transport to K-12 schools and government agencies with a dense fiber network in Louisiana. These acquisitions allow us to scale our products and capacity with wireless carriers, enterprise, wholesale, and E-Rate customers across a significantly expanded Uniti Fiber network.</w:t>
      </w:r>
    </w:p>
    <w:p>
      <w:pPr>
        <w:spacing w:after="0" w:line="123"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At December 31, 2017, Uniti Fiber’s revenues under contract were over $1.3 billion, with a network consisting of 1.4 million strand miles of fiber and approximately 16,750 customer connections. Results for Uniti Fiber are reported in our consolidated financial statements in our Fiber Infrastructure business segment.</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Uniti Towers</w:t>
      </w:r>
    </w:p>
    <w:p>
      <w:pPr>
        <w:spacing w:after="0" w:line="150" w:lineRule="exact"/>
        <w:rPr>
          <w:sz w:val="20"/>
          <w:szCs w:val="20"/>
          <w:color w:val="auto"/>
        </w:rPr>
      </w:pPr>
    </w:p>
    <w:p>
      <w:pPr>
        <w:jc w:val="both"/>
        <w:ind w:right="20"/>
        <w:spacing w:after="0" w:line="259" w:lineRule="auto"/>
        <w:rPr>
          <w:sz w:val="20"/>
          <w:szCs w:val="20"/>
          <w:color w:val="auto"/>
        </w:rPr>
      </w:pPr>
      <w:r>
        <w:rPr>
          <w:rFonts w:ascii="Arial" w:cs="Arial" w:eastAsia="Arial" w:hAnsi="Arial"/>
          <w:sz w:val="12"/>
          <w:szCs w:val="12"/>
          <w:color w:val="auto"/>
        </w:rPr>
        <w:t>The strategy of Uniti Towers is to acquire and construct tower and tower-related real estate in the United States and Latin America. We are focused on markets with strong macroeconomic fundamentals, politically stable environments and strong underlying communications growth trends. Specifically, our focus is on markets where numerous investment grade carriers operate and there is strong communications infrastructure potential due to underpenetrated 5G, 4G or even 3G technology. Uniti Towers also provides build-to-suit opportunities using customized master lease agreements designed for long-term carrier partnerships. We believe that our strategy of focusing on fiber and towers in the United States and Latin America through Uniti Fiber and Uniti Towers is highly synergistic and will drive incremental growth opportunities.</w:t>
      </w:r>
    </w:p>
    <w:p>
      <w:pPr>
        <w:spacing w:after="0" w:line="125" w:lineRule="exact"/>
        <w:rPr>
          <w:sz w:val="20"/>
          <w:szCs w:val="20"/>
          <w:color w:val="auto"/>
        </w:rPr>
      </w:pPr>
    </w:p>
    <w:p>
      <w:pPr>
        <w:spacing w:after="0"/>
        <w:rPr>
          <w:sz w:val="20"/>
          <w:szCs w:val="20"/>
          <w:color w:val="auto"/>
        </w:rPr>
      </w:pPr>
      <w:r>
        <w:rPr>
          <w:rFonts w:ascii="Arial" w:cs="Arial" w:eastAsia="Arial" w:hAnsi="Arial"/>
          <w:sz w:val="11"/>
          <w:szCs w:val="11"/>
          <w:color w:val="auto"/>
        </w:rPr>
        <w:t>On January 31, 2017, Uniti Towers completed the acquisition of Network Management Holdings LTD (“NMS”). At close, NMS owned and operated 366 wireless communications towers across Mexico, Colombia, and Nicaragua.</w:t>
      </w:r>
    </w:p>
    <w:p>
      <w:pPr>
        <w:spacing w:after="0" w:line="162" w:lineRule="exact"/>
        <w:rPr>
          <w:sz w:val="20"/>
          <w:szCs w:val="20"/>
          <w:color w:val="auto"/>
        </w:rPr>
      </w:pPr>
    </w:p>
    <w:p>
      <w:pPr>
        <w:ind w:right="80"/>
        <w:spacing w:after="0" w:line="276" w:lineRule="auto"/>
        <w:rPr>
          <w:sz w:val="20"/>
          <w:szCs w:val="20"/>
          <w:color w:val="auto"/>
        </w:rPr>
      </w:pPr>
      <w:r>
        <w:rPr>
          <w:rFonts w:ascii="Arial" w:cs="Arial" w:eastAsia="Arial" w:hAnsi="Arial"/>
          <w:sz w:val="12"/>
          <w:szCs w:val="12"/>
          <w:color w:val="auto"/>
        </w:rPr>
        <w:t>At December 31, 2017, the Uniti Towers’ portfolio consisted of 227 wireless communications towers located in 20 states across the eastern and central United States and 440 wireless communications towers in Latin America. Results for Uniti Towers are reported in our consolidated financial statements in our Towers business segment.</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Uniti Leasing</w:t>
      </w:r>
    </w:p>
    <w:p>
      <w:pPr>
        <w:spacing w:after="0" w:line="150" w:lineRule="exact"/>
        <w:rPr>
          <w:sz w:val="20"/>
          <w:szCs w:val="20"/>
          <w:color w:val="auto"/>
        </w:rPr>
      </w:pPr>
    </w:p>
    <w:p>
      <w:pPr>
        <w:ind w:right="180"/>
        <w:spacing w:after="0" w:line="255" w:lineRule="auto"/>
        <w:rPr>
          <w:sz w:val="20"/>
          <w:szCs w:val="20"/>
          <w:color w:val="auto"/>
        </w:rPr>
      </w:pPr>
      <w:r>
        <w:rPr>
          <w:rFonts w:ascii="Arial" w:cs="Arial" w:eastAsia="Arial" w:hAnsi="Arial"/>
          <w:sz w:val="12"/>
          <w:szCs w:val="12"/>
          <w:color w:val="auto"/>
        </w:rPr>
        <w:t>Uniti Leasing is engaged in acquiring mission-critical communications assets, such as fiber, data centers, next-generation consumer broadband, coaxial and upgradeable copper, and leasing them back to anchor customers on either an exclusive or shared-tenant basis. Presently, Uniti Leasing’s primary source of revenue is rental revenues from leasing the Distribution Systems to Windstream under the Master Lease. We believe our attractive cost of capital and advantaged REIT structure will enable Uniti Leasing to provide creative and tax-efficient solutions to additional customers, including (i) sale leaseback transactions, whereby Uniti Leasing acquires existing infrastructure assets from communications service providers and leases them back on a long-term basis; (ii) capital investment financing, whereby Uniti Leasing offers communications service providers a cost-efficient method of raising funds for discrete capital investments to upgrade or expand their network; and (iii) mergers and acquisitions financing, whereby Uniti Leasing facilitates mergers and acquisition transactions as a capital partner. Results for Uniti Leasing are reported in our consolidated financial statements in our Leasing business segment.</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Talk America</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131" w:right="219" w:bottom="1440" w:gutter="0" w:footer="0" w:header="0"/>
        </w:sectPr>
      </w:pPr>
    </w:p>
    <w:bookmarkStart w:id="6" w:name="page7"/>
    <w:bookmarkEnd w:id="6"/>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78" w:lineRule="exact"/>
        <w:rPr>
          <w:sz w:val="20"/>
          <w:szCs w:val="20"/>
          <w:color w:val="auto"/>
        </w:rPr>
      </w:pPr>
    </w:p>
    <w:p>
      <w:pPr>
        <w:jc w:val="both"/>
        <w:ind w:right="80"/>
        <w:spacing w:after="0" w:line="263" w:lineRule="auto"/>
        <w:rPr>
          <w:sz w:val="20"/>
          <w:szCs w:val="20"/>
          <w:color w:val="auto"/>
        </w:rPr>
      </w:pPr>
      <w:r>
        <w:rPr>
          <w:rFonts w:ascii="Arial" w:cs="Arial" w:eastAsia="Arial" w:hAnsi="Arial"/>
          <w:sz w:val="12"/>
          <w:szCs w:val="12"/>
          <w:color w:val="auto"/>
        </w:rPr>
        <w:t>We conduct the Consumer CLEC Business through Talk America Services, LLC. Talk America provides local telephone, high-speed Internet and long distance service to approximately 28,500 customers principally located in 17 states across the eastern and central United States. Substantially all of the network assets used to provide these services to customers are contracted through interconnection agreements with other telecommunications carriers. Results for Talk America are reported in our in our consolidated financial statements in our Consumer CLEC business segment.</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Industry</w:t>
      </w:r>
    </w:p>
    <w:p>
      <w:pPr>
        <w:spacing w:after="0" w:line="172" w:lineRule="exact"/>
        <w:rPr>
          <w:sz w:val="20"/>
          <w:szCs w:val="20"/>
          <w:color w:val="auto"/>
        </w:rPr>
      </w:pPr>
    </w:p>
    <w:p>
      <w:pPr>
        <w:ind w:right="40"/>
        <w:spacing w:after="0" w:line="257" w:lineRule="auto"/>
        <w:rPr>
          <w:sz w:val="20"/>
          <w:szCs w:val="20"/>
          <w:color w:val="auto"/>
        </w:rPr>
      </w:pPr>
      <w:r>
        <w:rPr>
          <w:rFonts w:ascii="Arial" w:cs="Arial" w:eastAsia="Arial" w:hAnsi="Arial"/>
          <w:sz w:val="12"/>
          <w:szCs w:val="12"/>
          <w:color w:val="auto"/>
        </w:rPr>
        <w:t>The current communications infrastructure industry is marked by the growing demand for and use of bandwidth-intensive devices and applications, such as smart devices, real-time and online streaming video, cloud-based applications, social media and mobile broadband. This growth in consumption requires the support of robust communications infrastructure, of which fiber networks and communications towers are critical components. Substantial investments have been made in recent years in fiber networks, lit services and colocation facilities to keep pace with the increased bandwidth use of both enterprise- and consumer-end users. As companies attempt to keep pace with this rapidly evolving business sector, communications infrastructure continues to increase in priority and economic importance. We believe this considerable demand creates tremendous opportunities for us as an acquirer and operator and as a funding source for operators seeking to capitalize on these trends through build outs and acquisitions of infrastructure assets.</w:t>
      </w:r>
    </w:p>
    <w:p>
      <w:pPr>
        <w:spacing w:after="0" w:line="126" w:lineRule="exact"/>
        <w:rPr>
          <w:sz w:val="20"/>
          <w:szCs w:val="20"/>
          <w:color w:val="auto"/>
        </w:rPr>
      </w:pPr>
    </w:p>
    <w:p>
      <w:pPr>
        <w:spacing w:after="0" w:line="259" w:lineRule="auto"/>
        <w:rPr>
          <w:sz w:val="20"/>
          <w:szCs w:val="20"/>
          <w:color w:val="auto"/>
        </w:rPr>
      </w:pPr>
      <w:r>
        <w:rPr>
          <w:rFonts w:ascii="Arial" w:cs="Arial" w:eastAsia="Arial" w:hAnsi="Arial"/>
          <w:sz w:val="12"/>
          <w:szCs w:val="12"/>
          <w:color w:val="auto"/>
        </w:rPr>
        <w:t>The wireless communications industry is a prime example of the growing importance of the bandwidth infrastructure industry. As wireless traffic and mobile data consumption continue to grow worldwide, participants in the wireless communications industry are increasing their network capacity through the development of new wireless cell sites and the addition of bandwidth capacity. Consumers are demanding network quality and coverage, and as a result wireless carriers are making significant capital investments to improve quality, expand their coverage and remain relevant in a highly competitive industry. We expect this continued growth in capital expenditures to generate high demands for wireless towers (including strong growth in long-term tower leasing), tower space and bandwidth infrastructure services.</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Strategy</w:t>
      </w:r>
    </w:p>
    <w:p>
      <w:pPr>
        <w:spacing w:after="0" w:line="154" w:lineRule="exact"/>
        <w:rPr>
          <w:sz w:val="20"/>
          <w:szCs w:val="20"/>
          <w:color w:val="auto"/>
        </w:rPr>
      </w:pPr>
    </w:p>
    <w:p>
      <w:pPr>
        <w:ind w:right="220"/>
        <w:spacing w:after="0" w:line="323" w:lineRule="auto"/>
        <w:rPr>
          <w:sz w:val="20"/>
          <w:szCs w:val="20"/>
          <w:color w:val="auto"/>
        </w:rPr>
      </w:pPr>
      <w:r>
        <w:rPr>
          <w:rFonts w:ascii="Arial" w:cs="Arial" w:eastAsia="Arial" w:hAnsi="Arial"/>
          <w:sz w:val="11"/>
          <w:szCs w:val="11"/>
          <w:color w:val="auto"/>
        </w:rPr>
        <w:t>Our primary goal is to create long-term stockholder value by (i) generating reliable and growing cash flows, (ii) diversifying our tenant and asset base, (iii) paying a consistent dividend, and (iv) maintaining our financial strength and liquidity. To achieve this goal, we employ a business strategy that leverages our first mover advantages in the sector and our strong access to the capital markets. The key components of our business strategy are:</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Acquire Additional Infrastructure Assets Through Sale Leaseback Transactions</w:t>
      </w:r>
    </w:p>
    <w:p>
      <w:pPr>
        <w:spacing w:after="0" w:line="150" w:lineRule="exact"/>
        <w:rPr>
          <w:sz w:val="20"/>
          <w:szCs w:val="20"/>
          <w:color w:val="auto"/>
        </w:rPr>
      </w:pPr>
    </w:p>
    <w:p>
      <w:pPr>
        <w:ind w:right="40"/>
        <w:spacing w:after="0" w:line="340" w:lineRule="auto"/>
        <w:rPr>
          <w:sz w:val="20"/>
          <w:szCs w:val="20"/>
          <w:color w:val="auto"/>
        </w:rPr>
      </w:pPr>
      <w:r>
        <w:rPr>
          <w:rFonts w:ascii="Arial" w:cs="Arial" w:eastAsia="Arial" w:hAnsi="Arial"/>
          <w:sz w:val="10"/>
          <w:szCs w:val="10"/>
          <w:color w:val="auto"/>
        </w:rPr>
        <w:t>We are actively seeking to acquire communications infrastructure assets from communication service providers and lease these assets back to the communication service providers on a long-term basis. We believe this type of transaction benefits the communication service providers with incremental liquidity which can be used to reduce indebtedness or for other investments, while they continue to focus on their existing business. We will employ a disciplined, opportunistic acquisition strategy and seek to price transactions appropriately based on, among other things, growth opportunities, the mix of assets acquired, length and terms of the lease, and credit worthiness of the tenant.</w:t>
      </w:r>
    </w:p>
    <w:p>
      <w:pPr>
        <w:spacing w:after="0" w:line="88" w:lineRule="exact"/>
        <w:rPr>
          <w:sz w:val="20"/>
          <w:szCs w:val="20"/>
          <w:color w:val="auto"/>
        </w:rPr>
      </w:pPr>
    </w:p>
    <w:p>
      <w:pPr>
        <w:ind w:right="60"/>
        <w:spacing w:after="0" w:line="276" w:lineRule="auto"/>
        <w:rPr>
          <w:sz w:val="20"/>
          <w:szCs w:val="20"/>
          <w:color w:val="auto"/>
        </w:rPr>
      </w:pPr>
      <w:r>
        <w:rPr>
          <w:rFonts w:ascii="Arial" w:cs="Arial" w:eastAsia="Arial" w:hAnsi="Arial"/>
          <w:sz w:val="12"/>
          <w:szCs w:val="12"/>
          <w:color w:val="auto"/>
        </w:rPr>
        <w:t>This strategy will also expand our mix of tenants and other real property and will reduce our revenue concentration with Windstream. We expect that this objective will be achieved over time as part of our overall strategy to acquire new distribution systems and other real property within the communications infrastructure industry to further diversify our overall portfolio.</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Capitalize on the Market Demand for Increased Bandwidth Infrastructure and Performance</w:t>
      </w:r>
    </w:p>
    <w:p>
      <w:pPr>
        <w:spacing w:after="0" w:line="150" w:lineRule="exact"/>
        <w:rPr>
          <w:sz w:val="20"/>
          <w:szCs w:val="20"/>
          <w:color w:val="auto"/>
        </w:rPr>
      </w:pPr>
    </w:p>
    <w:p>
      <w:pPr>
        <w:ind w:right="60"/>
        <w:spacing w:after="0" w:line="276" w:lineRule="auto"/>
        <w:rPr>
          <w:sz w:val="20"/>
          <w:szCs w:val="20"/>
          <w:color w:val="auto"/>
        </w:rPr>
      </w:pPr>
      <w:r>
        <w:rPr>
          <w:rFonts w:ascii="Arial" w:cs="Arial" w:eastAsia="Arial" w:hAnsi="Arial"/>
          <w:sz w:val="12"/>
          <w:szCs w:val="12"/>
          <w:color w:val="auto"/>
        </w:rPr>
        <w:t>Bandwidth intensive devices and applications are rapidly fueling worldwide consumption of bandwidth, which in turn fuels a continuously growing demand for stable and secure bandwidth. Communications service providers and other enterprises whose services and businesses require substantial amounts of bandwidth are increasingly looking</w:t>
      </w:r>
    </w:p>
    <w:p>
      <w:pPr>
        <w:spacing w:after="0" w:line="115" w:lineRule="exact"/>
        <w:rPr>
          <w:sz w:val="20"/>
          <w:szCs w:val="20"/>
          <w:color w:val="auto"/>
        </w:rPr>
      </w:pPr>
    </w:p>
    <w:p>
      <w:pPr>
        <w:jc w:val="center"/>
        <w:ind w:right="-119"/>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360"/>
          </w:cols>
          <w:pgMar w:left="220" w:top="131" w:right="319" w:bottom="1440" w:gutter="0" w:footer="0" w:header="0"/>
        </w:sectPr>
      </w:pPr>
    </w:p>
    <w:bookmarkStart w:id="7" w:name="page8"/>
    <w:bookmarkEnd w:id="7"/>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78" w:lineRule="exact"/>
        <w:rPr>
          <w:sz w:val="20"/>
          <w:szCs w:val="20"/>
          <w:color w:val="auto"/>
        </w:rPr>
      </w:pPr>
    </w:p>
    <w:p>
      <w:pPr>
        <w:ind w:right="60"/>
        <w:spacing w:after="0" w:line="276" w:lineRule="auto"/>
        <w:rPr>
          <w:sz w:val="20"/>
          <w:szCs w:val="20"/>
          <w:color w:val="auto"/>
        </w:rPr>
      </w:pPr>
      <w:r>
        <w:rPr>
          <w:rFonts w:ascii="Arial" w:cs="Arial" w:eastAsia="Arial" w:hAnsi="Arial"/>
          <w:sz w:val="12"/>
          <w:szCs w:val="12"/>
          <w:color w:val="auto"/>
        </w:rPr>
        <w:t>to infrastructure providers to support their bandwidth needs and to expand the reach, performance and security of their networks. We believe Uniti Fiber is well positioned to capitalize on this ongoing demand for bandwidth infrastructure solutions.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Fund Capital Extensions and Improvements of Infrastructure Assets for Existing and New Tenants</w:t>
      </w:r>
    </w:p>
    <w:p>
      <w:pPr>
        <w:spacing w:after="0" w:line="150" w:lineRule="exact"/>
        <w:rPr>
          <w:sz w:val="20"/>
          <w:szCs w:val="20"/>
          <w:color w:val="auto"/>
        </w:rPr>
      </w:pPr>
    </w:p>
    <w:p>
      <w:pPr>
        <w:ind w:right="500"/>
        <w:spacing w:after="0" w:line="380" w:lineRule="auto"/>
        <w:rPr>
          <w:sz w:val="20"/>
          <w:szCs w:val="20"/>
          <w:color w:val="auto"/>
        </w:rPr>
      </w:pPr>
      <w:r>
        <w:rPr>
          <w:rFonts w:ascii="Arial" w:cs="Arial" w:eastAsia="Arial" w:hAnsi="Arial"/>
          <w:sz w:val="10"/>
          <w:szCs w:val="10"/>
          <w:color w:val="auto"/>
        </w:rPr>
        <w:t>We believe the communications infrastructure industry in the United States is currently going through an upgrade cycle driven by the consumer’s general desire for greater bandwidth and wireless services. These upgrades require significant capital expenditures, and we believe Uniti provides an attractive, non-competitive funding source for communication service providers to help accelerate the expansion of their networks at an attractive cost of capital.</w:t>
      </w:r>
    </w:p>
    <w:p>
      <w:pPr>
        <w:spacing w:after="0" w:line="68"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color w:val="auto"/>
        </w:rPr>
        <w:t>We intend to support our tenant operators and other communication service providers by providing capital to them for a variety of purposes, including capacity augmentation projects, tower construction and network expansions. We expect to structure these investments as lease arrangements that produce additional rents.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Facilitate M&amp;A Transactions in the Communication Service Sector as a Capital Partner</w:t>
      </w:r>
    </w:p>
    <w:p>
      <w:pPr>
        <w:spacing w:after="0" w:line="150"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color w:val="auto"/>
        </w:rPr>
        <w:t>We believe Uniti can provide cost efficient funds to potential acquirors in the communication service sector, and thereby facilitate M&amp;A transactions as a capital partner. The highly fragmented nature of the communication service sector is expected to result in more consolidation, which we believe will provide us ample opportunity to pursue these types of transactions.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Maintain Balance Sheet Strength and Liquidity</w:t>
      </w:r>
    </w:p>
    <w:p>
      <w:pPr>
        <w:spacing w:after="0" w:line="150" w:lineRule="exact"/>
        <w:rPr>
          <w:sz w:val="20"/>
          <w:szCs w:val="20"/>
          <w:color w:val="auto"/>
        </w:rPr>
      </w:pPr>
    </w:p>
    <w:p>
      <w:pPr>
        <w:ind w:right="100"/>
        <w:spacing w:after="0" w:line="290" w:lineRule="auto"/>
        <w:rPr>
          <w:sz w:val="20"/>
          <w:szCs w:val="20"/>
          <w:color w:val="auto"/>
        </w:rPr>
      </w:pPr>
      <w:r>
        <w:rPr>
          <w:rFonts w:ascii="Arial" w:cs="Arial" w:eastAsia="Arial" w:hAnsi="Arial"/>
          <w:sz w:val="11"/>
          <w:szCs w:val="11"/>
          <w:color w:val="auto"/>
        </w:rPr>
        <w:t>We seek to maintain a capital structure that provides the resources and financial flexibility to position us to capitalize on strategic growth opportunities. Our access to, and cost of, external capital is dependent on various factors, including general market conditions, credit ratings on our securities, interest rates and expectations of our future business performance. We intend to maintain a strong balance sheet through disciplined use of leverage, aiming to lower our relative cost of capital over time, and continuing to have access to multiple sources of capital and liquidity. As of December 31, 2017, we had $59.8 million of unrestricted cash and cash equivalents, and $470 million of undrawn borrowing capacity under our revolving credit facility. All of our debt is either fixed-rate debt, or floating-rate debt that we have fixed through the use of interest rate swaps.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Competition</w:t>
      </w:r>
    </w:p>
    <w:p>
      <w:pPr>
        <w:spacing w:after="0" w:line="172" w:lineRule="exact"/>
        <w:rPr>
          <w:sz w:val="20"/>
          <w:szCs w:val="20"/>
          <w:color w:val="auto"/>
        </w:rPr>
      </w:pPr>
    </w:p>
    <w:p>
      <w:pPr>
        <w:spacing w:after="0" w:line="259" w:lineRule="auto"/>
        <w:rPr>
          <w:sz w:val="20"/>
          <w:szCs w:val="20"/>
          <w:color w:val="auto"/>
        </w:rPr>
      </w:pPr>
      <w:r>
        <w:rPr>
          <w:rFonts w:ascii="Arial" w:cs="Arial" w:eastAsia="Arial" w:hAnsi="Arial"/>
          <w:sz w:val="12"/>
          <w:szCs w:val="12"/>
          <w:color w:val="auto"/>
        </w:rPr>
        <w:t>We compete for investments in the communications industry with telecommunications companies, investment companies, private equity funds, hedge fund investors, sovereign funds and other REITs who focus primarily on specific segments of the communications infrastructure industry. The communications infrastructure industry is characterized by a high degree of competition among a large number of participants, including many local, regional and global corporations. Some of our competitors are significantly larger and have greater financial resources and lower costs of capital than we have. In addition, revenues from our network properties are dependent, to an extent, on the ability of our operating partners, like Windstream, to compete with other communication service providers.</w:t>
      </w:r>
    </w:p>
    <w:p>
      <w:pPr>
        <w:spacing w:after="0" w:line="143" w:lineRule="exact"/>
        <w:rPr>
          <w:sz w:val="20"/>
          <w:szCs w:val="20"/>
          <w:color w:val="auto"/>
        </w:rPr>
      </w:pPr>
    </w:p>
    <w:p>
      <w:pPr>
        <w:ind w:right="240"/>
        <w:spacing w:after="0" w:line="276" w:lineRule="auto"/>
        <w:rPr>
          <w:sz w:val="20"/>
          <w:szCs w:val="20"/>
          <w:color w:val="auto"/>
        </w:rPr>
      </w:pPr>
      <w:r>
        <w:rPr>
          <w:rFonts w:ascii="Arial" w:cs="Arial" w:eastAsia="Arial" w:hAnsi="Arial"/>
          <w:sz w:val="12"/>
          <w:szCs w:val="12"/>
          <w:color w:val="auto"/>
        </w:rPr>
        <w:t>However, we believe we are positioned to identify and successfully capitalize on acquisition opportunities that meet our investment objectives and that we have significant competitive advantages that support our leadership position in owning, funding the construction of and leasing communications infrastructure, including:</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First-Mover Advantage; Uniquely Positioned to Capitalize on Expansion Opportunities</w:t>
      </w:r>
    </w:p>
    <w:p>
      <w:pPr>
        <w:spacing w:after="0" w:line="150" w:lineRule="exact"/>
        <w:rPr>
          <w:sz w:val="20"/>
          <w:szCs w:val="20"/>
          <w:color w:val="auto"/>
        </w:rPr>
      </w:pPr>
    </w:p>
    <w:p>
      <w:pPr>
        <w:ind w:right="240"/>
        <w:spacing w:after="0" w:line="323" w:lineRule="auto"/>
        <w:rPr>
          <w:sz w:val="20"/>
          <w:szCs w:val="20"/>
          <w:color w:val="auto"/>
        </w:rPr>
      </w:pPr>
      <w:r>
        <w:rPr>
          <w:rFonts w:ascii="Arial" w:cs="Arial" w:eastAsia="Arial" w:hAnsi="Arial"/>
          <w:sz w:val="11"/>
          <w:szCs w:val="11"/>
          <w:color w:val="auto"/>
        </w:rPr>
        <w:t>We are the first and only REIT primarily focused on the acquisition and construction of mission critical infrastructure in the communications industry. We believe this provides us with a significant first-mover competitive advantage to capitalize on the large and fragmented communications infrastructure industry. Additionally, we believe our position, scale and national reach will help us achieve operational efficiencies and support future growth opportunities.</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131" w:right="219" w:bottom="1440" w:gutter="0" w:footer="0" w:header="0"/>
        </w:sectPr>
      </w:pPr>
    </w:p>
    <w:bookmarkStart w:id="8" w:name="page9"/>
    <w:bookmarkEnd w:id="8"/>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Large Scale Anchor Tenant; Stable Rent Revenues</w:t>
      </w:r>
    </w:p>
    <w:p>
      <w:pPr>
        <w:spacing w:after="0" w:line="150" w:lineRule="exact"/>
        <w:rPr>
          <w:sz w:val="20"/>
          <w:szCs w:val="20"/>
          <w:color w:val="auto"/>
        </w:rPr>
      </w:pPr>
    </w:p>
    <w:p>
      <w:pPr>
        <w:ind w:right="160"/>
        <w:spacing w:after="0" w:line="258" w:lineRule="auto"/>
        <w:rPr>
          <w:sz w:val="20"/>
          <w:szCs w:val="20"/>
          <w:color w:val="auto"/>
        </w:rPr>
      </w:pPr>
      <w:r>
        <w:rPr>
          <w:rFonts w:ascii="Arial" w:cs="Arial" w:eastAsia="Arial" w:hAnsi="Arial"/>
          <w:sz w:val="12"/>
          <w:szCs w:val="12"/>
          <w:color w:val="auto"/>
        </w:rPr>
        <w:t>We believe the assets we lease to Windstream under the Master Lease are critical for Windstream to successfully run its business and operations. Windstream, as our anchor tenant, provides us with a base of stable and highly predictable rent revenues as an initial platform for us to grow and diversify our portfolio and tenant base.</w:t>
      </w:r>
    </w:p>
    <w:p>
      <w:pPr>
        <w:jc w:val="both"/>
        <w:spacing w:after="0" w:line="255" w:lineRule="auto"/>
        <w:rPr>
          <w:sz w:val="20"/>
          <w:szCs w:val="20"/>
          <w:color w:val="auto"/>
        </w:rPr>
      </w:pPr>
      <w:r>
        <w:rPr>
          <w:rFonts w:ascii="Arial" w:cs="Arial" w:eastAsia="Arial" w:hAnsi="Arial"/>
          <w:sz w:val="12"/>
          <w:szCs w:val="12"/>
          <w:color w:val="auto"/>
        </w:rPr>
        <w:t>Windstream is a publicly-traded company that provides advanced network communications, including cloud computing and managed services, to businesses nationwide. Windstream also offers broadband, phone and digital TV services to consumers primarily in rural areas. Windstream continues to operate the Distribution Systems, hold the associated regulatory licenses and own and operate other assets, including distribution systems in select states not included in the Spin-Off.</w:t>
      </w:r>
    </w:p>
    <w:p>
      <w:pPr>
        <w:spacing w:after="0" w:line="128" w:lineRule="exact"/>
        <w:rPr>
          <w:sz w:val="20"/>
          <w:szCs w:val="20"/>
          <w:color w:val="auto"/>
        </w:rPr>
      </w:pPr>
    </w:p>
    <w:p>
      <w:pPr>
        <w:jc w:val="both"/>
        <w:ind w:right="220"/>
        <w:spacing w:after="0" w:line="380" w:lineRule="auto"/>
        <w:rPr>
          <w:sz w:val="20"/>
          <w:szCs w:val="20"/>
          <w:color w:val="auto"/>
        </w:rPr>
      </w:pPr>
      <w:r>
        <w:rPr>
          <w:rFonts w:ascii="Arial" w:cs="Arial" w:eastAsia="Arial" w:hAnsi="Arial"/>
          <w:sz w:val="10"/>
          <w:szCs w:val="10"/>
          <w:color w:val="auto"/>
        </w:rPr>
        <w:t>Windstream has a diverse customer base, encompassing enterprise and small business customers, carriers and consumers. The Distribution Systems we lease to Windstream are located in 29 different states across the continental United States. The fiber assets in any one state do not account for more than 20% of the total route miles in our network. We believe this geographic diversification will limit the effect of changes in any one market on our overall performance.</w:t>
      </w:r>
    </w:p>
    <w:p>
      <w:pPr>
        <w:spacing w:after="0" w:line="68"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color w:val="auto"/>
        </w:rPr>
        <w:t>Windstream is subject to the reporting requirements of the SEC, which include the requirements to file annual reports containing audited financial information and quarterly reports containing unaudited financial information. Windstream’s filings with the SEC can be found at www.sec.gov. Windstream’s filings are not incorporated by reference into this Annual Report.</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Strong Relationships with Communication Service Providers</w:t>
      </w:r>
    </w:p>
    <w:p>
      <w:pPr>
        <w:spacing w:after="0" w:line="150" w:lineRule="exact"/>
        <w:rPr>
          <w:sz w:val="20"/>
          <w:szCs w:val="20"/>
          <w:color w:val="auto"/>
        </w:rPr>
      </w:pPr>
    </w:p>
    <w:p>
      <w:pPr>
        <w:ind w:right="60"/>
        <w:spacing w:after="0" w:line="257" w:lineRule="auto"/>
        <w:rPr>
          <w:sz w:val="20"/>
          <w:szCs w:val="20"/>
          <w:color w:val="auto"/>
        </w:rPr>
      </w:pPr>
      <w:r>
        <w:rPr>
          <w:rFonts w:ascii="Arial" w:cs="Arial" w:eastAsia="Arial" w:hAnsi="Arial"/>
          <w:sz w:val="12"/>
          <w:szCs w:val="12"/>
          <w:color w:val="auto"/>
        </w:rPr>
        <w:t>Members of our management team have developed an extensive network of relationships with qualified local, regional and national communication service providers across the United States. This extensive network has been built by our management team through decades of operating experience, involvement in industry trade organizations and the development of banking relationships and investor relations within the communications infrastructure industry. We believe these strong relationships will allow us to effectively source investment opportunities from communication service providers other than Windstream. We intend to work collaboratively with our operating partners in providing expansion capital at attractive rates to help them achieve their growth and business objectives. We will seek to partner with communication service providers who possess local market knowledge, demonstrate hands-on management and have proven track records.</w:t>
      </w:r>
    </w:p>
    <w:p>
      <w:pPr>
        <w:spacing w:after="0" w:line="12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Experienced and Committed Management Team</w:t>
      </w:r>
    </w:p>
    <w:p>
      <w:pPr>
        <w:spacing w:after="0" w:line="150" w:lineRule="exact"/>
        <w:rPr>
          <w:sz w:val="20"/>
          <w:szCs w:val="20"/>
          <w:color w:val="auto"/>
        </w:rPr>
      </w:pPr>
    </w:p>
    <w:p>
      <w:pPr>
        <w:ind w:right="340"/>
        <w:spacing w:after="0" w:line="323" w:lineRule="auto"/>
        <w:rPr>
          <w:sz w:val="20"/>
          <w:szCs w:val="20"/>
          <w:color w:val="auto"/>
        </w:rPr>
      </w:pPr>
      <w:r>
        <w:rPr>
          <w:rFonts w:ascii="Arial" w:cs="Arial" w:eastAsia="Arial" w:hAnsi="Arial"/>
          <w:sz w:val="11"/>
          <w:szCs w:val="11"/>
          <w:color w:val="auto"/>
        </w:rPr>
        <w:t>Our senior management team is comprised of veteran leaders with strong backgrounds in their respective disciplines. As a result of extensive public company experience, our senior management team has over 100 years of combined experience in managing telecommunications operations, consummating mergers and acquisitions and accessing both debt and equity capital markets to fund growth and maintain a flexible capital structure.</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Insurance</w:t>
      </w:r>
    </w:p>
    <w:p>
      <w:pPr>
        <w:spacing w:after="0" w:line="154" w:lineRule="exact"/>
        <w:rPr>
          <w:sz w:val="20"/>
          <w:szCs w:val="20"/>
          <w:color w:val="auto"/>
        </w:rPr>
      </w:pPr>
    </w:p>
    <w:p>
      <w:pPr>
        <w:spacing w:after="0" w:line="257" w:lineRule="auto"/>
        <w:rPr>
          <w:sz w:val="20"/>
          <w:szCs w:val="20"/>
          <w:color w:val="auto"/>
        </w:rPr>
      </w:pPr>
      <w:r>
        <w:rPr>
          <w:rFonts w:ascii="Arial" w:cs="Arial" w:eastAsia="Arial" w:hAnsi="Arial"/>
          <w:sz w:val="12"/>
          <w:szCs w:val="12"/>
          <w:color w:val="auto"/>
        </w:rPr>
        <w:t>We maintain, or will require in our leases, including the Master Lease, that our tenants maintain, all applicable lines of insurance on our properties and their operations. Under the Master Lease, Windstream has the right to self-insure or use a captive provider with respect to its insurance obligations. We believe that the amount and scope of insurance coverage provided by our policies and the policies maintained by our tenants are customary for similarly situated companies in the telecommunications industry. However, our tenants may elect not to, or be able to, maintain the required insurance coverages, and the failure by any of them to do so could have a material adverse effect on us. We may not continue to require the same levels of insurance coverage under our leases, including the Master Lease, and such insurance may not be available at a reasonable cost in the future or fully cover all losses on our properties upon the occurrence of a catastrophic event. Moreover, we cannot guarantee the future financial viability of the insurers.</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131" w:right="219" w:bottom="1440" w:gutter="0" w:footer="0" w:header="0"/>
        </w:sectPr>
      </w:pPr>
    </w:p>
    <w:bookmarkStart w:id="9" w:name="page10"/>
    <w:bookmarkEnd w:id="9"/>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74"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Employees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At December 31, 2017, we had 654 full-time employees. Except for 18 employees in Mexico, none of our employees are subject to a collective bargaining agreement.</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Significant Customers</w:t>
      </w:r>
    </w:p>
    <w:p>
      <w:pPr>
        <w:spacing w:after="0" w:line="172" w:lineRule="exact"/>
        <w:rPr>
          <w:sz w:val="20"/>
          <w:szCs w:val="20"/>
          <w:color w:val="auto"/>
        </w:rPr>
      </w:pPr>
    </w:p>
    <w:p>
      <w:pPr>
        <w:ind w:right="100"/>
        <w:spacing w:after="0" w:line="276" w:lineRule="auto"/>
        <w:rPr>
          <w:sz w:val="20"/>
          <w:szCs w:val="20"/>
          <w:color w:val="auto"/>
        </w:rPr>
      </w:pPr>
      <w:r>
        <w:rPr>
          <w:rFonts w:ascii="Arial" w:cs="Arial" w:eastAsia="Arial" w:hAnsi="Arial"/>
          <w:sz w:val="12"/>
          <w:szCs w:val="12"/>
          <w:color w:val="auto"/>
        </w:rPr>
        <w:t>For the years ended December 31, 2017 and 2016 and for the period from April 24, 2015 to December 31, 2015, 74.8%, 87.9% and 96.3% of our revenues, respectively, were derived from leasing our Distribution Systems to Windstream Holdings pursuant to the Master Lease.</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Government Regulation, Licensing and Enforcement</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U.S. Telecommunications Regulatory Overview</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Market Overview</w:t>
      </w:r>
    </w:p>
    <w:p>
      <w:pPr>
        <w:spacing w:after="0" w:line="150" w:lineRule="exact"/>
        <w:rPr>
          <w:sz w:val="20"/>
          <w:szCs w:val="20"/>
          <w:color w:val="auto"/>
        </w:rPr>
      </w:pPr>
    </w:p>
    <w:p>
      <w:pPr>
        <w:spacing w:after="0" w:line="283" w:lineRule="auto"/>
        <w:rPr>
          <w:sz w:val="20"/>
          <w:szCs w:val="20"/>
          <w:color w:val="auto"/>
        </w:rPr>
      </w:pPr>
      <w:r>
        <w:rPr>
          <w:rFonts w:ascii="Arial" w:cs="Arial" w:eastAsia="Arial" w:hAnsi="Arial"/>
          <w:sz w:val="11"/>
          <w:szCs w:val="11"/>
          <w:color w:val="auto"/>
        </w:rPr>
        <w:t>Our subsidiaries and our tenants operate in a regulated and highly competitive market. Current and potential competitors include other communications tower owners, providers of voice and data services, providers of fiber and other backhaul services, traditional telephone companies, cable companies, Internet service providers, and other companies. As operators of telecommunications facilities and services, both we and the current and future tenants of our telecommunications assets are typically subject to extensive and complex federal, state and local telecommunications laws and regulations. The Federal Communications Commission (“FCC”) regulates the provision of interstate and international telecommunications services, and state public utility commissions (“PUCs”) regulate intrastate telecommunications services. Both FCC and PUC telecommunications regulations are wide-ranging and can subject us and our tenants to civil, criminal and administrative sanctions. We expect that the telecommunications industry, in general, will continue to face increased competition and regulation. Changes in laws and regulations and regulatory non-compliance by us or our tenants could have a significant direct or indirect effect on our operations and financial condition, as detailed below and set forth under “Risk Factors—Risks Related to Our Business.”</w:t>
      </w:r>
    </w:p>
    <w:p>
      <w:pPr>
        <w:spacing w:after="0" w:line="114" w:lineRule="exact"/>
        <w:rPr>
          <w:sz w:val="20"/>
          <w:szCs w:val="20"/>
          <w:color w:val="auto"/>
        </w:rPr>
      </w:pPr>
    </w:p>
    <w:p>
      <w:pPr>
        <w:ind w:right="20"/>
        <w:spacing w:after="0" w:line="283" w:lineRule="auto"/>
        <w:rPr>
          <w:sz w:val="20"/>
          <w:szCs w:val="20"/>
          <w:color w:val="auto"/>
        </w:rPr>
      </w:pPr>
      <w:r>
        <w:rPr>
          <w:rFonts w:ascii="Arial" w:cs="Arial" w:eastAsia="Arial" w:hAnsi="Arial"/>
          <w:sz w:val="11"/>
          <w:szCs w:val="11"/>
          <w:color w:val="auto"/>
        </w:rPr>
        <w:t>Our operations require that certain of our subsidiaries hold licenses or other forms of authorization from the FCC and state PUCs in those states where we operate, and in some jurisdictions our subsidiaries must file tariffs or other price lists describing their rates, terms and conditions of the services they provide. The FCC and PUCs can modify or terminate a service provider’s license or other authority to provide telecommunications services for failure to comply with applicable laws and regulations. The FCC and PUCs may also investigate our subsidiaries’ operations and may impose fines or other penalties for violations of the same. In addition, our subsidiaries are required to submit periodic reports to the FCC and PUCs documenting their revenues and other data. Some of this information is used as the basis for the imposition of various regulatory fees and other assessments. In order to engage in certain transactions in some jurisdictions, including changes of control, the encumbrance of certain assets, the issuance of securities, the incurrence of indebtedness, the guarantee of indebtedness of other entities, including subsidiaries of ours, and the transfer of our assets, we are required to provide notice and/or obtain prior approval from certain governmental agencies.</w:t>
      </w:r>
    </w:p>
    <w:p>
      <w:pPr>
        <w:spacing w:after="0" w:line="114" w:lineRule="exact"/>
        <w:rPr>
          <w:sz w:val="20"/>
          <w:szCs w:val="20"/>
          <w:color w:val="auto"/>
        </w:rPr>
      </w:pPr>
    </w:p>
    <w:p>
      <w:pPr>
        <w:ind w:right="60"/>
        <w:spacing w:after="0" w:line="276" w:lineRule="auto"/>
        <w:rPr>
          <w:sz w:val="20"/>
          <w:szCs w:val="20"/>
          <w:color w:val="auto"/>
        </w:rPr>
      </w:pPr>
      <w:r>
        <w:rPr>
          <w:rFonts w:ascii="Arial" w:cs="Arial" w:eastAsia="Arial" w:hAnsi="Arial"/>
          <w:sz w:val="12"/>
          <w:szCs w:val="12"/>
          <w:color w:val="auto"/>
        </w:rPr>
        <w:t>Our subsidiaries are subject to a number of federal and state regulations that govern the way we can conduct our business. Such regulations also impose certain operating costs on our businesses. These regulations can include restrictions on pricing flexibility for certain products, minimum service quality standards, service reporting, intercarrier compensation, universal service funding, and other obligations.</w:t>
      </w:r>
    </w:p>
    <w:p>
      <w:pPr>
        <w:spacing w:after="0" w:line="115" w:lineRule="exact"/>
        <w:rPr>
          <w:sz w:val="20"/>
          <w:szCs w:val="20"/>
          <w:color w:val="auto"/>
        </w:rPr>
      </w:pPr>
    </w:p>
    <w:p>
      <w:pPr>
        <w:ind w:right="460"/>
        <w:spacing w:after="0" w:line="276" w:lineRule="auto"/>
        <w:rPr>
          <w:sz w:val="20"/>
          <w:szCs w:val="20"/>
          <w:color w:val="auto"/>
        </w:rPr>
      </w:pPr>
      <w:r>
        <w:rPr>
          <w:rFonts w:ascii="Arial" w:cs="Arial" w:eastAsia="Arial" w:hAnsi="Arial"/>
          <w:sz w:val="12"/>
          <w:szCs w:val="12"/>
          <w:color w:val="auto"/>
        </w:rPr>
        <w:t>We believe that we have structured the operations for our core real estate business in a manner that will not require us to become regulated as a public utility or common carrier by the FCC or PUCs. But, a number of our business operations nonetheless are subject to federal, state, and local regulation.</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Consumer CLEC Business</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40"/>
          </w:cols>
          <w:pgMar w:left="220" w:top="131" w:right="239" w:bottom="1440" w:gutter="0" w:footer="0" w:header="0"/>
        </w:sectPr>
      </w:pPr>
    </w:p>
    <w:bookmarkStart w:id="10" w:name="page11"/>
    <w:bookmarkEnd w:id="10"/>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78" w:lineRule="exact"/>
        <w:rPr>
          <w:sz w:val="20"/>
          <w:szCs w:val="20"/>
          <w:color w:val="auto"/>
        </w:rPr>
      </w:pPr>
    </w:p>
    <w:p>
      <w:pPr>
        <w:ind w:right="60"/>
        <w:spacing w:after="0" w:line="255" w:lineRule="auto"/>
        <w:rPr>
          <w:sz w:val="20"/>
          <w:szCs w:val="20"/>
          <w:color w:val="auto"/>
        </w:rPr>
      </w:pPr>
      <w:r>
        <w:rPr>
          <w:rFonts w:ascii="Arial" w:cs="Arial" w:eastAsia="Arial" w:hAnsi="Arial"/>
          <w:sz w:val="12"/>
          <w:szCs w:val="12"/>
          <w:color w:val="auto"/>
        </w:rPr>
        <w:t>Talk America Services operates the Consumer CLEC Business as a reseller of telecommunication services pursuant to a Wholesale Master Services Agreement and a Master Service Agreement with Windstream. In almost all cases, Windstream does not own the underlying telecommunication facilities required to support the Consumer CLEC Business, rather it is a reseller of facility-based services pursuant to wholesale interconnection agreements with third-party carriers that own the underlying telecommunication facilities. Talk America Services is authorized and regulated as a CLEC and an interexchange (long-distance) service provider in most states where it has Consumer CLEC Business customers. These certifications subject Talk America Services to regulations requiring it to file and maintain tariffs for the rates charged to its Consumer CLEC Business customers for regulated services and to comply with service quality, service reporting and other regulatory obligations. Talk America Service’s ability to operate the Consumer CLEC Business is dependent on existing telecommunication regulations that allow access to such underlying facilities of other carriers at reasonable rates.</w:t>
      </w:r>
    </w:p>
    <w:p>
      <w:pPr>
        <w:spacing w:after="0" w:line="129" w:lineRule="exact"/>
        <w:rPr>
          <w:sz w:val="20"/>
          <w:szCs w:val="20"/>
          <w:color w:val="auto"/>
        </w:rPr>
      </w:pPr>
    </w:p>
    <w:p>
      <w:pPr>
        <w:ind w:right="80"/>
        <w:spacing w:after="0" w:line="286" w:lineRule="auto"/>
        <w:rPr>
          <w:sz w:val="20"/>
          <w:szCs w:val="20"/>
          <w:color w:val="auto"/>
        </w:rPr>
      </w:pPr>
      <w:r>
        <w:rPr>
          <w:rFonts w:ascii="Arial" w:cs="Arial" w:eastAsia="Arial" w:hAnsi="Arial"/>
          <w:sz w:val="11"/>
          <w:szCs w:val="11"/>
          <w:color w:val="auto"/>
        </w:rPr>
        <w:t>With respect to the broadband Internet services that we provide, traditionally, the FCC has recognized that broadband Internet access services are “information services” subject to limited regulation. In 2015, the FCC issued a “network neutrality” decision that declared broadband Internet access services to be subject to certain “telecommunications services” regulation under Title II of the Communications Act of 1934. This decision creates uncertainty concerning the level of regulation that will apply to broadband services going forward. These regulations will limit the ways that broadband Internet access service providers can structure business arrangements and manage their networks and could spur additional restrictions, including rate regulation, which could adversely affect broadband investment and innovation. The proper scope of such regulations is being debated in Congress and may be revisited by the FCC. It is unclear at this time how broadband services will be regulated in the future, and the potential impact those regulations may have on our broadband Internet service business.</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Uniti Towers</w:t>
      </w:r>
    </w:p>
    <w:p>
      <w:pPr>
        <w:spacing w:after="0" w:line="150" w:lineRule="exact"/>
        <w:rPr>
          <w:sz w:val="20"/>
          <w:szCs w:val="20"/>
          <w:color w:val="auto"/>
        </w:rPr>
      </w:pPr>
    </w:p>
    <w:p>
      <w:pPr>
        <w:spacing w:after="0" w:line="290" w:lineRule="auto"/>
        <w:rPr>
          <w:sz w:val="20"/>
          <w:szCs w:val="20"/>
          <w:color w:val="auto"/>
        </w:rPr>
      </w:pPr>
      <w:r>
        <w:rPr>
          <w:rFonts w:ascii="Arial" w:cs="Arial" w:eastAsia="Arial" w:hAnsi="Arial"/>
          <w:sz w:val="11"/>
          <w:szCs w:val="11"/>
          <w:color w:val="auto"/>
        </w:rPr>
        <w:t>Uniti Towers is subject to international, federal, state and local regulatory requirements with respect to the registration, siting, construction, lighting, marking and maintenance of our towers. In the United States, the construction of new towers or modifications to existing towers may require pre-approval by the FCC and the Federal Aviation Administration (“FAA”), depending on factors such as tower height and proximity to public airfields. Towers requiring pre-approval must be registered with the FCC and maintained in accordance with FCC and FAA standards. Similar requirements regarding pre-approval of the construction and modification of towers are imposed by regulators in other countries where Uniti Towers owns and operates towers. Non-compliance with applicable tower-related requirements may lead to monetary penalties or site deconstruction orders.</w:t>
      </w:r>
    </w:p>
    <w:p>
      <w:pPr>
        <w:spacing w:after="0" w:line="109" w:lineRule="exact"/>
        <w:rPr>
          <w:sz w:val="20"/>
          <w:szCs w:val="20"/>
          <w:color w:val="auto"/>
        </w:rPr>
      </w:pPr>
    </w:p>
    <w:p>
      <w:pPr>
        <w:ind w:right="60"/>
        <w:spacing w:after="0" w:line="259" w:lineRule="auto"/>
        <w:rPr>
          <w:sz w:val="20"/>
          <w:szCs w:val="20"/>
          <w:color w:val="auto"/>
        </w:rPr>
      </w:pPr>
      <w:r>
        <w:rPr>
          <w:rFonts w:ascii="Arial" w:cs="Arial" w:eastAsia="Arial" w:hAnsi="Arial"/>
          <w:sz w:val="12"/>
          <w:szCs w:val="12"/>
          <w:color w:val="auto"/>
        </w:rPr>
        <w:t>Regulatory regimes outside of the U.S. and its territories vary by country and locality; however, these regulations typically require approval from local officials or government agencies prior to tower construction or modification or the addition of a new antenna to an existing tower. Additionally, some regulations include ongoing obligations regarding painting, lighting and maintenance. Our international operations may also be subject to limitations on foreign ownership of land in certain areas. Non-compliance with such regulations may lead to monetary penalties or deconstruction orders. Our international operations are also subject to various regulations and guidelines regarding employee relations and other occupational health and safety matters.</w:t>
      </w:r>
    </w:p>
    <w:p>
      <w:pPr>
        <w:spacing w:after="0" w:line="125" w:lineRule="exact"/>
        <w:rPr>
          <w:sz w:val="20"/>
          <w:szCs w:val="20"/>
          <w:color w:val="auto"/>
        </w:rPr>
      </w:pPr>
    </w:p>
    <w:p>
      <w:pPr>
        <w:ind w:right="200"/>
        <w:spacing w:after="0" w:line="263" w:lineRule="auto"/>
        <w:rPr>
          <w:sz w:val="20"/>
          <w:szCs w:val="20"/>
          <w:color w:val="auto"/>
        </w:rPr>
      </w:pPr>
      <w:r>
        <w:rPr>
          <w:rFonts w:ascii="Arial" w:cs="Arial" w:eastAsia="Arial" w:hAnsi="Arial"/>
          <w:sz w:val="12"/>
          <w:szCs w:val="12"/>
          <w:color w:val="auto"/>
        </w:rPr>
        <w:t>In all countries where Uniti Towers operates, it is subject to zoning restrictions and restrictive covenants imposed by local authorities or community organizations. While these regulations vary, they typically require approval from local authorities or community standards organizations prior to tower construction or the addition of a new antenna to an existing tower. Opposition by local zoning authorities and community residents can delay or prevent new tower construction or site upgrade projects, thereby increasing the costs and timing of new tower construction and modifications or site upgrades.</w:t>
      </w:r>
    </w:p>
    <w:p>
      <w:pPr>
        <w:spacing w:after="0" w:line="141"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The failure to properly maintain towers pursuant to applicable regulatory requirements, such as but not limited to, lighting, painting, and other safety standards, can subject us to significant enforcement actions, including monetary penalties both within the U.S. and abroad.</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Uniti Fiber</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131" w:right="219" w:bottom="1440" w:gutter="0" w:footer="0" w:header="0"/>
        </w:sectPr>
      </w:pPr>
    </w:p>
    <w:bookmarkStart w:id="11" w:name="page12"/>
    <w:bookmarkEnd w:id="11"/>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78" w:lineRule="exact"/>
        <w:rPr>
          <w:sz w:val="20"/>
          <w:szCs w:val="20"/>
          <w:color w:val="auto"/>
        </w:rPr>
      </w:pPr>
    </w:p>
    <w:p>
      <w:pPr>
        <w:spacing w:after="0"/>
        <w:rPr>
          <w:sz w:val="20"/>
          <w:szCs w:val="20"/>
          <w:color w:val="auto"/>
        </w:rPr>
      </w:pPr>
      <w:r>
        <w:rPr>
          <w:rFonts w:ascii="Arial" w:cs="Arial" w:eastAsia="Arial" w:hAnsi="Arial"/>
          <w:sz w:val="10"/>
          <w:szCs w:val="10"/>
          <w:color w:val="auto"/>
        </w:rPr>
        <w:t>Our subsidiaries that compose Uniti Fiber own and operate significant fiber and other communications backhaul facilities throughout various regions of the U.S. The provision of such services is subject to FCC and PUC licensure in many</w:t>
      </w:r>
    </w:p>
    <w:p>
      <w:pPr>
        <w:spacing w:after="0" w:line="38" w:lineRule="exact"/>
        <w:rPr>
          <w:sz w:val="20"/>
          <w:szCs w:val="20"/>
          <w:color w:val="auto"/>
        </w:rPr>
      </w:pPr>
    </w:p>
    <w:p>
      <w:pPr>
        <w:spacing w:after="0"/>
        <w:rPr>
          <w:sz w:val="20"/>
          <w:szCs w:val="20"/>
          <w:color w:val="auto"/>
        </w:rPr>
      </w:pPr>
      <w:r>
        <w:rPr>
          <w:rFonts w:ascii="Arial" w:cs="Arial" w:eastAsia="Arial" w:hAnsi="Arial"/>
          <w:sz w:val="11"/>
          <w:szCs w:val="11"/>
          <w:color w:val="auto"/>
        </w:rPr>
        <w:t>jurisdictions, and the companies are typically licensed as CLECs and/or interexchange carriers in those states where they operate. The companies also hold various FCC wireless licenses in order to provide microwave backhaul</w:t>
      </w:r>
    </w:p>
    <w:p>
      <w:pPr>
        <w:spacing w:after="0" w:line="18" w:lineRule="exact"/>
        <w:rPr>
          <w:sz w:val="20"/>
          <w:szCs w:val="20"/>
          <w:color w:val="auto"/>
        </w:rPr>
      </w:pPr>
    </w:p>
    <w:p>
      <w:pPr>
        <w:spacing w:after="0"/>
        <w:rPr>
          <w:sz w:val="20"/>
          <w:szCs w:val="20"/>
          <w:color w:val="auto"/>
        </w:rPr>
      </w:pPr>
      <w:r>
        <w:rPr>
          <w:rFonts w:ascii="Arial" w:cs="Arial" w:eastAsia="Arial" w:hAnsi="Arial"/>
          <w:sz w:val="10"/>
          <w:szCs w:val="10"/>
          <w:color w:val="auto"/>
        </w:rPr>
        <w:t>services. Because of the nature of the licenses that these companies hold, and the nature of the services that they provide, they are subject to various federal and state regulatory requirements, including, but not limited to, revenue and other</w:t>
      </w:r>
    </w:p>
    <w:p>
      <w:pPr>
        <w:spacing w:after="0" w:line="29" w:lineRule="exact"/>
        <w:rPr>
          <w:sz w:val="20"/>
          <w:szCs w:val="20"/>
          <w:color w:val="auto"/>
        </w:rPr>
      </w:pPr>
    </w:p>
    <w:p>
      <w:pPr>
        <w:spacing w:after="0"/>
        <w:rPr>
          <w:sz w:val="20"/>
          <w:szCs w:val="20"/>
          <w:color w:val="auto"/>
        </w:rPr>
      </w:pPr>
      <w:r>
        <w:rPr>
          <w:rFonts w:ascii="Arial" w:cs="Arial" w:eastAsia="Arial" w:hAnsi="Arial"/>
          <w:sz w:val="11"/>
          <w:szCs w:val="11"/>
          <w:color w:val="auto"/>
        </w:rPr>
        <w:t>reporting requirements and tariffing requirements. The companies must also maintain their wireless licenses with the FCC, which requires construction and notification reporting and other regulatory requirements. The construction of</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additions to our current fiber network through our Uniti Fiber subsidiary is also subject to certain state and local governmental permitting and licensing requirements</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Regulatory Changes</w:t>
      </w:r>
    </w:p>
    <w:p>
      <w:pPr>
        <w:spacing w:after="0" w:line="150" w:lineRule="exact"/>
        <w:rPr>
          <w:sz w:val="20"/>
          <w:szCs w:val="20"/>
          <w:color w:val="auto"/>
        </w:rPr>
      </w:pPr>
    </w:p>
    <w:p>
      <w:pPr>
        <w:ind w:right="20"/>
        <w:spacing w:after="0" w:line="257" w:lineRule="auto"/>
        <w:rPr>
          <w:sz w:val="20"/>
          <w:szCs w:val="20"/>
          <w:color w:val="auto"/>
        </w:rPr>
      </w:pPr>
      <w:r>
        <w:rPr>
          <w:rFonts w:ascii="Arial" w:cs="Arial" w:eastAsia="Arial" w:hAnsi="Arial"/>
          <w:sz w:val="12"/>
          <w:szCs w:val="12"/>
          <w:color w:val="auto"/>
        </w:rPr>
        <w:t>Future revenues, costs and capital investment in the communication businesses of our tenants, Talk America Services, Uniti Fiber, Uniti Towers, and other related entities could be adversely affected by material changes to, or decisions regarding applicability of, government requirements, including, but not limited to, changes in rules governing inter-carrier compensation, interconnection access to network facilities, state and federal universal service fund (“USF”) support, rules governing the prices that can be charged for business data services, infrastructure location and siting rules, and other requirements. Federal and state communications laws may be amended in the future, and other laws may affect our business. In addition, certain laws and regulations applicable to us and our competitors may be, and have been, challenged in the courts and could be changed at any time. We cannot predict future developments or changes to the regulatory environment or the impact such developments or changes would have on our business.</w:t>
      </w:r>
    </w:p>
    <w:p>
      <w:pPr>
        <w:spacing w:after="0" w:line="126" w:lineRule="exact"/>
        <w:rPr>
          <w:sz w:val="20"/>
          <w:szCs w:val="20"/>
          <w:color w:val="auto"/>
        </w:rPr>
      </w:pPr>
    </w:p>
    <w:p>
      <w:pPr>
        <w:ind w:right="160"/>
        <w:spacing w:after="0" w:line="259" w:lineRule="auto"/>
        <w:rPr>
          <w:sz w:val="20"/>
          <w:szCs w:val="20"/>
          <w:color w:val="auto"/>
        </w:rPr>
      </w:pPr>
      <w:r>
        <w:rPr>
          <w:rFonts w:ascii="Arial" w:cs="Arial" w:eastAsia="Arial" w:hAnsi="Arial"/>
          <w:sz w:val="12"/>
          <w:szCs w:val="12"/>
          <w:color w:val="auto"/>
        </w:rPr>
        <w:t>In addition, regulations could create significant compliance costs for us. Delays in obtaining FCC and PUC certifications and regulatory approvals could cause us to incur substantial legal and administrative expenses, and conditions imposed in connection with such approvals could adversely affect the rates that we are able to charge our customers. Both our subsidiaries and our tenants may also be affected by legislation and/or regulation imposing new or additional obligations related to, for example, law enforcement assistance, cyber-security protection, intellectual property rights protections, environmental protections, consumer privacy, tax, or other areas. We can’t predict how any such future changes may impact our business, or the business of our tenants</w:t>
      </w:r>
      <w:r>
        <w:rPr>
          <w:rFonts w:ascii="Arial" w:cs="Arial" w:eastAsia="Arial" w:hAnsi="Arial"/>
          <w:sz w:val="12"/>
          <w:szCs w:val="12"/>
          <w:i w:val="1"/>
          <w:iCs w:val="1"/>
          <w:color w:val="auto"/>
        </w:rPr>
        <w:t>.</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Environmental Matters</w:t>
      </w:r>
    </w:p>
    <w:p>
      <w:pPr>
        <w:spacing w:after="0" w:line="172" w:lineRule="exact"/>
        <w:rPr>
          <w:sz w:val="20"/>
          <w:szCs w:val="20"/>
          <w:color w:val="auto"/>
        </w:rPr>
      </w:pPr>
    </w:p>
    <w:p>
      <w:pPr>
        <w:spacing w:after="0" w:line="255" w:lineRule="auto"/>
        <w:rPr>
          <w:sz w:val="20"/>
          <w:szCs w:val="20"/>
          <w:color w:val="auto"/>
        </w:rPr>
      </w:pPr>
      <w:r>
        <w:rPr>
          <w:rFonts w:ascii="Arial" w:cs="Arial" w:eastAsia="Arial" w:hAnsi="Arial"/>
          <w:sz w:val="12"/>
          <w:szCs w:val="12"/>
          <w:color w:val="auto"/>
        </w:rPr>
        <w:t>A wide variety of federal, state and local environmental and occupational health and safety laws and regulations affect telecommunications operations and facilities. These complex laws, and their enforcement, involve a myriad of regulations, many of which involve strict liability. Some of these federal, state and local laws may directly impact us. Under various federal, state and local environmental laws, ordinances and regulations, an owner of real property, such as us, may be liable for the costs of removal or remediation of hazardous or toxic substances at, under or disposed of in connection with such property, as well as other potential costs relating to hazardous or toxic substances (including government fines and damages for injuries to persons and adjacent property). The cost of any required remediation, removal, fines or personal property damages and the owner’s liability therefore could exceed or impair the value of the property and/or the assets of the owner. In addition, the presence of such substances, or the failure to properly dispose of or remediate such substances, may adversely affect the owner’s ability to sell or rent such property or to borrow using such property as collateral, which, in turn, could reduce revenues.</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Available Information</w:t>
      </w:r>
    </w:p>
    <w:p>
      <w:pPr>
        <w:spacing w:after="0" w:line="154" w:lineRule="exact"/>
        <w:rPr>
          <w:sz w:val="20"/>
          <w:szCs w:val="20"/>
          <w:color w:val="auto"/>
        </w:rPr>
      </w:pPr>
    </w:p>
    <w:p>
      <w:pPr>
        <w:ind w:right="240"/>
        <w:spacing w:after="0" w:line="340" w:lineRule="auto"/>
        <w:rPr>
          <w:sz w:val="20"/>
          <w:szCs w:val="20"/>
          <w:color w:val="auto"/>
        </w:rPr>
      </w:pPr>
      <w:r>
        <w:rPr>
          <w:rFonts w:ascii="Arial" w:cs="Arial" w:eastAsia="Arial" w:hAnsi="Arial"/>
          <w:sz w:val="10"/>
          <w:szCs w:val="10"/>
          <w:color w:val="auto"/>
        </w:rPr>
        <w:t>Our principal executive offices are located at 10802 Executive Center Drive, Benton Building Suite 300, Little Rock, AR 72211 and our telephone number is (501) 850-0820. We currently maintain a website at www.uniti.com. Our Annual Reports on Form 10-K, Quarterly Reports on Form 10-Q, Current Reports on Form 8-K and any amendments to those reports filed or furnished pursuant to Section 13(a) or 15(d) of the Securities Exchange Act of 1934 (the ‘‘Exchange Act’’) are available on our website, free of charge, as soon as reasonably practicable after we electronically file such materials with, or furnish them to, the SEC. Our Exchange Act filings can also be found at www.sec.gov.</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131" w:right="219" w:bottom="1440" w:gutter="0" w:footer="0" w:header="0"/>
        </w:sectPr>
      </w:pPr>
    </w:p>
    <w:bookmarkStart w:id="12" w:name="page13"/>
    <w:bookmarkEnd w:id="12"/>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22" w:lineRule="exact"/>
        <w:rPr>
          <w:sz w:val="20"/>
          <w:szCs w:val="20"/>
          <w:color w:val="auto"/>
        </w:rPr>
      </w:pPr>
    </w:p>
    <w:p>
      <w:pPr>
        <w:ind w:right="80"/>
        <w:spacing w:after="0" w:line="276" w:lineRule="auto"/>
        <w:rPr>
          <w:sz w:val="20"/>
          <w:szCs w:val="20"/>
          <w:color w:val="auto"/>
        </w:rPr>
      </w:pPr>
      <w:r>
        <w:rPr>
          <w:rFonts w:ascii="Arial" w:cs="Arial" w:eastAsia="Arial" w:hAnsi="Arial"/>
          <w:sz w:val="12"/>
          <w:szCs w:val="12"/>
          <w:color w:val="auto"/>
        </w:rPr>
        <w:t xml:space="preserve">Current copies of our Code of Business Conduct and Ethics &amp; Whistleblower Policy, Corporate Governance Guidelines, and the charters for our Audit, Compensation and Governance Committees are posted in the </w:t>
      </w:r>
      <w:r>
        <w:rPr>
          <w:rFonts w:ascii="Arial" w:cs="Arial" w:eastAsia="Arial" w:hAnsi="Arial"/>
          <w:sz w:val="12"/>
          <w:szCs w:val="12"/>
          <w:i w:val="1"/>
          <w:iCs w:val="1"/>
          <w:color w:val="auto"/>
        </w:rPr>
        <w:t>Corporate Governance</w:t>
      </w:r>
      <w:r>
        <w:rPr>
          <w:rFonts w:ascii="Arial" w:cs="Arial" w:eastAsia="Arial" w:hAnsi="Arial"/>
          <w:sz w:val="12"/>
          <w:szCs w:val="12"/>
          <w:color w:val="auto"/>
        </w:rPr>
        <w:t xml:space="preserve"> section of the About Us page of our website at www.uniti.com.</w:t>
      </w:r>
    </w:p>
    <w:p>
      <w:pPr>
        <w:spacing w:after="0" w:line="18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1A. Risk Factors.</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Our Business</w:t>
      </w:r>
    </w:p>
    <w:p>
      <w:pPr>
        <w:spacing w:after="0" w:line="154" w:lineRule="exact"/>
        <w:rPr>
          <w:sz w:val="20"/>
          <w:szCs w:val="20"/>
          <w:color w:val="auto"/>
        </w:rPr>
      </w:pPr>
    </w:p>
    <w:p>
      <w:pPr>
        <w:ind w:right="120"/>
        <w:spacing w:after="0" w:line="276" w:lineRule="auto"/>
        <w:rPr>
          <w:sz w:val="20"/>
          <w:szCs w:val="20"/>
          <w:color w:val="auto"/>
        </w:rPr>
      </w:pPr>
      <w:r>
        <w:rPr>
          <w:rFonts w:ascii="Arial" w:cs="Arial" w:eastAsia="Arial" w:hAnsi="Arial"/>
          <w:sz w:val="12"/>
          <w:szCs w:val="12"/>
          <w:b w:val="1"/>
          <w:bCs w:val="1"/>
          <w:i w:val="1"/>
          <w:iCs w:val="1"/>
          <w:color w:val="auto"/>
        </w:rPr>
        <w:t>We are dependent on Windstream Holdings to make payments to us under the Master Lease, and an event that materially and adversely affects Windstream’s business, financial position or results of operations could materially and adversely affect our business, financial position or results of operations.</w:t>
      </w:r>
    </w:p>
    <w:p>
      <w:pPr>
        <w:spacing w:after="0" w:line="115" w:lineRule="exact"/>
        <w:rPr>
          <w:sz w:val="20"/>
          <w:szCs w:val="20"/>
          <w:color w:val="auto"/>
        </w:rPr>
      </w:pPr>
    </w:p>
    <w:p>
      <w:pPr>
        <w:spacing w:after="0" w:line="283" w:lineRule="auto"/>
        <w:rPr>
          <w:sz w:val="20"/>
          <w:szCs w:val="20"/>
          <w:color w:val="auto"/>
        </w:rPr>
      </w:pPr>
      <w:r>
        <w:rPr>
          <w:rFonts w:ascii="Arial" w:cs="Arial" w:eastAsia="Arial" w:hAnsi="Arial"/>
          <w:sz w:val="11"/>
          <w:szCs w:val="11"/>
          <w:color w:val="auto"/>
        </w:rPr>
        <w:t>Windstream is the lessee of the Distribution Systems pursuant to the Master Lease and, therefore, is presently the source of a substantial portion of our revenues. There can be no assurance that Windstream will have sufficient assets, income and access to financing to enable it to satisfy its payment and other obligations under the Master Lease. In recent years, Windstream has experienced annual declines in its total revenue and sales. Most recently, Windstream has endured a challenge from an entity who acquired certain Windstream debt securities for the purpose of seeking an “event of default” under such securities relating to the Spin-Off. An actual “event of default” would permit the trustee or holders of at least 25% in aggregate principal amount of outstanding of such Windstream debt securities to declare the principal amount of all outstanding Windstream debt to be immediately due and payable. Such an outcome would trigger cross-default provisions in Windstream’s other debt instruments, including Windstream’s existing credit facility, which, in turn, would trigger a default under the Master Lease. A default by Windstream under the Master Lease could materially adversely affect our business, assets, financial position, and results of operations, including our ability to pay dividends to our stockholders as required to maintain our status as a REIT.</w:t>
      </w:r>
    </w:p>
    <w:p>
      <w:pPr>
        <w:spacing w:after="0" w:line="114" w:lineRule="exact"/>
        <w:rPr>
          <w:sz w:val="20"/>
          <w:szCs w:val="20"/>
          <w:color w:val="auto"/>
        </w:rPr>
      </w:pPr>
    </w:p>
    <w:p>
      <w:pPr>
        <w:ind w:right="580"/>
        <w:spacing w:after="0" w:line="380" w:lineRule="auto"/>
        <w:rPr>
          <w:sz w:val="20"/>
          <w:szCs w:val="20"/>
          <w:color w:val="auto"/>
        </w:rPr>
      </w:pPr>
      <w:r>
        <w:rPr>
          <w:rFonts w:ascii="Arial" w:cs="Arial" w:eastAsia="Arial" w:hAnsi="Arial"/>
          <w:sz w:val="10"/>
          <w:szCs w:val="10"/>
          <w:b w:val="1"/>
          <w:bCs w:val="1"/>
          <w:i w:val="1"/>
          <w:iCs w:val="1"/>
          <w:color w:val="auto"/>
        </w:rPr>
        <w:t>If the Spin-Off, together with certain related transactions, fails to qualify as a tax-free transaction for U.S. federal income tax purposes, both we and Windstream could be subject to significant tax liabilities and, in certain circumstances, we could be required to indemnify Windstream for material taxes pursuant to indemnification obligations under the tax matters agreement entered into in connection with the Spin-Off.</w:t>
      </w:r>
    </w:p>
    <w:p>
      <w:pPr>
        <w:spacing w:after="0" w:line="68" w:lineRule="exact"/>
        <w:rPr>
          <w:sz w:val="20"/>
          <w:szCs w:val="20"/>
          <w:color w:val="auto"/>
        </w:rPr>
      </w:pPr>
    </w:p>
    <w:p>
      <w:pPr>
        <w:spacing w:after="0" w:line="280" w:lineRule="auto"/>
        <w:rPr>
          <w:sz w:val="20"/>
          <w:szCs w:val="20"/>
          <w:color w:val="auto"/>
        </w:rPr>
      </w:pPr>
      <w:r>
        <w:rPr>
          <w:rFonts w:ascii="Arial" w:cs="Arial" w:eastAsia="Arial" w:hAnsi="Arial"/>
          <w:sz w:val="11"/>
          <w:szCs w:val="11"/>
          <w:color w:val="auto"/>
        </w:rPr>
        <w:t>Windstream received a private letter ruling (the “IRS Ruling”) from the Internal Revenue Service (the “IRS”) to the effect that, on the basis of certain facts presented and representations and assumptions set forth in the request submitted to the IRS, the Spin-Off will qualify as tax-free under Sections 355 and 368(a)(1)(D) of the Internal Revenue Code of 1986, as amended (the “Code”). Although a private letter ruling from the IRS generally is binding on the IRS, if the factual representations and assumptions made in the letter ruling request are untrue or incomplete in any material respect, then Windstream will not be able to rely on the IRS Ruling. In addition, the IRS Ruling does not address certain requirements for tax-free treatment of the Spin-Off under Sections 355 and 368(a)(1)(D) of the Code and Windstream’s use of Uniti indebtedness and common stock to retire certain of Windstream’s indebtedness (the “debt exchanges”). Accordingly, the Spin-Off was conditioned upon the receipt by Windstream of a tax opinion from its counsel with respect to the requirements on which the IRS did not rule, which concluded that such requirements also should be satisfied. The tax opinion was based on, among other things, the IRS Ruling, then current law and certain representations and assumptions as to factual matters made by Windstream and us. Any change in currently applicable law, which may or may not be retroactive, or the failure of any factual representation or assumption to be true, correct and complete in all material respects, could adversely affect the conclusions reached in the tax opinion. In addition, the tax opinion is not binding on the IRS or the courts, and the IRS or the courts may not agree with the tax opinion.</w:t>
      </w:r>
    </w:p>
    <w:p>
      <w:pPr>
        <w:spacing w:after="0" w:line="116" w:lineRule="exact"/>
        <w:rPr>
          <w:sz w:val="20"/>
          <w:szCs w:val="20"/>
          <w:color w:val="auto"/>
        </w:rPr>
      </w:pPr>
    </w:p>
    <w:p>
      <w:pPr>
        <w:ind w:right="60"/>
        <w:spacing w:after="0" w:line="259" w:lineRule="auto"/>
        <w:rPr>
          <w:sz w:val="20"/>
          <w:szCs w:val="20"/>
          <w:color w:val="auto"/>
        </w:rPr>
      </w:pPr>
      <w:r>
        <w:rPr>
          <w:rFonts w:ascii="Arial" w:cs="Arial" w:eastAsia="Arial" w:hAnsi="Arial"/>
          <w:sz w:val="12"/>
          <w:szCs w:val="12"/>
          <w:color w:val="auto"/>
        </w:rPr>
        <w:t>If the Spin-Off were determined to be taxable, Windstream would recognize taxable gain. Under the terms of the tax matters agreement entered into with Windstream in connection with the Spin-Off (the “Tax Matters Agreement”), we are generally responsible for any taxes imposed on Windstream that arise from the failure of the Spin-Off and the debt exchanges to qualify as tax-free for U.S. federal income tax purposes, within the meaning of Section 355 and Section 368(a)(1)(D) of the Code, as applicable, to the extent such failure to qualify is attributable to certain actions, events or transactions relating to our stock, indebtedness, assets or business, or a breach of the relevant representations or any covenants made by us in the Tax Matters Agreement, the materials submitted to the IRS in</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131" w:right="219" w:bottom="1440" w:gutter="0" w:footer="0" w:header="0"/>
        </w:sectPr>
      </w:pPr>
    </w:p>
    <w:bookmarkStart w:id="13" w:name="page14"/>
    <w:bookmarkEnd w:id="13"/>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78" w:lineRule="exact"/>
        <w:rPr>
          <w:sz w:val="20"/>
          <w:szCs w:val="20"/>
          <w:color w:val="auto"/>
        </w:rPr>
      </w:pPr>
    </w:p>
    <w:p>
      <w:pPr>
        <w:ind w:right="400"/>
        <w:spacing w:after="0" w:line="276" w:lineRule="auto"/>
        <w:rPr>
          <w:sz w:val="20"/>
          <w:szCs w:val="20"/>
          <w:color w:val="auto"/>
        </w:rPr>
      </w:pPr>
      <w:r>
        <w:rPr>
          <w:rFonts w:ascii="Arial" w:cs="Arial" w:eastAsia="Arial" w:hAnsi="Arial"/>
          <w:sz w:val="12"/>
          <w:szCs w:val="12"/>
          <w:color w:val="auto"/>
        </w:rPr>
        <w:t>connection with the request for the IRS Ruling or the representations provided in connection with the tax opinion. Our indemnification obligations to Windstream are not limited by any maximum amount and such amounts could be substantial. If we are required to indemnify Windstream under the circumstances set forth in the Tax Matters Agreement, we may also be subject to substantial tax liabilities.</w:t>
      </w:r>
    </w:p>
    <w:p>
      <w:pPr>
        <w:spacing w:after="0" w:line="187" w:lineRule="exact"/>
        <w:rPr>
          <w:sz w:val="20"/>
          <w:szCs w:val="20"/>
          <w:color w:val="auto"/>
        </w:rPr>
      </w:pPr>
    </w:p>
    <w:p>
      <w:pPr>
        <w:ind w:right="100"/>
        <w:spacing w:after="0" w:line="276" w:lineRule="auto"/>
        <w:rPr>
          <w:sz w:val="20"/>
          <w:szCs w:val="20"/>
          <w:color w:val="auto"/>
        </w:rPr>
      </w:pPr>
      <w:r>
        <w:rPr>
          <w:rFonts w:ascii="Arial" w:cs="Arial" w:eastAsia="Arial" w:hAnsi="Arial"/>
          <w:sz w:val="12"/>
          <w:szCs w:val="12"/>
          <w:color w:val="auto"/>
        </w:rPr>
        <w:t>In addition, if the Spin-Off or the debt exchanges failed to qualify as tax free for U.S. federal income tax purposes, Windstream may incur significant tax liabilities that could materially affect Windstream’s ability to make payments under the Master Lease.</w:t>
      </w:r>
    </w:p>
    <w:p>
      <w:pPr>
        <w:spacing w:after="0" w:line="18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level of indebtedness could materially and adversely affect our financial position, including reducing funds available for other business purposes and reducing our operational flexibility.</w:t>
      </w:r>
    </w:p>
    <w:p>
      <w:pPr>
        <w:spacing w:after="0" w:line="78" w:lineRule="exact"/>
        <w:rPr>
          <w:sz w:val="20"/>
          <w:szCs w:val="20"/>
          <w:color w:val="auto"/>
        </w:rPr>
      </w:pPr>
    </w:p>
    <w:p>
      <w:pPr>
        <w:spacing w:after="0" w:line="283" w:lineRule="auto"/>
        <w:rPr>
          <w:sz w:val="20"/>
          <w:szCs w:val="20"/>
          <w:color w:val="auto"/>
        </w:rPr>
      </w:pPr>
      <w:r>
        <w:rPr>
          <w:rFonts w:ascii="Arial" w:cs="Arial" w:eastAsia="Arial" w:hAnsi="Arial"/>
          <w:sz w:val="11"/>
          <w:szCs w:val="11"/>
          <w:color w:val="auto"/>
        </w:rPr>
        <w:t>As of December 31, 2017, we had outstanding long term indebtedness of approximately $4.5 billion consisting of a combination of senior notes and term loans. Additionally, we have a revolving credit facility in an aggregate principal amount of up to $750 million, $470 million of which was undrawn as of December 31, 2017, provided by a syndicate of banks and other financial institutions. Subject to the restrictions set forth in our debt agreements, our board of directors may establish and change our leverage policy at any time without stockholder approval. Any significant additional indebtedness could require a substantial portion of our cash flow to make interest and principal payments due on our indebtedness. Greater demands on our cash resources may reduce funds available to us to pay dividends, make capital expenditures and acquisitions, or carry out other aspects of our business strategy. Increased indebtedness can also limit our ability to adjust rapidly to changing market conditions, make us more vulnerable to general adverse economic and industry conditions and create competitive disadvantages for us compared to other companies with relatively lower debt levels. Increased future debt service obligations may limit our operational flexibility, including our ability to acquire assets, finance or refinance our assets or sell assets as needed.</w:t>
      </w:r>
    </w:p>
    <w:p>
      <w:pPr>
        <w:spacing w:after="0" w:line="186" w:lineRule="exact"/>
        <w:rPr>
          <w:sz w:val="20"/>
          <w:szCs w:val="20"/>
          <w:color w:val="auto"/>
        </w:rPr>
      </w:pPr>
    </w:p>
    <w:p>
      <w:pPr>
        <w:ind w:right="300"/>
        <w:spacing w:after="0" w:line="276" w:lineRule="auto"/>
        <w:rPr>
          <w:sz w:val="20"/>
          <w:szCs w:val="20"/>
          <w:color w:val="auto"/>
        </w:rPr>
      </w:pPr>
      <w:r>
        <w:rPr>
          <w:rFonts w:ascii="Arial" w:cs="Arial" w:eastAsia="Arial" w:hAnsi="Arial"/>
          <w:sz w:val="12"/>
          <w:szCs w:val="12"/>
          <w:b w:val="1"/>
          <w:bCs w:val="1"/>
          <w:i w:val="1"/>
          <w:iCs w:val="1"/>
          <w:color w:val="auto"/>
        </w:rPr>
        <w:t>We intend to pursue acquisitions of additional properties and seek other strategic opportunities, which may result in the use of a significant amount of management resources or significant costs, and we may not fully realize the potential benefits of such transactions.</w:t>
      </w:r>
    </w:p>
    <w:p>
      <w:pPr>
        <w:spacing w:after="0" w:line="115" w:lineRule="exact"/>
        <w:rPr>
          <w:sz w:val="20"/>
          <w:szCs w:val="20"/>
          <w:color w:val="auto"/>
        </w:rPr>
      </w:pPr>
    </w:p>
    <w:p>
      <w:pPr>
        <w:ind w:right="40"/>
        <w:spacing w:after="0" w:line="316" w:lineRule="auto"/>
        <w:rPr>
          <w:sz w:val="20"/>
          <w:szCs w:val="20"/>
          <w:color w:val="auto"/>
        </w:rPr>
      </w:pPr>
      <w:r>
        <w:rPr>
          <w:rFonts w:ascii="Arial" w:cs="Arial" w:eastAsia="Arial" w:hAnsi="Arial"/>
          <w:sz w:val="10"/>
          <w:szCs w:val="10"/>
          <w:color w:val="auto"/>
        </w:rPr>
        <w:t>We intend to pursue acquisitions of additional properties and seek acquisitions and other strategic opportunities. Accordingly, we currently are, and expect in the future to be, engaged in evaluating potential transactions and other strategic alternatives. Although there is uncertainty that any of these discussions will result in definitive agreements or the completion of any transaction, we may devote a significant amount of our management resources to such a transaction, which could negatively impact our operations. We may incur significant costs in connection with seeking acquisitions or other strategic opportunities regardless of whether the transaction is completed. In the event that we consummate an acquisition or strategic alternative in the future, there is no assurance that we would fully realize the potential benefits of such a transaction. Integration may be difficult and unpredictable, and acquisition-related integration costs, including certain non-recurring charges, could materially and adversely affect our results of operations. Moreover, integrating assets and businesses may significantly burden management and internal resources, including the potential loss or unavailability of key personnel. If we fail to successfully integrate the assets and businesses we acquire, we may not fully realize the potential benefits we expect, and our operating results could be adversely affected.</w:t>
      </w:r>
    </w:p>
    <w:p>
      <w:pPr>
        <w:spacing w:after="0" w:line="24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the Status of Uniti as a REIT</w:t>
      </w:r>
    </w:p>
    <w:p>
      <w:pPr>
        <w:spacing w:after="0" w:line="154" w:lineRule="exact"/>
        <w:rPr>
          <w:sz w:val="20"/>
          <w:szCs w:val="20"/>
          <w:color w:val="auto"/>
        </w:rPr>
      </w:pPr>
    </w:p>
    <w:p>
      <w:pPr>
        <w:ind w:right="160"/>
        <w:spacing w:after="0" w:line="276" w:lineRule="auto"/>
        <w:rPr>
          <w:sz w:val="20"/>
          <w:szCs w:val="20"/>
          <w:color w:val="auto"/>
        </w:rPr>
      </w:pPr>
      <w:r>
        <w:rPr>
          <w:rFonts w:ascii="Arial" w:cs="Arial" w:eastAsia="Arial" w:hAnsi="Arial"/>
          <w:sz w:val="12"/>
          <w:szCs w:val="12"/>
          <w:b w:val="1"/>
          <w:bCs w:val="1"/>
          <w:i w:val="1"/>
          <w:iCs w:val="1"/>
          <w:color w:val="auto"/>
        </w:rPr>
        <w:t>If we do not qualify as a REIT, or fail to remain qualified as a REIT, we will be subject to U.S. federal income tax as a regular corporation and could face a substantial tax liability, which could reduce the amount of cash available for distribution to our stockholders and to service debt.</w:t>
      </w:r>
    </w:p>
    <w:p>
      <w:pPr>
        <w:spacing w:after="0" w:line="115" w:lineRule="exact"/>
        <w:rPr>
          <w:sz w:val="20"/>
          <w:szCs w:val="20"/>
          <w:color w:val="auto"/>
        </w:rPr>
      </w:pPr>
    </w:p>
    <w:p>
      <w:pPr>
        <w:jc w:val="both"/>
        <w:ind w:right="80"/>
        <w:spacing w:after="0" w:line="263" w:lineRule="auto"/>
        <w:rPr>
          <w:sz w:val="20"/>
          <w:szCs w:val="20"/>
          <w:color w:val="auto"/>
        </w:rPr>
      </w:pPr>
      <w:r>
        <w:rPr>
          <w:rFonts w:ascii="Arial" w:cs="Arial" w:eastAsia="Arial" w:hAnsi="Arial"/>
          <w:sz w:val="12"/>
          <w:szCs w:val="12"/>
          <w:color w:val="auto"/>
        </w:rPr>
        <w:t>We operate as a REIT for U.S. federal income tax purposes. Our qualification as a REIT will depend on our satisfaction of certain highly technical and complex asset, income, organizational, distribution, stockholder ownership and other requirements on a continuing basis. Our ability to satisfy the asset tests depends upon our analysis of the characterization and fair market values of our assets, some of which are not susceptible to a precise determination, and for which we may not obtain independent appraisals.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14" w:name="page15"/>
    <w:bookmarkEnd w:id="14"/>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22" w:lineRule="exact"/>
        <w:rPr>
          <w:sz w:val="20"/>
          <w:szCs w:val="20"/>
          <w:color w:val="auto"/>
        </w:rPr>
      </w:pPr>
    </w:p>
    <w:p>
      <w:pPr>
        <w:ind w:right="80"/>
        <w:spacing w:after="0" w:line="259" w:lineRule="auto"/>
        <w:rPr>
          <w:sz w:val="20"/>
          <w:szCs w:val="20"/>
          <w:color w:val="auto"/>
        </w:rPr>
      </w:pPr>
      <w:r>
        <w:rPr>
          <w:rFonts w:ascii="Arial" w:cs="Arial" w:eastAsia="Arial" w:hAnsi="Arial"/>
          <w:sz w:val="12"/>
          <w:szCs w:val="12"/>
          <w:color w:val="auto"/>
        </w:rPr>
        <w:t>If we were to fail to qualify as a REIT in any taxable year, we would be subject to U.S. federal income tax on our taxable income at regular corporate rates, including any applicable alternative minimum tax, and dividends paid to our stockholders would not be deductible by us in computing our taxable income. Any resulting corporate liability could be substantial and could reduce the amount of cash available for distribution to our stockholders, which in turn could have an adverse impact on the value of our common stock and to service debt. Unless we were entitled to relief under certain Code provisions, we also would be disqualified from reelecting to be taxed as a REIT for the four taxable years following the year in which we failed to qualify as a REIT.</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Legislative or other actions affecting REITs could have a negative effect on us.</w:t>
      </w:r>
    </w:p>
    <w:p>
      <w:pPr>
        <w:spacing w:after="0" w:line="150" w:lineRule="exact"/>
        <w:rPr>
          <w:sz w:val="20"/>
          <w:szCs w:val="20"/>
          <w:color w:val="auto"/>
        </w:rPr>
      </w:pPr>
    </w:p>
    <w:p>
      <w:pPr>
        <w:ind w:right="180"/>
        <w:spacing w:after="0" w:line="259" w:lineRule="auto"/>
        <w:rPr>
          <w:sz w:val="20"/>
          <w:szCs w:val="20"/>
          <w:color w:val="auto"/>
        </w:rPr>
      </w:pPr>
      <w:r>
        <w:rPr>
          <w:rFonts w:ascii="Arial" w:cs="Arial" w:eastAsia="Arial" w:hAnsi="Arial"/>
          <w:sz w:val="12"/>
          <w:szCs w:val="12"/>
          <w:color w:val="auto"/>
        </w:rPr>
        <w:t>The rules dealing with federal income taxation are constantly under review by persons involved in the legislative process and by the IRS and the U.S. Department of the Treasury (“Treasury”). Changes to the tax laws affecting REITs or TRSs, which may have retroactive application, could adversely affect our stockholders or us. We cannot predict how changes in the tax laws might affect our stockholders or us. Accordingly, we cannot provide assurance that new legislation, Treasury regulations, administrative interpretations or court decisions will not significantly affect our ability to remain qualified as a REIT, the federal income tax consequences of such qualification, the determination of the amount of REIT taxable income or the amount of tax paid by the TRSs.</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could fail to qualify as a REIT if income we receive from Windstream is not treated as qualifying income.</w:t>
      </w:r>
    </w:p>
    <w:p>
      <w:pPr>
        <w:spacing w:after="0" w:line="150" w:lineRule="exact"/>
        <w:rPr>
          <w:sz w:val="20"/>
          <w:szCs w:val="20"/>
          <w:color w:val="auto"/>
        </w:rPr>
      </w:pPr>
    </w:p>
    <w:p>
      <w:pPr>
        <w:ind w:right="100"/>
        <w:spacing w:after="0" w:line="263" w:lineRule="auto"/>
        <w:rPr>
          <w:sz w:val="20"/>
          <w:szCs w:val="20"/>
          <w:color w:val="auto"/>
        </w:rPr>
      </w:pPr>
      <w:r>
        <w:rPr>
          <w:rFonts w:ascii="Arial" w:cs="Arial" w:eastAsia="Arial" w:hAnsi="Arial"/>
          <w:sz w:val="12"/>
          <w:szCs w:val="12"/>
          <w:color w:val="auto"/>
        </w:rPr>
        <w:t>Under applicable provisions of the Code, we will not be treated as a REIT unless we satisfy various requirements, including requirements relating to the sources of our gross income. Rents received or accrued by us from Windstream will not be treated as qualifying rent for purposes of these requirements if the Master Lease is not respected as a true lease for U.S. federal income tax purposes and is instead treated as a service contract, joint venture or some other type of arrangement. If the Master Lease is not respected as a true lease for U.S. federal income tax purposes, we may fail to qualify as a REIT.</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REIT distribution requirements could adversely affect our ability to execute our business plan.</w:t>
      </w:r>
    </w:p>
    <w:p>
      <w:pPr>
        <w:spacing w:after="0" w:line="150" w:lineRule="exact"/>
        <w:rPr>
          <w:sz w:val="20"/>
          <w:szCs w:val="20"/>
          <w:color w:val="auto"/>
        </w:rPr>
      </w:pPr>
    </w:p>
    <w:p>
      <w:pPr>
        <w:ind w:right="80"/>
        <w:spacing w:after="0" w:line="257" w:lineRule="auto"/>
        <w:rPr>
          <w:sz w:val="20"/>
          <w:szCs w:val="20"/>
          <w:color w:val="auto"/>
        </w:rPr>
      </w:pPr>
      <w:r>
        <w:rPr>
          <w:rFonts w:ascii="Arial" w:cs="Arial" w:eastAsia="Arial" w:hAnsi="Arial"/>
          <w:sz w:val="12"/>
          <w:szCs w:val="12"/>
          <w:color w:val="auto"/>
        </w:rPr>
        <w:t>We generally must distribute annually at least 90% of our REIT taxable income, determined without regard to the dividends paid deduction and excluding any net capital gains, in order for us to qualify as a REIT (assuming that certain other requirements are also satisfied) so that U.S. federal corporate income tax does not apply to earnings that we distribute. To the extent that we satisfy this distribution requirement and qualify for taxation as a REIT but distribute less than 100% of our REIT taxable income, determined without regard to the dividends paid deduction and excluding any net capital gains, we will be subject to U.S. federal corporate income tax on our undistributed net taxable income. In addition, we will be subject to a 4% nondeductible excise tax if the actual amount that we distribute to our stockholders in a calendar year is less than a minimum amount specified for REITs under U.S. federal income tax laws. We intend to make distributions to our stockholders to comply with the REIT requirements of the Code.</w:t>
      </w:r>
    </w:p>
    <w:p>
      <w:pPr>
        <w:spacing w:after="0" w:line="126" w:lineRule="exact"/>
        <w:rPr>
          <w:sz w:val="20"/>
          <w:szCs w:val="20"/>
          <w:color w:val="auto"/>
        </w:rPr>
      </w:pPr>
    </w:p>
    <w:p>
      <w:pPr>
        <w:spacing w:after="0" w:line="286" w:lineRule="auto"/>
        <w:rPr>
          <w:sz w:val="20"/>
          <w:szCs w:val="20"/>
          <w:color w:val="auto"/>
        </w:rPr>
      </w:pPr>
      <w:r>
        <w:rPr>
          <w:rFonts w:ascii="Arial" w:cs="Arial" w:eastAsia="Arial" w:hAnsi="Arial"/>
          <w:sz w:val="11"/>
          <w:szCs w:val="11"/>
          <w:color w:val="auto"/>
        </w:rPr>
        <w:t>Our FFO is currently generated primarily by rents paid under the Master Lease. From time to time, we may generate taxable income greater than our cash flow as a result of differences in timing between the recognition of taxable income and the actual receipt of cash or the effect of nondeductible capital expenditures, the creation of reserves or required debt or amortization payments. If we do not have other funds available in these situations, we could be required to borrow funds on unfavorable terms, sell assets at disadvantageous prices or distribute amounts that would otherwise be invested in future acquisitions in order to make distributions sufficient to enable us to pay out enough of our taxable income to satisfy the REIT distribution requirement and to avoid corporate income tax, including the 4% excise tax in a particular year. These alternatives could increase our costs or reduce our equity. Thus, compliance with the REIT requirements may hinder our ability to grow, which could adversely affect the value of our common stock and decrease cash available to service debt.</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Even if we remain qualified as a REIT, we may face other tax liabilities that reduce our cash flow.</w:t>
      </w:r>
    </w:p>
    <w:p>
      <w:pPr>
        <w:spacing w:after="0" w:line="150" w:lineRule="exact"/>
        <w:rPr>
          <w:sz w:val="20"/>
          <w:szCs w:val="20"/>
          <w:color w:val="auto"/>
        </w:rPr>
      </w:pPr>
    </w:p>
    <w:p>
      <w:pPr>
        <w:spacing w:after="0"/>
        <w:rPr>
          <w:sz w:val="20"/>
          <w:szCs w:val="20"/>
          <w:color w:val="auto"/>
        </w:rPr>
      </w:pPr>
      <w:r>
        <w:rPr>
          <w:rFonts w:ascii="Arial" w:cs="Arial" w:eastAsia="Arial" w:hAnsi="Arial"/>
          <w:sz w:val="11"/>
          <w:szCs w:val="11"/>
          <w:color w:val="auto"/>
        </w:rPr>
        <w:t>Even if we remain qualified for taxation as a REIT, we may be subject to certain U.S. federal, state and local taxes on our income and assets, including taxes on any undistributed income and state or local income, property and</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131" w:right="219" w:bottom="1440" w:gutter="0" w:footer="0" w:header="0"/>
        </w:sectPr>
      </w:pPr>
    </w:p>
    <w:bookmarkStart w:id="15" w:name="page16"/>
    <w:bookmarkEnd w:id="15"/>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78" w:lineRule="exact"/>
        <w:rPr>
          <w:sz w:val="20"/>
          <w:szCs w:val="20"/>
          <w:color w:val="auto"/>
        </w:rPr>
      </w:pPr>
    </w:p>
    <w:p>
      <w:pPr>
        <w:ind w:right="60"/>
        <w:spacing w:after="0" w:line="323" w:lineRule="auto"/>
        <w:rPr>
          <w:sz w:val="20"/>
          <w:szCs w:val="20"/>
          <w:color w:val="auto"/>
        </w:rPr>
      </w:pPr>
      <w:r>
        <w:rPr>
          <w:rFonts w:ascii="Arial" w:cs="Arial" w:eastAsia="Arial" w:hAnsi="Arial"/>
          <w:sz w:val="11"/>
          <w:szCs w:val="11"/>
          <w:color w:val="auto"/>
        </w:rPr>
        <w:t>transfer taxes. For example, we hold some of our assets and conduct certain of our activities through a TRS that is subject to U.S. federal, state and local corporate-level income taxes as a regular C corporation. In addition, we may incur a 100% excise tax on transactions with a TRS if they are not conducted on an arm’s-length basis. Any of these taxes could decrease cash available for distribution to our stockholders and servicing our debt.</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Complying with the REIT requirements may cause us to forego otherwise attractive acquisition opportunities.</w:t>
      </w:r>
    </w:p>
    <w:p>
      <w:pPr>
        <w:spacing w:after="0" w:line="150" w:lineRule="exact"/>
        <w:rPr>
          <w:sz w:val="20"/>
          <w:szCs w:val="20"/>
          <w:color w:val="auto"/>
        </w:rPr>
      </w:pPr>
    </w:p>
    <w:p>
      <w:pPr>
        <w:ind w:right="60"/>
        <w:spacing w:after="0" w:line="281" w:lineRule="auto"/>
        <w:rPr>
          <w:sz w:val="20"/>
          <w:szCs w:val="20"/>
          <w:color w:val="auto"/>
        </w:rPr>
      </w:pPr>
      <w:r>
        <w:rPr>
          <w:rFonts w:ascii="Arial" w:cs="Arial" w:eastAsia="Arial" w:hAnsi="Arial"/>
          <w:sz w:val="11"/>
          <w:szCs w:val="11"/>
          <w:color w:val="auto"/>
        </w:rPr>
        <w:t>To qualify as a REIT for U.S. federal income tax purposes, we must ensure that, at the end of each calendar quarter, at least 75% of the value of our assets consists of cash, cash items, government securities and “real estate assets” (as defined in the Code). The remainder of our investments (other than government securities, qualified real estate assets and securities issued by a TRS) generally cannot include more than 10% of the outstanding voting securities of any one issuer or more than 10% of the total value of the outstanding securities of any one issuer. In addition, in general, no more than 5% of the value of our total assets (other than government securities, qualified real estate assets and securities issued by a TRS) can consist of the securities of any one issuer, no more than 20% of the value of our total assets can be represented by securities of one or more TRSs, and no more than 25% of the value of our total assets can be represented by nonqualified publicly offered REIT debt instruments (as defined in the Code). If we fail to comply with these requirements at the end of any calendar quarter, we must correct the failure within 30 days after the end of the calendar quarter or qualify for certain statutory relief provisions to avoid losing our REIT qualification and suffering adverse tax consequences. As a result of such asset limitations, we may be required to forego otherwise attractive investments. These actions could have the effect of reducing our income and amounts available for distribution to our stockholders and servicing our debt.</w:t>
      </w:r>
    </w:p>
    <w:p>
      <w:pPr>
        <w:spacing w:after="0" w:line="10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our Business</w:t>
      </w:r>
    </w:p>
    <w:p>
      <w:pPr>
        <w:spacing w:after="0" w:line="127"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We are dependent on the communications industry and may be susceptible to the risks associated with it, which could materially adversely affect our business, financial position or results of operations.</w:t>
      </w:r>
    </w:p>
    <w:p>
      <w:pPr>
        <w:spacing w:after="0" w:line="162" w:lineRule="exact"/>
        <w:rPr>
          <w:sz w:val="20"/>
          <w:szCs w:val="20"/>
          <w:color w:val="auto"/>
        </w:rPr>
      </w:pPr>
    </w:p>
    <w:p>
      <w:pPr>
        <w:ind w:right="120"/>
        <w:spacing w:after="0" w:line="298" w:lineRule="auto"/>
        <w:rPr>
          <w:sz w:val="20"/>
          <w:szCs w:val="20"/>
          <w:color w:val="auto"/>
        </w:rPr>
      </w:pPr>
      <w:r>
        <w:rPr>
          <w:rFonts w:ascii="Arial" w:cs="Arial" w:eastAsia="Arial" w:hAnsi="Arial"/>
          <w:sz w:val="11"/>
          <w:szCs w:val="11"/>
          <w:color w:val="auto"/>
        </w:rPr>
        <w:t>As the owner, lessor and provider of communications services and distribution systems serving the communications industry, we are impacted by the risks associated with the communications industry. Therefore, our success is to some degree dependent on the communications industry, which could be adversely affected by economic conditions in general, changes in consumer trends and preferences, changes in communications technology and other factors over which we and our tenants have no control. As we are subject to risks inherent in substantial investments in a single industry, a decrease in the communications business would likely have an adverse effect on our revenues.</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business is subject to government regulations and changes in current or future laws or regulations could restrict our ability to operate our business in the manner currently contemplated.</w:t>
      </w:r>
    </w:p>
    <w:p>
      <w:pPr>
        <w:spacing w:after="0" w:line="150" w:lineRule="exact"/>
        <w:rPr>
          <w:sz w:val="20"/>
          <w:szCs w:val="20"/>
          <w:color w:val="auto"/>
        </w:rPr>
      </w:pPr>
    </w:p>
    <w:p>
      <w:pPr>
        <w:spacing w:after="0" w:line="257" w:lineRule="auto"/>
        <w:rPr>
          <w:sz w:val="20"/>
          <w:szCs w:val="20"/>
          <w:color w:val="auto"/>
        </w:rPr>
      </w:pPr>
      <w:r>
        <w:rPr>
          <w:rFonts w:ascii="Arial" w:cs="Arial" w:eastAsia="Arial" w:hAnsi="Arial"/>
          <w:sz w:val="12"/>
          <w:szCs w:val="12"/>
          <w:color w:val="auto"/>
        </w:rPr>
        <w:t>Our business, and that of our tenants, is subject to federal, state, local and foreign regulation. In certain jurisdictions these regulations could be applied or enforced retroactively. Local zoning authorities and community organizations are often opposed to construction in their communities and these regulations can delay, prevent or increase the cost of new distribution system construction and modifications, thereby limiting our ability to respond to customer demands and requirements. Existing regulatory policies may materially and adversely affect the associated timing or cost of such projects and additional regulations may be adopted which increase delays or result in additional costs to us, or that prevent such projects in certain locations. These factors could materially and adversely affect our business, results of operations or financial condition. For more information regarding the regulations we are subject to, please see the section entitled “Business – Government Regulation, Licensing and Enforcement.”</w:t>
      </w:r>
    </w:p>
    <w:p>
      <w:pPr>
        <w:spacing w:after="0" w:line="11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Any failure of Uniti Fiber’s physical infrastructure or services could lead to significant costs and disruptions.</w:t>
      </w:r>
    </w:p>
    <w:p>
      <w:pPr>
        <w:spacing w:after="0" w:line="123" w:lineRule="exact"/>
        <w:rPr>
          <w:sz w:val="20"/>
          <w:szCs w:val="20"/>
          <w:color w:val="auto"/>
        </w:rPr>
      </w:pPr>
    </w:p>
    <w:p>
      <w:pPr>
        <w:spacing w:after="0" w:line="259" w:lineRule="auto"/>
        <w:rPr>
          <w:sz w:val="20"/>
          <w:szCs w:val="20"/>
          <w:color w:val="auto"/>
        </w:rPr>
      </w:pPr>
      <w:r>
        <w:rPr>
          <w:rFonts w:ascii="Arial" w:cs="Arial" w:eastAsia="Arial" w:hAnsi="Arial"/>
          <w:sz w:val="12"/>
          <w:szCs w:val="12"/>
          <w:color w:val="auto"/>
        </w:rPr>
        <w:t>Uniti Fiber’s business depends on providing customers with highly reliable service. The services provided are subject to failure resulting from numerous factors, including human error, power loss, improper maintenance, physical or electronic security breaches, fire, earthquake, hurricane, flood and other natural disasters, water damage, the effect of war, terrorism and any related conflicts or similar events worldwide, and sabotage and vandalism. Problems within Uniti Fiber’s networks or facilities, whether within our control or the control of third-party providers, could result in service interruptions or equipment damage. We may not be able to efficiently upgrade or change Uniti Fiber’s networks or facilities to meet new demands without incurring</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40"/>
          </w:cols>
          <w:pgMar w:left="220" w:top="131" w:right="239" w:bottom="1440" w:gutter="0" w:footer="0" w:header="0"/>
        </w:sectPr>
      </w:pPr>
    </w:p>
    <w:bookmarkStart w:id="16" w:name="page17"/>
    <w:bookmarkEnd w:id="16"/>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78" w:lineRule="exact"/>
        <w:rPr>
          <w:sz w:val="20"/>
          <w:szCs w:val="20"/>
          <w:color w:val="auto"/>
        </w:rPr>
      </w:pPr>
    </w:p>
    <w:p>
      <w:pPr>
        <w:ind w:right="100"/>
        <w:spacing w:after="0" w:line="276" w:lineRule="auto"/>
        <w:rPr>
          <w:sz w:val="20"/>
          <w:szCs w:val="20"/>
          <w:color w:val="auto"/>
        </w:rPr>
      </w:pPr>
      <w:r>
        <w:rPr>
          <w:rFonts w:ascii="Arial" w:cs="Arial" w:eastAsia="Arial" w:hAnsi="Arial"/>
          <w:sz w:val="12"/>
          <w:szCs w:val="12"/>
          <w:color w:val="auto"/>
        </w:rPr>
        <w:t>significant costs that we may not be able to pass on to customers. Given the service guarantees that may be included in Uniti Fiber’s agreements with customers, such disruptions could result in customer credits; however, we cannot assume that customers will accept these credits as compensation in the future, and we may face additional liability or loss of customers.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Uniti Fiber uses franchises, licenses, permits, rights-of-way, conduit leases, fiber agreements, and property leases, which could be canceled or not renewed.</w:t>
      </w:r>
    </w:p>
    <w:p>
      <w:pPr>
        <w:spacing w:after="0" w:line="150" w:lineRule="exact"/>
        <w:rPr>
          <w:sz w:val="20"/>
          <w:szCs w:val="20"/>
          <w:color w:val="auto"/>
        </w:rPr>
      </w:pPr>
    </w:p>
    <w:p>
      <w:pPr>
        <w:ind w:right="20"/>
        <w:spacing w:after="0" w:line="286" w:lineRule="auto"/>
        <w:rPr>
          <w:sz w:val="20"/>
          <w:szCs w:val="20"/>
          <w:color w:val="auto"/>
        </w:rPr>
      </w:pPr>
      <w:r>
        <w:rPr>
          <w:rFonts w:ascii="Arial" w:cs="Arial" w:eastAsia="Arial" w:hAnsi="Arial"/>
          <w:sz w:val="11"/>
          <w:szCs w:val="11"/>
          <w:color w:val="auto"/>
        </w:rPr>
        <w:t>Uniti Fiber must maintain rights-of-way, franchises, and other permits from railroads, utilities, state highway authorities, local governments, transit authorities, and others to operate its fiber network. We cannot be certain that we will be successful in maintaining these rights-of-way agreements or obtaining future agreements on acceptable terms. Some of these agreements are short-term or revocable at will, and we cannot assure you that we will continue to have access to existing rights-of-way after they have expired or terminated. If a material portion of these agreements are terminated or are not renewed, we might be forced to abandon these networks. In order to operate these networks, we must also maintain fiber leases and indefeasible right of use (“IRU”) agreements between Uniti Fiber and both public and private entities, and there is no assurance that we will be able to renew those fiber leases and IRU agreements on favorable terms, or at all. If we are unable to renew those fiber leases and IRU agreements on favorable terms, we may face increased costs or reduced revenues.</w:t>
      </w:r>
    </w:p>
    <w:p>
      <w:pPr>
        <w:spacing w:after="0" w:line="111" w:lineRule="exact"/>
        <w:rPr>
          <w:sz w:val="20"/>
          <w:szCs w:val="20"/>
          <w:color w:val="auto"/>
        </w:rPr>
      </w:pPr>
    </w:p>
    <w:p>
      <w:pPr>
        <w:ind w:right="360"/>
        <w:spacing w:after="0" w:line="276" w:lineRule="auto"/>
        <w:rPr>
          <w:sz w:val="20"/>
          <w:szCs w:val="20"/>
          <w:color w:val="auto"/>
        </w:rPr>
      </w:pPr>
      <w:r>
        <w:rPr>
          <w:rFonts w:ascii="Arial" w:cs="Arial" w:eastAsia="Arial" w:hAnsi="Arial"/>
          <w:sz w:val="12"/>
          <w:szCs w:val="12"/>
          <w:color w:val="auto"/>
        </w:rPr>
        <w:t>In order to expand Uniti Fiber’s network to new locations, we often need to obtain additional rights-of-way, franchises, and other permits. Our failure to obtain these rights in a prompt and cost-effective manner may prevent us from expanding our network, which may be necessary to meet our contractual obligations to our customers and could expose us to liabilities.</w:t>
      </w:r>
    </w:p>
    <w:p>
      <w:pPr>
        <w:spacing w:after="0" w:line="115" w:lineRule="exact"/>
        <w:rPr>
          <w:sz w:val="20"/>
          <w:szCs w:val="20"/>
          <w:color w:val="auto"/>
        </w:rPr>
      </w:pPr>
    </w:p>
    <w:p>
      <w:pPr>
        <w:ind w:right="700"/>
        <w:spacing w:after="0" w:line="276" w:lineRule="auto"/>
        <w:rPr>
          <w:sz w:val="20"/>
          <w:szCs w:val="20"/>
          <w:color w:val="auto"/>
        </w:rPr>
      </w:pPr>
      <w:r>
        <w:rPr>
          <w:rFonts w:ascii="Arial" w:cs="Arial" w:eastAsia="Arial" w:hAnsi="Arial"/>
          <w:sz w:val="12"/>
          <w:szCs w:val="12"/>
          <w:color w:val="auto"/>
        </w:rPr>
        <w:t>If we lose or are unable to renew key real property leases where Uniti Fiber has located networks or facilities, it could adversely affect our services and increase our costs, as we would be required to restructure or move these networks or facilities.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New technologies or changes in a tenant’s business model could make our business less desirable</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and result in decreasing revenues.</w:t>
      </w:r>
    </w:p>
    <w:p>
      <w:pPr>
        <w:spacing w:after="0" w:line="159" w:lineRule="exact"/>
        <w:rPr>
          <w:sz w:val="20"/>
          <w:szCs w:val="20"/>
          <w:color w:val="auto"/>
        </w:rPr>
      </w:pPr>
    </w:p>
    <w:p>
      <w:pPr>
        <w:ind w:right="180"/>
        <w:spacing w:after="0" w:line="286" w:lineRule="auto"/>
        <w:rPr>
          <w:sz w:val="20"/>
          <w:szCs w:val="20"/>
          <w:color w:val="auto"/>
        </w:rPr>
      </w:pPr>
      <w:r>
        <w:rPr>
          <w:rFonts w:ascii="Arial" w:cs="Arial" w:eastAsia="Arial" w:hAnsi="Arial"/>
          <w:sz w:val="11"/>
          <w:szCs w:val="11"/>
          <w:color w:val="auto"/>
        </w:rPr>
        <w:t>The development and implementation of new technologies designed to enhance the efficiency of communications distribution systems, including lit fiber networks and wireless equipment, or changes in a tenant’s business model due to such technological changes, could reduce the need for our services, decrease demand for tower space or fiber or reduce previously obtainable lease rates for communications infrastructure. In addition, tenants may allocate less of their budgets to certain types of communications infrastructure, as the industry is trending towards deploying increased capital to the development and implementation of new technologies. Further, a tenant may decide to no longer outsource certain types of communications infrastructure or otherwise change its business model, which would result in a decrease in our revenue. The development and implementation of any of these and similar technologies to any significant degree or changes in a tenant’s business model could have a material adverse effect on our business, results of operations or financial condition.</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we determine that our goodwill has become impaired, we may incur impairment charges, which would negatively impact our operating results.</w:t>
      </w:r>
    </w:p>
    <w:p>
      <w:pPr>
        <w:spacing w:after="0" w:line="168" w:lineRule="exact"/>
        <w:rPr>
          <w:sz w:val="20"/>
          <w:szCs w:val="20"/>
          <w:color w:val="auto"/>
        </w:rPr>
      </w:pPr>
    </w:p>
    <w:p>
      <w:pPr>
        <w:spacing w:after="0" w:line="290" w:lineRule="auto"/>
        <w:rPr>
          <w:sz w:val="20"/>
          <w:szCs w:val="20"/>
          <w:color w:val="auto"/>
        </w:rPr>
      </w:pPr>
      <w:r>
        <w:rPr>
          <w:rFonts w:ascii="Arial" w:cs="Arial" w:eastAsia="Arial" w:hAnsi="Arial"/>
          <w:sz w:val="11"/>
          <w:szCs w:val="11"/>
          <w:color w:val="auto"/>
        </w:rPr>
        <w:t>At December 31, 2017, we had $673.7 million of goodwill on our consolidated balance sheet. Goodwill represents the excess of cost over the fair value of net assets acquired in business combinations. We assess potential impairment of our goodwill at least annually. Impairment may result from significant changes in the manner of use of the acquired assets, negative industry or economic trends and/or significant underperformance relative to historic or projected operating results. Changes in these events and conditions or other assumptions could result in an impairment charge in the future, which could have a significant adverse impact on our reported earnings. For a discussion of our goodwill impairment testing, see “Critical Accounting Policies-Evaluation of Goodwill Impairment” in Part II, Item 7A-Management’s Discussion and Analysis of Financial Condition and Results of Operations.</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131" w:right="219" w:bottom="1440" w:gutter="0" w:footer="0" w:header="0"/>
        </w:sectPr>
      </w:pPr>
    </w:p>
    <w:bookmarkStart w:id="17" w:name="page18"/>
    <w:bookmarkEnd w:id="17"/>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foreign operations are subject to economic, political and other risks that could materially and adversely affect our results of operations and financial condition.</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Our international business operations expose us to potential adverse financial and operational problems not typically experienced in the United States, including:</w:t>
      </w:r>
    </w:p>
    <w:p>
      <w:pPr>
        <w:spacing w:after="0" w:line="150" w:lineRule="exact"/>
        <w:rPr>
          <w:sz w:val="20"/>
          <w:szCs w:val="20"/>
          <w:color w:val="auto"/>
        </w:rPr>
      </w:pPr>
    </w:p>
    <w:p>
      <w:pPr>
        <w:ind w:left="1200" w:hanging="442"/>
        <w:spacing w:after="0"/>
        <w:tabs>
          <w:tab w:leader="none" w:pos="1200" w:val="left"/>
        </w:tabs>
        <w:numPr>
          <w:ilvl w:val="0"/>
          <w:numId w:val="5"/>
        </w:numPr>
        <w:rPr>
          <w:rFonts w:ascii="Arial" w:cs="Arial" w:eastAsia="Arial" w:hAnsi="Arial"/>
          <w:sz w:val="13"/>
          <w:szCs w:val="13"/>
          <w:color w:val="auto"/>
        </w:rPr>
      </w:pPr>
      <w:r>
        <w:rPr>
          <w:rFonts w:ascii="Arial" w:cs="Arial" w:eastAsia="Arial" w:hAnsi="Arial"/>
          <w:sz w:val="12"/>
          <w:szCs w:val="12"/>
          <w:color w:val="auto"/>
        </w:rPr>
        <w:t>international political, economic and legal conditions;</w:t>
      </w:r>
    </w:p>
    <w:p>
      <w:pPr>
        <w:spacing w:after="0" w:line="4" w:lineRule="exact"/>
        <w:rPr>
          <w:rFonts w:ascii="Arial" w:cs="Arial" w:eastAsia="Arial" w:hAnsi="Arial"/>
          <w:sz w:val="13"/>
          <w:szCs w:val="13"/>
          <w:color w:val="auto"/>
        </w:rPr>
      </w:pPr>
    </w:p>
    <w:p>
      <w:pPr>
        <w:ind w:left="1200" w:hanging="442"/>
        <w:spacing w:after="0" w:line="229" w:lineRule="auto"/>
        <w:tabs>
          <w:tab w:leader="none" w:pos="1200" w:val="left"/>
        </w:tabs>
        <w:numPr>
          <w:ilvl w:val="0"/>
          <w:numId w:val="5"/>
        </w:numPr>
        <w:rPr>
          <w:rFonts w:ascii="Arial" w:cs="Arial" w:eastAsia="Arial" w:hAnsi="Arial"/>
          <w:sz w:val="13"/>
          <w:szCs w:val="13"/>
          <w:color w:val="auto"/>
        </w:rPr>
      </w:pPr>
      <w:r>
        <w:rPr>
          <w:rFonts w:ascii="Arial" w:cs="Arial" w:eastAsia="Arial" w:hAnsi="Arial"/>
          <w:sz w:val="12"/>
          <w:szCs w:val="12"/>
          <w:color w:val="auto"/>
        </w:rPr>
        <w:t>our ability to comply with foreign regulations and/or laws affecting operations and projects;</w:t>
      </w:r>
    </w:p>
    <w:p>
      <w:pPr>
        <w:spacing w:after="0" w:line="1" w:lineRule="exact"/>
        <w:rPr>
          <w:rFonts w:ascii="Arial" w:cs="Arial" w:eastAsia="Arial" w:hAnsi="Arial"/>
          <w:sz w:val="13"/>
          <w:szCs w:val="13"/>
          <w:color w:val="auto"/>
        </w:rPr>
      </w:pPr>
    </w:p>
    <w:p>
      <w:pPr>
        <w:ind w:left="1200" w:hanging="442"/>
        <w:spacing w:after="0" w:line="229" w:lineRule="auto"/>
        <w:tabs>
          <w:tab w:leader="none" w:pos="1200" w:val="left"/>
        </w:tabs>
        <w:numPr>
          <w:ilvl w:val="0"/>
          <w:numId w:val="5"/>
        </w:numPr>
        <w:rPr>
          <w:rFonts w:ascii="Arial" w:cs="Arial" w:eastAsia="Arial" w:hAnsi="Arial"/>
          <w:sz w:val="13"/>
          <w:szCs w:val="13"/>
          <w:color w:val="auto"/>
        </w:rPr>
      </w:pPr>
      <w:r>
        <w:rPr>
          <w:rFonts w:ascii="Arial" w:cs="Arial" w:eastAsia="Arial" w:hAnsi="Arial"/>
          <w:sz w:val="12"/>
          <w:szCs w:val="12"/>
          <w:color w:val="auto"/>
        </w:rPr>
        <w:t>difficulties in attracting and retaining staff and business partners to operate internationally;</w:t>
      </w:r>
    </w:p>
    <w:p>
      <w:pPr>
        <w:spacing w:after="0" w:line="1" w:lineRule="exact"/>
        <w:rPr>
          <w:rFonts w:ascii="Arial" w:cs="Arial" w:eastAsia="Arial" w:hAnsi="Arial"/>
          <w:sz w:val="13"/>
          <w:szCs w:val="13"/>
          <w:color w:val="auto"/>
        </w:rPr>
      </w:pPr>
    </w:p>
    <w:p>
      <w:pPr>
        <w:ind w:left="1200" w:hanging="442"/>
        <w:spacing w:after="0" w:line="229" w:lineRule="auto"/>
        <w:tabs>
          <w:tab w:leader="none" w:pos="1200" w:val="left"/>
        </w:tabs>
        <w:numPr>
          <w:ilvl w:val="0"/>
          <w:numId w:val="5"/>
        </w:numPr>
        <w:rPr>
          <w:rFonts w:ascii="Arial" w:cs="Arial" w:eastAsia="Arial" w:hAnsi="Arial"/>
          <w:sz w:val="13"/>
          <w:szCs w:val="13"/>
          <w:color w:val="auto"/>
        </w:rPr>
      </w:pPr>
      <w:r>
        <w:rPr>
          <w:rFonts w:ascii="Arial" w:cs="Arial" w:eastAsia="Arial" w:hAnsi="Arial"/>
          <w:sz w:val="12"/>
          <w:szCs w:val="12"/>
          <w:color w:val="auto"/>
        </w:rPr>
        <w:t>language and cultural barriers;</w:t>
      </w:r>
    </w:p>
    <w:p>
      <w:pPr>
        <w:spacing w:after="0" w:line="1" w:lineRule="exact"/>
        <w:rPr>
          <w:rFonts w:ascii="Arial" w:cs="Arial" w:eastAsia="Arial" w:hAnsi="Arial"/>
          <w:sz w:val="13"/>
          <w:szCs w:val="13"/>
          <w:color w:val="auto"/>
        </w:rPr>
      </w:pPr>
    </w:p>
    <w:p>
      <w:pPr>
        <w:ind w:left="1200" w:hanging="442"/>
        <w:spacing w:after="0" w:line="229" w:lineRule="auto"/>
        <w:tabs>
          <w:tab w:leader="none" w:pos="1200" w:val="left"/>
        </w:tabs>
        <w:numPr>
          <w:ilvl w:val="0"/>
          <w:numId w:val="5"/>
        </w:numPr>
        <w:rPr>
          <w:rFonts w:ascii="Arial" w:cs="Arial" w:eastAsia="Arial" w:hAnsi="Arial"/>
          <w:sz w:val="13"/>
          <w:szCs w:val="13"/>
          <w:color w:val="auto"/>
        </w:rPr>
      </w:pPr>
      <w:r>
        <w:rPr>
          <w:rFonts w:ascii="Arial" w:cs="Arial" w:eastAsia="Arial" w:hAnsi="Arial"/>
          <w:sz w:val="12"/>
          <w:szCs w:val="12"/>
          <w:color w:val="auto"/>
        </w:rPr>
        <w:t>seasonal reductions in business activities and operations in the countries where our international projects are located;</w:t>
      </w:r>
    </w:p>
    <w:p>
      <w:pPr>
        <w:spacing w:after="0" w:line="1" w:lineRule="exact"/>
        <w:rPr>
          <w:rFonts w:ascii="Arial" w:cs="Arial" w:eastAsia="Arial" w:hAnsi="Arial"/>
          <w:sz w:val="13"/>
          <w:szCs w:val="13"/>
          <w:color w:val="auto"/>
        </w:rPr>
      </w:pPr>
    </w:p>
    <w:p>
      <w:pPr>
        <w:ind w:left="1200" w:hanging="442"/>
        <w:spacing w:after="0" w:line="229" w:lineRule="auto"/>
        <w:tabs>
          <w:tab w:leader="none" w:pos="1200" w:val="left"/>
        </w:tabs>
        <w:numPr>
          <w:ilvl w:val="0"/>
          <w:numId w:val="5"/>
        </w:numPr>
        <w:rPr>
          <w:rFonts w:ascii="Arial" w:cs="Arial" w:eastAsia="Arial" w:hAnsi="Arial"/>
          <w:sz w:val="13"/>
          <w:szCs w:val="13"/>
          <w:color w:val="auto"/>
        </w:rPr>
      </w:pPr>
      <w:r>
        <w:rPr>
          <w:rFonts w:ascii="Arial" w:cs="Arial" w:eastAsia="Arial" w:hAnsi="Arial"/>
          <w:sz w:val="12"/>
          <w:szCs w:val="12"/>
          <w:color w:val="auto"/>
        </w:rPr>
        <w:t>integration of foreign operations;</w:t>
      </w:r>
    </w:p>
    <w:p>
      <w:pPr>
        <w:spacing w:after="0" w:line="1" w:lineRule="exact"/>
        <w:rPr>
          <w:rFonts w:ascii="Arial" w:cs="Arial" w:eastAsia="Arial" w:hAnsi="Arial"/>
          <w:sz w:val="13"/>
          <w:szCs w:val="13"/>
          <w:color w:val="auto"/>
        </w:rPr>
      </w:pPr>
    </w:p>
    <w:p>
      <w:pPr>
        <w:ind w:left="1200" w:hanging="442"/>
        <w:spacing w:after="0" w:line="229" w:lineRule="auto"/>
        <w:tabs>
          <w:tab w:leader="none" w:pos="1200" w:val="left"/>
        </w:tabs>
        <w:numPr>
          <w:ilvl w:val="0"/>
          <w:numId w:val="5"/>
        </w:numPr>
        <w:rPr>
          <w:rFonts w:ascii="Arial" w:cs="Arial" w:eastAsia="Arial" w:hAnsi="Arial"/>
          <w:sz w:val="13"/>
          <w:szCs w:val="13"/>
          <w:color w:val="auto"/>
        </w:rPr>
      </w:pPr>
      <w:r>
        <w:rPr>
          <w:rFonts w:ascii="Arial" w:cs="Arial" w:eastAsia="Arial" w:hAnsi="Arial"/>
          <w:sz w:val="12"/>
          <w:szCs w:val="12"/>
          <w:color w:val="auto"/>
        </w:rPr>
        <w:t>potential adverse tax consequences; and</w:t>
      </w:r>
    </w:p>
    <w:p>
      <w:pPr>
        <w:spacing w:after="0" w:line="1" w:lineRule="exact"/>
        <w:rPr>
          <w:rFonts w:ascii="Arial" w:cs="Arial" w:eastAsia="Arial" w:hAnsi="Arial"/>
          <w:sz w:val="13"/>
          <w:szCs w:val="13"/>
          <w:color w:val="auto"/>
        </w:rPr>
      </w:pPr>
    </w:p>
    <w:p>
      <w:pPr>
        <w:ind w:left="1200" w:hanging="442"/>
        <w:spacing w:after="0" w:line="229" w:lineRule="auto"/>
        <w:tabs>
          <w:tab w:leader="none" w:pos="1200" w:val="left"/>
        </w:tabs>
        <w:numPr>
          <w:ilvl w:val="0"/>
          <w:numId w:val="5"/>
        </w:numPr>
        <w:rPr>
          <w:rFonts w:ascii="Arial" w:cs="Arial" w:eastAsia="Arial" w:hAnsi="Arial"/>
          <w:sz w:val="13"/>
          <w:szCs w:val="13"/>
          <w:color w:val="auto"/>
        </w:rPr>
      </w:pPr>
      <w:r>
        <w:rPr>
          <w:rFonts w:ascii="Arial" w:cs="Arial" w:eastAsia="Arial" w:hAnsi="Arial"/>
          <w:sz w:val="12"/>
          <w:szCs w:val="12"/>
          <w:color w:val="auto"/>
        </w:rPr>
        <w:t>potential foreign currency fluctuations.</w:t>
      </w:r>
    </w:p>
    <w:p>
      <w:pPr>
        <w:spacing w:after="0" w:line="154"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In addition, many of our tenants in our international operations are subsidiaries of global telecommunications companies. These subsidiaries may not have the explicit or implied financial support of their parent entities. Any of these factors could adversely affect our results of operations and financial condition.</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continued operation and expansion outside the United States, including in developing countries, increase the risk of violations of applicable anti-corruption in the future.</w:t>
      </w:r>
    </w:p>
    <w:p>
      <w:pPr>
        <w:spacing w:after="0" w:line="150" w:lineRule="exact"/>
        <w:rPr>
          <w:sz w:val="20"/>
          <w:szCs w:val="20"/>
          <w:color w:val="auto"/>
        </w:rPr>
      </w:pPr>
    </w:p>
    <w:p>
      <w:pPr>
        <w:jc w:val="both"/>
        <w:ind w:right="180"/>
        <w:spacing w:after="0" w:line="298" w:lineRule="auto"/>
        <w:rPr>
          <w:sz w:val="20"/>
          <w:szCs w:val="20"/>
          <w:color w:val="auto"/>
        </w:rPr>
      </w:pPr>
      <w:r>
        <w:rPr>
          <w:rFonts w:ascii="Arial" w:cs="Arial" w:eastAsia="Arial" w:hAnsi="Arial"/>
          <w:sz w:val="11"/>
          <w:szCs w:val="11"/>
          <w:color w:val="auto"/>
        </w:rPr>
        <w:t>Our internal policies provide for compliance with all applicable anti-corruption laws, but despite our training and compliance programs, we cannot assure you that our internal control policies and procedures will always protect us from unauthorized, reckless or criminal acts committed by our employees, agents or partners. A finding that the Company or its affiliates have violated the U.S. Foreign Corrupt Practices Act (“FCPA”) or similar foreign anti-corruption laws may result in severe criminal or civil sanctions, which could disrupt our business and result in a material adverse effect on our reputation, financial condition and results of operations.</w:t>
      </w:r>
    </w:p>
    <w:p>
      <w:pPr>
        <w:spacing w:after="0" w:line="105" w:lineRule="exact"/>
        <w:rPr>
          <w:sz w:val="20"/>
          <w:szCs w:val="20"/>
          <w:color w:val="auto"/>
        </w:rPr>
      </w:pPr>
    </w:p>
    <w:p>
      <w:pPr>
        <w:ind w:right="340"/>
        <w:spacing w:after="0" w:line="276" w:lineRule="auto"/>
        <w:rPr>
          <w:sz w:val="20"/>
          <w:szCs w:val="20"/>
          <w:color w:val="auto"/>
        </w:rPr>
      </w:pPr>
      <w:r>
        <w:rPr>
          <w:rFonts w:ascii="Arial" w:cs="Arial" w:eastAsia="Arial" w:hAnsi="Arial"/>
          <w:sz w:val="12"/>
          <w:szCs w:val="12"/>
          <w:b w:val="1"/>
          <w:bCs w:val="1"/>
          <w:i w:val="1"/>
          <w:iCs w:val="1"/>
          <w:color w:val="auto"/>
        </w:rPr>
        <w:t>We or our tenants may experience uninsured or underinsured losses, which could result in a significant loss of the capital we have invested in a property, decrease anticipated future revenues or cause us to incur unanticipated expenses.</w:t>
      </w:r>
    </w:p>
    <w:p>
      <w:pPr>
        <w:spacing w:after="0" w:line="115" w:lineRule="exact"/>
        <w:rPr>
          <w:sz w:val="20"/>
          <w:szCs w:val="20"/>
          <w:color w:val="auto"/>
        </w:rPr>
      </w:pPr>
    </w:p>
    <w:p>
      <w:pPr>
        <w:spacing w:after="0" w:line="290" w:lineRule="auto"/>
        <w:rPr>
          <w:sz w:val="20"/>
          <w:szCs w:val="20"/>
          <w:color w:val="auto"/>
        </w:rPr>
      </w:pPr>
      <w:r>
        <w:rPr>
          <w:rFonts w:ascii="Arial" w:cs="Arial" w:eastAsia="Arial" w:hAnsi="Arial"/>
          <w:sz w:val="11"/>
          <w:szCs w:val="11"/>
          <w:color w:val="auto"/>
        </w:rPr>
        <w:t>The Master Lease requires, and we expect that new lease agreements that we enter into will require, that the tenant maintain comprehensive insurance and hazard insurance or self-insure its insurance obligations. However, there are certain types of losses, generally of a catastrophic nature, such as earthquakes, hurricanes and floods that may be uninsurable or not economically insurable. Insurance coverage may not be sufficient to pay the full current market value or current replacement cost of a loss. Inflation, changes in ordinances, environmental considerations, and other factors also might make it infeasible to use insurance proceeds to replace the property after such property has been damaged or destroyed. Under such circumstances, the insurance proceeds received might not be adequate to restore the economic position with respect to such property.</w:t>
      </w:r>
    </w:p>
    <w:p>
      <w:pPr>
        <w:spacing w:after="0" w:line="109" w:lineRule="exact"/>
        <w:rPr>
          <w:sz w:val="20"/>
          <w:szCs w:val="20"/>
          <w:color w:val="auto"/>
        </w:rPr>
      </w:pPr>
    </w:p>
    <w:p>
      <w:pPr>
        <w:ind w:right="200"/>
        <w:spacing w:after="0" w:line="276" w:lineRule="auto"/>
        <w:rPr>
          <w:sz w:val="20"/>
          <w:szCs w:val="20"/>
          <w:color w:val="auto"/>
        </w:rPr>
      </w:pPr>
      <w:r>
        <w:rPr>
          <w:rFonts w:ascii="Arial" w:cs="Arial" w:eastAsia="Arial" w:hAnsi="Arial"/>
          <w:sz w:val="12"/>
          <w:szCs w:val="12"/>
          <w:color w:val="auto"/>
        </w:rPr>
        <w:t>In addition, even if damage to our properties is covered by insurance, a disruption of business caused by a casualty event may result in loss of revenue for our tenants or us. Any business interruption insurance may not fully compensate them or us for such loss of revenue. If one of our tenants experiences such a loss, it may be unable to satisfy its payment obligations to us under its lease with us.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rely on information technology in our operations, and any material failure, inadequacy, interruption or security failure of that technology could harm our business.</w:t>
      </w:r>
    </w:p>
    <w:p>
      <w:pPr>
        <w:spacing w:after="0" w:line="150" w:lineRule="exact"/>
        <w:rPr>
          <w:sz w:val="20"/>
          <w:szCs w:val="20"/>
          <w:color w:val="auto"/>
        </w:rPr>
      </w:pPr>
    </w:p>
    <w:p>
      <w:pPr>
        <w:ind w:right="320"/>
        <w:spacing w:after="0" w:line="276" w:lineRule="auto"/>
        <w:rPr>
          <w:sz w:val="20"/>
          <w:szCs w:val="20"/>
          <w:color w:val="auto"/>
        </w:rPr>
      </w:pPr>
      <w:r>
        <w:rPr>
          <w:rFonts w:ascii="Arial" w:cs="Arial" w:eastAsia="Arial" w:hAnsi="Arial"/>
          <w:sz w:val="12"/>
          <w:szCs w:val="12"/>
          <w:color w:val="auto"/>
        </w:rPr>
        <w:t>We rely on information technology networks and systems, including the Internet, to process, transmit and store electronic information and to manage or support a variety of our business processes, including financial transactions and maintenance of records. We rely on commercially available systems, software, tools and monitoring to provide</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131" w:right="219" w:bottom="1440" w:gutter="0" w:footer="0" w:header="0"/>
        </w:sectPr>
      </w:pPr>
    </w:p>
    <w:bookmarkStart w:id="18" w:name="page19"/>
    <w:bookmarkEnd w:id="18"/>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78" w:lineRule="exact"/>
        <w:rPr>
          <w:sz w:val="20"/>
          <w:szCs w:val="20"/>
          <w:color w:val="auto"/>
        </w:rPr>
      </w:pPr>
    </w:p>
    <w:p>
      <w:pPr>
        <w:ind w:right="80"/>
        <w:spacing w:after="0" w:line="259" w:lineRule="auto"/>
        <w:rPr>
          <w:sz w:val="20"/>
          <w:szCs w:val="20"/>
          <w:color w:val="auto"/>
        </w:rPr>
      </w:pPr>
      <w:r>
        <w:rPr>
          <w:rFonts w:ascii="Arial" w:cs="Arial" w:eastAsia="Arial" w:hAnsi="Arial"/>
          <w:sz w:val="12"/>
          <w:szCs w:val="12"/>
          <w:color w:val="auto"/>
        </w:rPr>
        <w:t>security for processing, transmitting and storing confidential information. Although we have taken steps to protect the security of the data maintained in our information systems, it is possible that our security measures will not be able to prevent the systems’ improper functioning, or the improper disclosure of information in the event of cyber-attacks. Physical or electronic break-ins, computer viruses, attacks by hackers and similar security breaches, can create system disruptions, shutdowns or unauthorized disclosure of confidential information. Any failure to maintain proper function, security and availability of our information systems could interrupt our operations, damage our reputation, subject us to liability claims or regulatory penalties and could materially and adversely affect us.</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Our Common Stock</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cannot assure you of our ability to pay dividends in the future.</w:t>
      </w:r>
    </w:p>
    <w:p>
      <w:pPr>
        <w:spacing w:after="0" w:line="150" w:lineRule="exact"/>
        <w:rPr>
          <w:sz w:val="20"/>
          <w:szCs w:val="20"/>
          <w:color w:val="auto"/>
        </w:rPr>
      </w:pPr>
    </w:p>
    <w:p>
      <w:pPr>
        <w:ind w:right="80"/>
        <w:spacing w:after="0" w:line="257" w:lineRule="auto"/>
        <w:rPr>
          <w:sz w:val="20"/>
          <w:szCs w:val="20"/>
          <w:color w:val="auto"/>
        </w:rPr>
      </w:pPr>
      <w:r>
        <w:rPr>
          <w:rFonts w:ascii="Arial" w:cs="Arial" w:eastAsia="Arial" w:hAnsi="Arial"/>
          <w:sz w:val="12"/>
          <w:szCs w:val="12"/>
          <w:color w:val="auto"/>
        </w:rPr>
        <w:t>It is expected that our dividend will be $2.40 per share per annum, subject to approval of our board of directors. The qualify as a REIT, the annual dividend must not be less than 90% of our REIT taxable income on an annual basis, determined without regard to the dividends paid deduction and excluding any net capital gains. Our ability to pay dividends may be adversely affected by a number of factors, including the risk factors herein. Dividends will be authorized by our board of directors and declared by us based upon a number of factors, including actual results of operations, restrictions under Maryland law or applicable debt covenants, our financial condition, our taxable income, the annual distribution requirements under the REIT provisions of the Code, our operating expenses and other factors our directors deem relevant. We cannot assure you that we will achieve investment results that will allow us to make a specified level of cash dividends or year-to-year increases in cash dividends in the future.</w:t>
      </w:r>
    </w:p>
    <w:p>
      <w:pPr>
        <w:spacing w:after="0" w:line="126" w:lineRule="exact"/>
        <w:rPr>
          <w:sz w:val="20"/>
          <w:szCs w:val="20"/>
          <w:color w:val="auto"/>
        </w:rPr>
      </w:pPr>
    </w:p>
    <w:p>
      <w:pPr>
        <w:ind w:right="60"/>
        <w:spacing w:after="0" w:line="257" w:lineRule="auto"/>
        <w:rPr>
          <w:sz w:val="20"/>
          <w:szCs w:val="20"/>
          <w:color w:val="auto"/>
        </w:rPr>
      </w:pPr>
      <w:r>
        <w:rPr>
          <w:rFonts w:ascii="Arial" w:cs="Arial" w:eastAsia="Arial" w:hAnsi="Arial"/>
          <w:sz w:val="12"/>
          <w:szCs w:val="12"/>
          <w:color w:val="auto"/>
        </w:rPr>
        <w:t>Furthermore, while we are required to pay dividends in order to maintain our REIT status (as described above under “Risks Related to Our Status as a REIT- REIT distribution requirements could adversely affect our ability to execute our business plan”), we may elect not to maintain our REIT status, in which case we would no longer be required to pay such dividends. Moreover, even if we do maintain our REIT status, after completing various procedural steps, we may elect to comply with the applicable distribution requirements by distributing, under certain circumstances, shares of our common stock in lieu of cash. If we elect not to maintain our REIT status or to satisfy any required distributions in shares of common stock in lieu of cash, such action could negatively affect our business and financial condition as well as the market price of our common stock. No assurance can be given that we will pay any dividends on shares of our common stock in the future.</w:t>
      </w:r>
    </w:p>
    <w:p>
      <w:pPr>
        <w:spacing w:after="0" w:line="12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charter restricts the ownership and transfer of our outstanding stock, which may have the effect of delaying, deferring or preventing a transaction or change of control of our company.</w:t>
      </w:r>
    </w:p>
    <w:p>
      <w:pPr>
        <w:spacing w:after="0" w:line="150" w:lineRule="exact"/>
        <w:rPr>
          <w:sz w:val="20"/>
          <w:szCs w:val="20"/>
          <w:color w:val="auto"/>
        </w:rPr>
      </w:pPr>
    </w:p>
    <w:p>
      <w:pPr>
        <w:spacing w:after="0" w:line="283" w:lineRule="auto"/>
        <w:rPr>
          <w:sz w:val="20"/>
          <w:szCs w:val="20"/>
          <w:color w:val="auto"/>
        </w:rPr>
      </w:pPr>
      <w:r>
        <w:rPr>
          <w:rFonts w:ascii="Arial" w:cs="Arial" w:eastAsia="Arial" w:hAnsi="Arial"/>
          <w:sz w:val="11"/>
          <w:szCs w:val="11"/>
          <w:color w:val="auto"/>
        </w:rPr>
        <w:t>In order for us to qualify as a REIT, not more than 50% in value of our outstanding shares of stock may be owned, beneficially or constructively, by five or fewer individuals at any time during the last half of each taxable year after the first year for which we elect to be taxed and qualify as a REIT. Additionally, at least 100 persons must beneficially own our stock during at least 335 days of a taxable year (other than the first taxable year for which we elect to be taxed and qualify as a REIT). Our charter, with certain exceptions, authorizes our board of directors to take such actions as are necessary or advisable to preserve our qualification as a REIT. Our charter also provides that, unless exempted by the board of directors, no person may own more than 9.8% in value or in number, whichever is more restrictive, of the outstanding shares of our common stock or more than 9.8% in value of the aggregate of the outstanding shares of all classes and series of our stock. The constructive ownership rules are complex and may cause shares of stock owned directly or constructively by a group of related individuals or entities to be constructively owned by one individual or entity. These ownership limits could delay or prevent a transaction or a change in control of us that might involve a premium price for shares of our stock or otherwise be in the best interests of our stockholders.</w:t>
      </w:r>
    </w:p>
    <w:p>
      <w:pPr>
        <w:spacing w:after="0" w:line="32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1B. Unresolved Staff Comments.</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color w:val="auto"/>
        </w:rPr>
        <w:t>None</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40"/>
          </w:cols>
          <w:pgMar w:left="220" w:top="131" w:right="239" w:bottom="1440" w:gutter="0" w:footer="0" w:header="0"/>
        </w:sectPr>
      </w:pPr>
    </w:p>
    <w:bookmarkStart w:id="19" w:name="page20"/>
    <w:bookmarkEnd w:id="19"/>
    <w:p>
      <w:pPr>
        <w:ind w:left="8"/>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18"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Item 2. Properties.</w:t>
      </w:r>
    </w:p>
    <w:p>
      <w:pPr>
        <w:spacing w:after="0" w:line="109" w:lineRule="exact"/>
        <w:rPr>
          <w:sz w:val="20"/>
          <w:szCs w:val="20"/>
          <w:color w:val="auto"/>
        </w:rPr>
      </w:pPr>
    </w:p>
    <w:p>
      <w:pPr>
        <w:ind w:left="8" w:right="220"/>
        <w:spacing w:after="0" w:line="276" w:lineRule="auto"/>
        <w:rPr>
          <w:sz w:val="20"/>
          <w:szCs w:val="20"/>
          <w:color w:val="auto"/>
        </w:rPr>
      </w:pPr>
      <w:r>
        <w:rPr>
          <w:rFonts w:ascii="Arial" w:cs="Arial" w:eastAsia="Arial" w:hAnsi="Arial"/>
          <w:sz w:val="12"/>
          <w:szCs w:val="12"/>
          <w:color w:val="auto"/>
        </w:rPr>
        <w:t>Uniti and its subsidiaries own approximately 97,700 fiber network route miles, representing approximately 4.9 million fiber strand miles, approximately 216,100 route miles of copper cable lines, central office land and buildings across 41 states and beneficial rights to permits, pole agreements and easements.</w:t>
      </w:r>
    </w:p>
    <w:p>
      <w:pPr>
        <w:spacing w:after="0" w:line="43"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Leasing Segment</w:t>
      </w:r>
    </w:p>
    <w:p>
      <w:pPr>
        <w:spacing w:after="0" w:line="78" w:lineRule="exact"/>
        <w:rPr>
          <w:sz w:val="20"/>
          <w:szCs w:val="20"/>
          <w:color w:val="auto"/>
        </w:rPr>
      </w:pPr>
    </w:p>
    <w:p>
      <w:pPr>
        <w:ind w:left="8"/>
        <w:spacing w:after="0"/>
        <w:rPr>
          <w:sz w:val="20"/>
          <w:szCs w:val="20"/>
          <w:color w:val="auto"/>
        </w:rPr>
      </w:pPr>
      <w:r>
        <w:rPr>
          <w:rFonts w:ascii="Arial" w:cs="Arial" w:eastAsia="Arial" w:hAnsi="Arial"/>
          <w:sz w:val="12"/>
          <w:szCs w:val="12"/>
          <w:color w:val="auto"/>
        </w:rPr>
        <w:t>Uniti Leasing’s network properties include its fiber route miles and copper route miles. Below is a geographic distribution summary as of December 31, 2017:</w:t>
      </w:r>
    </w:p>
    <w:p>
      <w:pPr>
        <w:spacing w:after="0" w:line="8"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5860" w:type="dxa"/>
            <w:vAlign w:val="bottom"/>
          </w:tcPr>
          <w:p>
            <w:pPr>
              <w:spacing w:after="0"/>
              <w:rPr>
                <w:sz w:val="20"/>
                <w:szCs w:val="20"/>
                <w:color w:val="auto"/>
              </w:rPr>
            </w:pPr>
            <w:r>
              <w:rPr>
                <w:rFonts w:ascii="Arial" w:cs="Arial" w:eastAsia="Arial" w:hAnsi="Arial"/>
                <w:sz w:val="10"/>
                <w:szCs w:val="10"/>
                <w:b w:val="1"/>
                <w:bCs w:val="1"/>
                <w:color w:val="auto"/>
              </w:rPr>
              <w:t>Location</w:t>
            </w:r>
          </w:p>
        </w:tc>
        <w:tc>
          <w:tcPr>
            <w:tcW w:w="1240" w:type="dxa"/>
            <w:vAlign w:val="bottom"/>
          </w:tcPr>
          <w:p>
            <w:pPr>
              <w:ind w:left="440"/>
              <w:spacing w:after="0"/>
              <w:rPr>
                <w:sz w:val="20"/>
                <w:szCs w:val="20"/>
                <w:color w:val="auto"/>
              </w:rPr>
            </w:pPr>
            <w:r>
              <w:rPr>
                <w:rFonts w:ascii="Arial" w:cs="Arial" w:eastAsia="Arial" w:hAnsi="Arial"/>
                <w:sz w:val="10"/>
                <w:szCs w:val="10"/>
                <w:b w:val="1"/>
                <w:bCs w:val="1"/>
                <w:color w:val="auto"/>
                <w:w w:val="93"/>
              </w:rPr>
              <w:t>Fiber Route Miles</w:t>
            </w: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40" w:type="dxa"/>
            <w:vAlign w:val="bottom"/>
          </w:tcPr>
          <w:p>
            <w:pPr>
              <w:ind w:left="400"/>
              <w:spacing w:after="0"/>
              <w:rPr>
                <w:sz w:val="20"/>
                <w:szCs w:val="20"/>
                <w:color w:val="auto"/>
              </w:rPr>
            </w:pPr>
            <w:r>
              <w:rPr>
                <w:rFonts w:ascii="Arial" w:cs="Arial" w:eastAsia="Arial" w:hAnsi="Arial"/>
                <w:sz w:val="10"/>
                <w:szCs w:val="10"/>
                <w:b w:val="1"/>
                <w:bCs w:val="1"/>
                <w:color w:val="auto"/>
                <w:w w:val="87"/>
              </w:rPr>
              <w:t>Copper Route Miles</w:t>
            </w: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760" w:type="dxa"/>
            <w:vAlign w:val="bottom"/>
            <w:gridSpan w:val="2"/>
          </w:tcPr>
          <w:p>
            <w:pPr>
              <w:ind w:left="440"/>
              <w:spacing w:after="0"/>
              <w:rPr>
                <w:sz w:val="20"/>
                <w:szCs w:val="20"/>
                <w:color w:val="auto"/>
              </w:rPr>
            </w:pPr>
            <w:r>
              <w:rPr>
                <w:rFonts w:ascii="Arial" w:cs="Arial" w:eastAsia="Arial" w:hAnsi="Arial"/>
                <w:sz w:val="10"/>
                <w:szCs w:val="10"/>
                <w:b w:val="1"/>
                <w:bCs w:val="1"/>
                <w:color w:val="auto"/>
              </w:rPr>
              <w:t>Total Route Miles</w:t>
            </w:r>
          </w:p>
        </w:tc>
      </w:tr>
      <w:tr>
        <w:trPr>
          <w:trHeight w:val="151"/>
        </w:trPr>
        <w:tc>
          <w:tcPr>
            <w:tcW w:w="5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2"/>
                <w:szCs w:val="12"/>
                <w:color w:val="auto"/>
              </w:rPr>
              <w:t>GA</w:t>
            </w:r>
          </w:p>
        </w:tc>
        <w:tc>
          <w:tcPr>
            <w:tcW w:w="1240" w:type="dxa"/>
            <w:vAlign w:val="bottom"/>
            <w:tcBorders>
              <w:top w:val="single" w:sz="8" w:color="auto"/>
            </w:tcBorders>
            <w:shd w:val="clear" w:color="auto" w:fill="CFF0FC"/>
          </w:tcPr>
          <w:p>
            <w:pPr>
              <w:spacing w:after="0"/>
              <w:rPr>
                <w:sz w:val="13"/>
                <w:szCs w:val="13"/>
                <w:color w:val="auto"/>
              </w:rPr>
            </w:pPr>
          </w:p>
        </w:tc>
        <w:tc>
          <w:tcPr>
            <w:tcW w:w="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9,600</w:t>
            </w:r>
          </w:p>
        </w:tc>
        <w:tc>
          <w:tcPr>
            <w:tcW w:w="280" w:type="dxa"/>
            <w:vAlign w:val="bottom"/>
            <w:tcBorders>
              <w:top w:val="single" w:sz="8" w:color="CFF0FC"/>
            </w:tcBorders>
            <w:shd w:val="clear" w:color="auto" w:fill="CFF0FC"/>
          </w:tcPr>
          <w:p>
            <w:pPr>
              <w:spacing w:after="0"/>
              <w:rPr>
                <w:sz w:val="13"/>
                <w:szCs w:val="13"/>
                <w:color w:val="auto"/>
              </w:rPr>
            </w:pPr>
          </w:p>
        </w:tc>
        <w:tc>
          <w:tcPr>
            <w:tcW w:w="1240" w:type="dxa"/>
            <w:vAlign w:val="bottom"/>
            <w:tcBorders>
              <w:top w:val="single" w:sz="8" w:color="auto"/>
            </w:tcBorders>
            <w:shd w:val="clear" w:color="auto" w:fill="CFF0FC"/>
          </w:tcPr>
          <w:p>
            <w:pPr>
              <w:spacing w:after="0"/>
              <w:rPr>
                <w:sz w:val="13"/>
                <w:szCs w:val="13"/>
                <w:color w:val="auto"/>
              </w:rPr>
            </w:pP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43,800</w:t>
            </w:r>
          </w:p>
        </w:tc>
        <w:tc>
          <w:tcPr>
            <w:tcW w:w="280" w:type="dxa"/>
            <w:vAlign w:val="bottom"/>
            <w:tcBorders>
              <w:top w:val="single" w:sz="8" w:color="CFF0FC"/>
            </w:tcBorders>
            <w:shd w:val="clear" w:color="auto" w:fill="CFF0FC"/>
          </w:tcPr>
          <w:p>
            <w:pPr>
              <w:spacing w:after="0"/>
              <w:rPr>
                <w:sz w:val="13"/>
                <w:szCs w:val="13"/>
                <w:color w:val="auto"/>
              </w:rPr>
            </w:pPr>
          </w:p>
        </w:tc>
        <w:tc>
          <w:tcPr>
            <w:tcW w:w="1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53,400</w:t>
            </w:r>
          </w:p>
        </w:tc>
        <w:tc>
          <w:tcPr>
            <w:tcW w:w="120" w:type="dxa"/>
            <w:vAlign w:val="bottom"/>
            <w:tcBorders>
              <w:top w:val="single" w:sz="8" w:color="CFF0FC"/>
            </w:tcBorders>
            <w:shd w:val="clear" w:color="auto" w:fill="CFF0FC"/>
          </w:tcPr>
          <w:p>
            <w:pPr>
              <w:spacing w:after="0"/>
              <w:rPr>
                <w:sz w:val="13"/>
                <w:szCs w:val="13"/>
                <w:color w:val="auto"/>
              </w:rPr>
            </w:pPr>
          </w:p>
        </w:tc>
      </w:tr>
      <w:tr>
        <w:trPr>
          <w:trHeight w:val="162"/>
        </w:trPr>
        <w:tc>
          <w:tcPr>
            <w:tcW w:w="5860" w:type="dxa"/>
            <w:vAlign w:val="bottom"/>
          </w:tcPr>
          <w:p>
            <w:pPr>
              <w:spacing w:after="0"/>
              <w:rPr>
                <w:sz w:val="20"/>
                <w:szCs w:val="20"/>
                <w:color w:val="auto"/>
              </w:rPr>
            </w:pPr>
            <w:r>
              <w:rPr>
                <w:rFonts w:ascii="Arial" w:cs="Arial" w:eastAsia="Arial" w:hAnsi="Arial"/>
                <w:sz w:val="12"/>
                <w:szCs w:val="12"/>
                <w:color w:val="auto"/>
              </w:rPr>
              <w:t>IA</w:t>
            </w:r>
          </w:p>
        </w:tc>
        <w:tc>
          <w:tcPr>
            <w:tcW w:w="12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8,500</w:t>
            </w: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32,700</w:t>
            </w:r>
          </w:p>
        </w:tc>
        <w:tc>
          <w:tcPr>
            <w:tcW w:w="28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2"/>
                <w:szCs w:val="12"/>
                <w:color w:val="auto"/>
              </w:rPr>
              <w:t>41,200</w:t>
            </w:r>
          </w:p>
        </w:tc>
        <w:tc>
          <w:tcPr>
            <w:tcW w:w="120" w:type="dxa"/>
            <w:vAlign w:val="bottom"/>
          </w:tcPr>
          <w:p>
            <w:pPr>
              <w:spacing w:after="0"/>
              <w:rPr>
                <w:sz w:val="14"/>
                <w:szCs w:val="14"/>
                <w:color w:val="auto"/>
              </w:rPr>
            </w:pPr>
          </w:p>
        </w:tc>
      </w:tr>
      <w:tr>
        <w:trPr>
          <w:trHeight w:val="162"/>
        </w:trPr>
        <w:tc>
          <w:tcPr>
            <w:tcW w:w="5860" w:type="dxa"/>
            <w:vAlign w:val="bottom"/>
            <w:shd w:val="clear" w:color="auto" w:fill="CFF0FC"/>
          </w:tcPr>
          <w:p>
            <w:pPr>
              <w:spacing w:after="0"/>
              <w:rPr>
                <w:sz w:val="20"/>
                <w:szCs w:val="20"/>
                <w:color w:val="auto"/>
              </w:rPr>
            </w:pPr>
            <w:r>
              <w:rPr>
                <w:rFonts w:ascii="Arial" w:cs="Arial" w:eastAsia="Arial" w:hAnsi="Arial"/>
                <w:sz w:val="12"/>
                <w:szCs w:val="12"/>
                <w:color w:val="auto"/>
              </w:rPr>
              <w:t>KY</w:t>
            </w:r>
          </w:p>
        </w:tc>
        <w:tc>
          <w:tcPr>
            <w:tcW w:w="1240" w:type="dxa"/>
            <w:vAlign w:val="bottom"/>
            <w:shd w:val="clear" w:color="auto" w:fill="CFF0FC"/>
          </w:tcPr>
          <w:p>
            <w:pPr>
              <w:spacing w:after="0"/>
              <w:rPr>
                <w:sz w:val="14"/>
                <w:szCs w:val="14"/>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7,700</w:t>
            </w:r>
          </w:p>
        </w:tc>
        <w:tc>
          <w:tcPr>
            <w:tcW w:w="28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30,300</w:t>
            </w:r>
          </w:p>
        </w:tc>
        <w:tc>
          <w:tcPr>
            <w:tcW w:w="280" w:type="dxa"/>
            <w:vAlign w:val="bottom"/>
            <w:shd w:val="clear" w:color="auto" w:fill="CFF0FC"/>
          </w:tcPr>
          <w:p>
            <w:pPr>
              <w:spacing w:after="0"/>
              <w:rPr>
                <w:sz w:val="14"/>
                <w:szCs w:val="14"/>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38,000</w:t>
            </w:r>
          </w:p>
        </w:tc>
        <w:tc>
          <w:tcPr>
            <w:tcW w:w="120" w:type="dxa"/>
            <w:vAlign w:val="bottom"/>
            <w:shd w:val="clear" w:color="auto" w:fill="CFF0FC"/>
          </w:tcPr>
          <w:p>
            <w:pPr>
              <w:spacing w:after="0"/>
              <w:rPr>
                <w:sz w:val="14"/>
                <w:szCs w:val="14"/>
                <w:color w:val="auto"/>
              </w:rPr>
            </w:pPr>
          </w:p>
        </w:tc>
      </w:tr>
      <w:tr>
        <w:trPr>
          <w:trHeight w:val="162"/>
        </w:trPr>
        <w:tc>
          <w:tcPr>
            <w:tcW w:w="5860" w:type="dxa"/>
            <w:vAlign w:val="bottom"/>
          </w:tcPr>
          <w:p>
            <w:pPr>
              <w:spacing w:after="0"/>
              <w:rPr>
                <w:sz w:val="20"/>
                <w:szCs w:val="20"/>
                <w:color w:val="auto"/>
              </w:rPr>
            </w:pPr>
            <w:r>
              <w:rPr>
                <w:rFonts w:ascii="Arial" w:cs="Arial" w:eastAsia="Arial" w:hAnsi="Arial"/>
                <w:sz w:val="12"/>
                <w:szCs w:val="12"/>
                <w:color w:val="auto"/>
              </w:rPr>
              <w:t>TX</w:t>
            </w:r>
          </w:p>
        </w:tc>
        <w:tc>
          <w:tcPr>
            <w:tcW w:w="12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7,700</w:t>
            </w: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33,800</w:t>
            </w:r>
          </w:p>
        </w:tc>
        <w:tc>
          <w:tcPr>
            <w:tcW w:w="28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2"/>
                <w:szCs w:val="12"/>
                <w:color w:val="auto"/>
              </w:rPr>
              <w:t>41,500</w:t>
            </w:r>
          </w:p>
        </w:tc>
        <w:tc>
          <w:tcPr>
            <w:tcW w:w="120" w:type="dxa"/>
            <w:vAlign w:val="bottom"/>
          </w:tcPr>
          <w:p>
            <w:pPr>
              <w:spacing w:after="0"/>
              <w:rPr>
                <w:sz w:val="14"/>
                <w:szCs w:val="14"/>
                <w:color w:val="auto"/>
              </w:rPr>
            </w:pPr>
          </w:p>
        </w:tc>
      </w:tr>
      <w:tr>
        <w:trPr>
          <w:trHeight w:val="162"/>
        </w:trPr>
        <w:tc>
          <w:tcPr>
            <w:tcW w:w="5860" w:type="dxa"/>
            <w:vAlign w:val="bottom"/>
            <w:shd w:val="clear" w:color="auto" w:fill="CFF0FC"/>
          </w:tcPr>
          <w:p>
            <w:pPr>
              <w:spacing w:after="0"/>
              <w:rPr>
                <w:sz w:val="20"/>
                <w:szCs w:val="20"/>
                <w:color w:val="auto"/>
              </w:rPr>
            </w:pPr>
            <w:r>
              <w:rPr>
                <w:rFonts w:ascii="Arial" w:cs="Arial" w:eastAsia="Arial" w:hAnsi="Arial"/>
                <w:sz w:val="12"/>
                <w:szCs w:val="12"/>
                <w:color w:val="auto"/>
              </w:rPr>
              <w:t>NC</w:t>
            </w:r>
          </w:p>
        </w:tc>
        <w:tc>
          <w:tcPr>
            <w:tcW w:w="1240" w:type="dxa"/>
            <w:vAlign w:val="bottom"/>
            <w:shd w:val="clear" w:color="auto" w:fill="CFF0FC"/>
          </w:tcPr>
          <w:p>
            <w:pPr>
              <w:spacing w:after="0"/>
              <w:rPr>
                <w:sz w:val="14"/>
                <w:szCs w:val="14"/>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4,200</w:t>
            </w:r>
          </w:p>
        </w:tc>
        <w:tc>
          <w:tcPr>
            <w:tcW w:w="28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18,200</w:t>
            </w:r>
          </w:p>
        </w:tc>
        <w:tc>
          <w:tcPr>
            <w:tcW w:w="280" w:type="dxa"/>
            <w:vAlign w:val="bottom"/>
            <w:shd w:val="clear" w:color="auto" w:fill="CFF0FC"/>
          </w:tcPr>
          <w:p>
            <w:pPr>
              <w:spacing w:after="0"/>
              <w:rPr>
                <w:sz w:val="14"/>
                <w:szCs w:val="14"/>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22,400</w:t>
            </w:r>
          </w:p>
        </w:tc>
        <w:tc>
          <w:tcPr>
            <w:tcW w:w="120" w:type="dxa"/>
            <w:vAlign w:val="bottom"/>
            <w:shd w:val="clear" w:color="auto" w:fill="CFF0FC"/>
          </w:tcPr>
          <w:p>
            <w:pPr>
              <w:spacing w:after="0"/>
              <w:rPr>
                <w:sz w:val="14"/>
                <w:szCs w:val="14"/>
                <w:color w:val="auto"/>
              </w:rPr>
            </w:pPr>
          </w:p>
        </w:tc>
      </w:tr>
      <w:tr>
        <w:trPr>
          <w:trHeight w:val="162"/>
        </w:trPr>
        <w:tc>
          <w:tcPr>
            <w:tcW w:w="5860" w:type="dxa"/>
            <w:vAlign w:val="bottom"/>
          </w:tcPr>
          <w:p>
            <w:pPr>
              <w:spacing w:after="0"/>
              <w:rPr>
                <w:sz w:val="20"/>
                <w:szCs w:val="20"/>
                <w:color w:val="auto"/>
              </w:rPr>
            </w:pPr>
            <w:r>
              <w:rPr>
                <w:rFonts w:ascii="Arial" w:cs="Arial" w:eastAsia="Arial" w:hAnsi="Arial"/>
                <w:sz w:val="12"/>
                <w:szCs w:val="12"/>
                <w:color w:val="auto"/>
              </w:rPr>
              <w:t>IL</w:t>
            </w:r>
          </w:p>
        </w:tc>
        <w:tc>
          <w:tcPr>
            <w:tcW w:w="12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3,700</w:t>
            </w: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640" w:type="dxa"/>
            <w:vAlign w:val="bottom"/>
          </w:tcPr>
          <w:p>
            <w:pPr>
              <w:jc w:val="right"/>
              <w:spacing w:after="0"/>
              <w:rPr>
                <w:sz w:val="20"/>
                <w:szCs w:val="20"/>
                <w:color w:val="auto"/>
              </w:rPr>
            </w:pPr>
            <w:r>
              <w:rPr>
                <w:rFonts w:ascii="Arial" w:cs="Arial" w:eastAsia="Arial" w:hAnsi="Arial"/>
                <w:sz w:val="12"/>
                <w:szCs w:val="12"/>
                <w:color w:val="auto"/>
              </w:rPr>
              <w:t>3,700</w:t>
            </w:r>
          </w:p>
        </w:tc>
        <w:tc>
          <w:tcPr>
            <w:tcW w:w="120" w:type="dxa"/>
            <w:vAlign w:val="bottom"/>
          </w:tcPr>
          <w:p>
            <w:pPr>
              <w:spacing w:after="0"/>
              <w:rPr>
                <w:sz w:val="14"/>
                <w:szCs w:val="14"/>
                <w:color w:val="auto"/>
              </w:rPr>
            </w:pPr>
          </w:p>
        </w:tc>
      </w:tr>
      <w:tr>
        <w:trPr>
          <w:trHeight w:val="162"/>
        </w:trPr>
        <w:tc>
          <w:tcPr>
            <w:tcW w:w="5860" w:type="dxa"/>
            <w:vAlign w:val="bottom"/>
            <w:shd w:val="clear" w:color="auto" w:fill="CFF0FC"/>
          </w:tcPr>
          <w:p>
            <w:pPr>
              <w:spacing w:after="0"/>
              <w:rPr>
                <w:sz w:val="20"/>
                <w:szCs w:val="20"/>
                <w:color w:val="auto"/>
              </w:rPr>
            </w:pPr>
            <w:r>
              <w:rPr>
                <w:rFonts w:ascii="Arial" w:cs="Arial" w:eastAsia="Arial" w:hAnsi="Arial"/>
                <w:sz w:val="12"/>
                <w:szCs w:val="12"/>
                <w:color w:val="auto"/>
              </w:rPr>
              <w:t>OH</w:t>
            </w:r>
          </w:p>
        </w:tc>
        <w:tc>
          <w:tcPr>
            <w:tcW w:w="1240" w:type="dxa"/>
            <w:vAlign w:val="bottom"/>
            <w:shd w:val="clear" w:color="auto" w:fill="CFF0FC"/>
          </w:tcPr>
          <w:p>
            <w:pPr>
              <w:spacing w:after="0"/>
              <w:rPr>
                <w:sz w:val="14"/>
                <w:szCs w:val="14"/>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3,300</w:t>
            </w:r>
          </w:p>
        </w:tc>
        <w:tc>
          <w:tcPr>
            <w:tcW w:w="28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10,300</w:t>
            </w:r>
          </w:p>
        </w:tc>
        <w:tc>
          <w:tcPr>
            <w:tcW w:w="280" w:type="dxa"/>
            <w:vAlign w:val="bottom"/>
            <w:shd w:val="clear" w:color="auto" w:fill="CFF0FC"/>
          </w:tcPr>
          <w:p>
            <w:pPr>
              <w:spacing w:after="0"/>
              <w:rPr>
                <w:sz w:val="14"/>
                <w:szCs w:val="14"/>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13,600</w:t>
            </w:r>
          </w:p>
        </w:tc>
        <w:tc>
          <w:tcPr>
            <w:tcW w:w="120" w:type="dxa"/>
            <w:vAlign w:val="bottom"/>
            <w:shd w:val="clear" w:color="auto" w:fill="CFF0FC"/>
          </w:tcPr>
          <w:p>
            <w:pPr>
              <w:spacing w:after="0"/>
              <w:rPr>
                <w:sz w:val="14"/>
                <w:szCs w:val="14"/>
                <w:color w:val="auto"/>
              </w:rPr>
            </w:pPr>
          </w:p>
        </w:tc>
      </w:tr>
      <w:tr>
        <w:trPr>
          <w:trHeight w:val="162"/>
        </w:trPr>
        <w:tc>
          <w:tcPr>
            <w:tcW w:w="5860" w:type="dxa"/>
            <w:vAlign w:val="bottom"/>
          </w:tcPr>
          <w:p>
            <w:pPr>
              <w:spacing w:after="0"/>
              <w:rPr>
                <w:sz w:val="20"/>
                <w:szCs w:val="20"/>
                <w:color w:val="auto"/>
              </w:rPr>
            </w:pPr>
            <w:r>
              <w:rPr>
                <w:rFonts w:ascii="Arial" w:cs="Arial" w:eastAsia="Arial" w:hAnsi="Arial"/>
                <w:sz w:val="12"/>
                <w:szCs w:val="12"/>
                <w:color w:val="auto"/>
              </w:rPr>
              <w:t>AR</w:t>
            </w:r>
          </w:p>
        </w:tc>
        <w:tc>
          <w:tcPr>
            <w:tcW w:w="12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2,900</w:t>
            </w: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11,200</w:t>
            </w:r>
          </w:p>
        </w:tc>
        <w:tc>
          <w:tcPr>
            <w:tcW w:w="28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2"/>
                <w:szCs w:val="12"/>
                <w:color w:val="auto"/>
              </w:rPr>
              <w:t>14,100</w:t>
            </w:r>
          </w:p>
        </w:tc>
        <w:tc>
          <w:tcPr>
            <w:tcW w:w="120" w:type="dxa"/>
            <w:vAlign w:val="bottom"/>
          </w:tcPr>
          <w:p>
            <w:pPr>
              <w:spacing w:after="0"/>
              <w:rPr>
                <w:sz w:val="14"/>
                <w:szCs w:val="14"/>
                <w:color w:val="auto"/>
              </w:rPr>
            </w:pPr>
          </w:p>
        </w:tc>
      </w:tr>
      <w:tr>
        <w:trPr>
          <w:trHeight w:val="162"/>
        </w:trPr>
        <w:tc>
          <w:tcPr>
            <w:tcW w:w="5860" w:type="dxa"/>
            <w:vAlign w:val="bottom"/>
            <w:shd w:val="clear" w:color="auto" w:fill="CFF0FC"/>
          </w:tcPr>
          <w:p>
            <w:pPr>
              <w:spacing w:after="0"/>
              <w:rPr>
                <w:sz w:val="20"/>
                <w:szCs w:val="20"/>
                <w:color w:val="auto"/>
              </w:rPr>
            </w:pPr>
            <w:r>
              <w:rPr>
                <w:rFonts w:ascii="Arial" w:cs="Arial" w:eastAsia="Arial" w:hAnsi="Arial"/>
                <w:sz w:val="12"/>
                <w:szCs w:val="12"/>
                <w:color w:val="auto"/>
              </w:rPr>
              <w:t>IN</w:t>
            </w:r>
          </w:p>
        </w:tc>
        <w:tc>
          <w:tcPr>
            <w:tcW w:w="1240" w:type="dxa"/>
            <w:vAlign w:val="bottom"/>
            <w:shd w:val="clear" w:color="auto" w:fill="CFF0FC"/>
          </w:tcPr>
          <w:p>
            <w:pPr>
              <w:spacing w:after="0"/>
              <w:rPr>
                <w:sz w:val="14"/>
                <w:szCs w:val="14"/>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2,600</w:t>
            </w:r>
          </w:p>
        </w:tc>
        <w:tc>
          <w:tcPr>
            <w:tcW w:w="28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300"/>
              <w:spacing w:after="0"/>
              <w:rPr>
                <w:sz w:val="20"/>
                <w:szCs w:val="20"/>
                <w:color w:val="auto"/>
              </w:rPr>
            </w:pPr>
            <w:r>
              <w:rPr>
                <w:rFonts w:ascii="Arial" w:cs="Arial" w:eastAsia="Arial" w:hAnsi="Arial"/>
                <w:sz w:val="12"/>
                <w:szCs w:val="12"/>
                <w:color w:val="auto"/>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2,600</w:t>
            </w:r>
          </w:p>
        </w:tc>
        <w:tc>
          <w:tcPr>
            <w:tcW w:w="120" w:type="dxa"/>
            <w:vAlign w:val="bottom"/>
            <w:shd w:val="clear" w:color="auto" w:fill="CFF0FC"/>
          </w:tcPr>
          <w:p>
            <w:pPr>
              <w:spacing w:after="0"/>
              <w:rPr>
                <w:sz w:val="14"/>
                <w:szCs w:val="14"/>
                <w:color w:val="auto"/>
              </w:rPr>
            </w:pPr>
          </w:p>
        </w:tc>
      </w:tr>
      <w:tr>
        <w:trPr>
          <w:trHeight w:val="162"/>
        </w:trPr>
        <w:tc>
          <w:tcPr>
            <w:tcW w:w="5860" w:type="dxa"/>
            <w:vAlign w:val="bottom"/>
          </w:tcPr>
          <w:p>
            <w:pPr>
              <w:spacing w:after="0"/>
              <w:rPr>
                <w:sz w:val="20"/>
                <w:szCs w:val="20"/>
                <w:color w:val="auto"/>
              </w:rPr>
            </w:pPr>
            <w:r>
              <w:rPr>
                <w:rFonts w:ascii="Arial" w:cs="Arial" w:eastAsia="Arial" w:hAnsi="Arial"/>
                <w:sz w:val="12"/>
                <w:szCs w:val="12"/>
                <w:color w:val="auto"/>
              </w:rPr>
              <w:t>MI</w:t>
            </w:r>
          </w:p>
        </w:tc>
        <w:tc>
          <w:tcPr>
            <w:tcW w:w="12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2,100</w:t>
            </w: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640" w:type="dxa"/>
            <w:vAlign w:val="bottom"/>
          </w:tcPr>
          <w:p>
            <w:pPr>
              <w:jc w:val="right"/>
              <w:spacing w:after="0"/>
              <w:rPr>
                <w:sz w:val="20"/>
                <w:szCs w:val="20"/>
                <w:color w:val="auto"/>
              </w:rPr>
            </w:pPr>
            <w:r>
              <w:rPr>
                <w:rFonts w:ascii="Arial" w:cs="Arial" w:eastAsia="Arial" w:hAnsi="Arial"/>
                <w:sz w:val="12"/>
                <w:szCs w:val="12"/>
                <w:color w:val="auto"/>
              </w:rPr>
              <w:t>2,100</w:t>
            </w:r>
          </w:p>
        </w:tc>
        <w:tc>
          <w:tcPr>
            <w:tcW w:w="120" w:type="dxa"/>
            <w:vAlign w:val="bottom"/>
          </w:tcPr>
          <w:p>
            <w:pPr>
              <w:spacing w:after="0"/>
              <w:rPr>
                <w:sz w:val="14"/>
                <w:szCs w:val="14"/>
                <w:color w:val="auto"/>
              </w:rPr>
            </w:pPr>
          </w:p>
        </w:tc>
      </w:tr>
      <w:tr>
        <w:trPr>
          <w:trHeight w:val="162"/>
        </w:trPr>
        <w:tc>
          <w:tcPr>
            <w:tcW w:w="5860" w:type="dxa"/>
            <w:vAlign w:val="bottom"/>
            <w:shd w:val="clear" w:color="auto" w:fill="CFF0FC"/>
          </w:tcPr>
          <w:p>
            <w:pPr>
              <w:spacing w:after="0"/>
              <w:rPr>
                <w:sz w:val="20"/>
                <w:szCs w:val="20"/>
                <w:color w:val="auto"/>
              </w:rPr>
            </w:pPr>
            <w:r>
              <w:rPr>
                <w:rFonts w:ascii="Arial" w:cs="Arial" w:eastAsia="Arial" w:hAnsi="Arial"/>
                <w:sz w:val="12"/>
                <w:szCs w:val="12"/>
                <w:color w:val="auto"/>
              </w:rPr>
              <w:t>WI</w:t>
            </w:r>
          </w:p>
        </w:tc>
        <w:tc>
          <w:tcPr>
            <w:tcW w:w="1240" w:type="dxa"/>
            <w:vAlign w:val="bottom"/>
            <w:shd w:val="clear" w:color="auto" w:fill="CFF0FC"/>
          </w:tcPr>
          <w:p>
            <w:pPr>
              <w:spacing w:after="0"/>
              <w:rPr>
                <w:sz w:val="14"/>
                <w:szCs w:val="14"/>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2,100</w:t>
            </w:r>
          </w:p>
        </w:tc>
        <w:tc>
          <w:tcPr>
            <w:tcW w:w="28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300"/>
              <w:spacing w:after="0"/>
              <w:rPr>
                <w:sz w:val="20"/>
                <w:szCs w:val="20"/>
                <w:color w:val="auto"/>
              </w:rPr>
            </w:pPr>
            <w:r>
              <w:rPr>
                <w:rFonts w:ascii="Arial" w:cs="Arial" w:eastAsia="Arial" w:hAnsi="Arial"/>
                <w:sz w:val="12"/>
                <w:szCs w:val="12"/>
                <w:color w:val="auto"/>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2,100</w:t>
            </w:r>
          </w:p>
        </w:tc>
        <w:tc>
          <w:tcPr>
            <w:tcW w:w="120" w:type="dxa"/>
            <w:vAlign w:val="bottom"/>
            <w:shd w:val="clear" w:color="auto" w:fill="CFF0FC"/>
          </w:tcPr>
          <w:p>
            <w:pPr>
              <w:spacing w:after="0"/>
              <w:rPr>
                <w:sz w:val="14"/>
                <w:szCs w:val="14"/>
                <w:color w:val="auto"/>
              </w:rPr>
            </w:pPr>
          </w:p>
        </w:tc>
      </w:tr>
      <w:tr>
        <w:trPr>
          <w:trHeight w:val="162"/>
        </w:trPr>
        <w:tc>
          <w:tcPr>
            <w:tcW w:w="5860" w:type="dxa"/>
            <w:vAlign w:val="bottom"/>
          </w:tcPr>
          <w:p>
            <w:pPr>
              <w:spacing w:after="0"/>
              <w:rPr>
                <w:sz w:val="20"/>
                <w:szCs w:val="20"/>
                <w:color w:val="auto"/>
              </w:rPr>
            </w:pPr>
            <w:r>
              <w:rPr>
                <w:rFonts w:ascii="Arial" w:cs="Arial" w:eastAsia="Arial" w:hAnsi="Arial"/>
                <w:sz w:val="12"/>
                <w:szCs w:val="12"/>
                <w:color w:val="auto"/>
              </w:rPr>
              <w:t>OK</w:t>
            </w:r>
          </w:p>
        </w:tc>
        <w:tc>
          <w:tcPr>
            <w:tcW w:w="12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1,600</w:t>
            </w: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11,000</w:t>
            </w:r>
          </w:p>
        </w:tc>
        <w:tc>
          <w:tcPr>
            <w:tcW w:w="28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2"/>
                <w:szCs w:val="12"/>
                <w:color w:val="auto"/>
              </w:rPr>
              <w:t>12,600</w:t>
            </w:r>
          </w:p>
        </w:tc>
        <w:tc>
          <w:tcPr>
            <w:tcW w:w="120" w:type="dxa"/>
            <w:vAlign w:val="bottom"/>
          </w:tcPr>
          <w:p>
            <w:pPr>
              <w:spacing w:after="0"/>
              <w:rPr>
                <w:sz w:val="14"/>
                <w:szCs w:val="14"/>
                <w:color w:val="auto"/>
              </w:rPr>
            </w:pPr>
          </w:p>
        </w:tc>
      </w:tr>
      <w:tr>
        <w:trPr>
          <w:trHeight w:val="162"/>
        </w:trPr>
        <w:tc>
          <w:tcPr>
            <w:tcW w:w="5860" w:type="dxa"/>
            <w:vAlign w:val="bottom"/>
            <w:shd w:val="clear" w:color="auto" w:fill="CFF0FC"/>
          </w:tcPr>
          <w:p>
            <w:pPr>
              <w:spacing w:after="0"/>
              <w:rPr>
                <w:sz w:val="20"/>
                <w:szCs w:val="20"/>
                <w:color w:val="auto"/>
              </w:rPr>
            </w:pPr>
            <w:r>
              <w:rPr>
                <w:rFonts w:ascii="Arial" w:cs="Arial" w:eastAsia="Arial" w:hAnsi="Arial"/>
                <w:sz w:val="12"/>
                <w:szCs w:val="12"/>
                <w:color w:val="auto"/>
              </w:rPr>
              <w:t>FL</w:t>
            </w:r>
          </w:p>
        </w:tc>
        <w:tc>
          <w:tcPr>
            <w:tcW w:w="1240" w:type="dxa"/>
            <w:vAlign w:val="bottom"/>
            <w:shd w:val="clear" w:color="auto" w:fill="CFF0FC"/>
          </w:tcPr>
          <w:p>
            <w:pPr>
              <w:spacing w:after="0"/>
              <w:rPr>
                <w:sz w:val="14"/>
                <w:szCs w:val="14"/>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1,500</w:t>
            </w:r>
          </w:p>
        </w:tc>
        <w:tc>
          <w:tcPr>
            <w:tcW w:w="28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7,700</w:t>
            </w:r>
          </w:p>
        </w:tc>
        <w:tc>
          <w:tcPr>
            <w:tcW w:w="280" w:type="dxa"/>
            <w:vAlign w:val="bottom"/>
            <w:shd w:val="clear" w:color="auto" w:fill="CFF0FC"/>
          </w:tcPr>
          <w:p>
            <w:pPr>
              <w:spacing w:after="0"/>
              <w:rPr>
                <w:sz w:val="14"/>
                <w:szCs w:val="14"/>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9,200</w:t>
            </w:r>
          </w:p>
        </w:tc>
        <w:tc>
          <w:tcPr>
            <w:tcW w:w="120" w:type="dxa"/>
            <w:vAlign w:val="bottom"/>
            <w:shd w:val="clear" w:color="auto" w:fill="CFF0FC"/>
          </w:tcPr>
          <w:p>
            <w:pPr>
              <w:spacing w:after="0"/>
              <w:rPr>
                <w:sz w:val="14"/>
                <w:szCs w:val="14"/>
                <w:color w:val="auto"/>
              </w:rPr>
            </w:pPr>
          </w:p>
        </w:tc>
      </w:tr>
      <w:tr>
        <w:trPr>
          <w:trHeight w:val="162"/>
        </w:trPr>
        <w:tc>
          <w:tcPr>
            <w:tcW w:w="5860" w:type="dxa"/>
            <w:vAlign w:val="bottom"/>
          </w:tcPr>
          <w:p>
            <w:pPr>
              <w:spacing w:after="0"/>
              <w:rPr>
                <w:sz w:val="20"/>
                <w:szCs w:val="20"/>
                <w:color w:val="auto"/>
              </w:rPr>
            </w:pPr>
            <w:r>
              <w:rPr>
                <w:rFonts w:ascii="Arial" w:cs="Arial" w:eastAsia="Arial" w:hAnsi="Arial"/>
                <w:sz w:val="12"/>
                <w:szCs w:val="12"/>
                <w:color w:val="auto"/>
              </w:rPr>
              <w:t>MO</w:t>
            </w:r>
          </w:p>
        </w:tc>
        <w:tc>
          <w:tcPr>
            <w:tcW w:w="12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1,300</w:t>
            </w: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640" w:type="dxa"/>
            <w:vAlign w:val="bottom"/>
          </w:tcPr>
          <w:p>
            <w:pPr>
              <w:jc w:val="right"/>
              <w:spacing w:after="0"/>
              <w:rPr>
                <w:sz w:val="20"/>
                <w:szCs w:val="20"/>
                <w:color w:val="auto"/>
              </w:rPr>
            </w:pPr>
            <w:r>
              <w:rPr>
                <w:rFonts w:ascii="Arial" w:cs="Arial" w:eastAsia="Arial" w:hAnsi="Arial"/>
                <w:sz w:val="12"/>
                <w:szCs w:val="12"/>
                <w:color w:val="auto"/>
              </w:rPr>
              <w:t>1,300</w:t>
            </w:r>
          </w:p>
        </w:tc>
        <w:tc>
          <w:tcPr>
            <w:tcW w:w="120" w:type="dxa"/>
            <w:vAlign w:val="bottom"/>
          </w:tcPr>
          <w:p>
            <w:pPr>
              <w:spacing w:after="0"/>
              <w:rPr>
                <w:sz w:val="14"/>
                <w:szCs w:val="14"/>
                <w:color w:val="auto"/>
              </w:rPr>
            </w:pPr>
          </w:p>
        </w:tc>
      </w:tr>
      <w:tr>
        <w:trPr>
          <w:trHeight w:val="162"/>
        </w:trPr>
        <w:tc>
          <w:tcPr>
            <w:tcW w:w="5860" w:type="dxa"/>
            <w:vAlign w:val="bottom"/>
            <w:shd w:val="clear" w:color="auto" w:fill="CFF0FC"/>
          </w:tcPr>
          <w:p>
            <w:pPr>
              <w:spacing w:after="0"/>
              <w:rPr>
                <w:sz w:val="20"/>
                <w:szCs w:val="20"/>
                <w:color w:val="auto"/>
              </w:rPr>
            </w:pPr>
            <w:r>
              <w:rPr>
                <w:rFonts w:ascii="Arial" w:cs="Arial" w:eastAsia="Arial" w:hAnsi="Arial"/>
                <w:sz w:val="12"/>
                <w:szCs w:val="12"/>
                <w:color w:val="auto"/>
              </w:rPr>
              <w:t>PA</w:t>
            </w:r>
          </w:p>
        </w:tc>
        <w:tc>
          <w:tcPr>
            <w:tcW w:w="1240" w:type="dxa"/>
            <w:vAlign w:val="bottom"/>
            <w:shd w:val="clear" w:color="auto" w:fill="CFF0FC"/>
          </w:tcPr>
          <w:p>
            <w:pPr>
              <w:spacing w:after="0"/>
              <w:rPr>
                <w:sz w:val="14"/>
                <w:szCs w:val="14"/>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1,300</w:t>
            </w:r>
          </w:p>
        </w:tc>
        <w:tc>
          <w:tcPr>
            <w:tcW w:w="28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8,400</w:t>
            </w:r>
          </w:p>
        </w:tc>
        <w:tc>
          <w:tcPr>
            <w:tcW w:w="280" w:type="dxa"/>
            <w:vAlign w:val="bottom"/>
            <w:shd w:val="clear" w:color="auto" w:fill="CFF0FC"/>
          </w:tcPr>
          <w:p>
            <w:pPr>
              <w:spacing w:after="0"/>
              <w:rPr>
                <w:sz w:val="14"/>
                <w:szCs w:val="14"/>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9,700</w:t>
            </w:r>
          </w:p>
        </w:tc>
        <w:tc>
          <w:tcPr>
            <w:tcW w:w="120" w:type="dxa"/>
            <w:vAlign w:val="bottom"/>
            <w:shd w:val="clear" w:color="auto" w:fill="CFF0FC"/>
          </w:tcPr>
          <w:p>
            <w:pPr>
              <w:spacing w:after="0"/>
              <w:rPr>
                <w:sz w:val="14"/>
                <w:szCs w:val="14"/>
                <w:color w:val="auto"/>
              </w:rPr>
            </w:pPr>
          </w:p>
        </w:tc>
      </w:tr>
      <w:tr>
        <w:trPr>
          <w:trHeight w:val="162"/>
        </w:trPr>
        <w:tc>
          <w:tcPr>
            <w:tcW w:w="5860" w:type="dxa"/>
            <w:vAlign w:val="bottom"/>
          </w:tcPr>
          <w:p>
            <w:pPr>
              <w:spacing w:after="0"/>
              <w:rPr>
                <w:sz w:val="20"/>
                <w:szCs w:val="20"/>
                <w:color w:val="auto"/>
              </w:rPr>
            </w:pPr>
            <w:r>
              <w:rPr>
                <w:rFonts w:ascii="Arial" w:cs="Arial" w:eastAsia="Arial" w:hAnsi="Arial"/>
                <w:sz w:val="12"/>
                <w:szCs w:val="12"/>
                <w:color w:val="auto"/>
              </w:rPr>
              <w:t>NM</w:t>
            </w:r>
          </w:p>
        </w:tc>
        <w:tc>
          <w:tcPr>
            <w:tcW w:w="12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900</w:t>
            </w: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640" w:type="dxa"/>
            <w:vAlign w:val="bottom"/>
          </w:tcPr>
          <w:p>
            <w:pPr>
              <w:jc w:val="right"/>
              <w:spacing w:after="0"/>
              <w:rPr>
                <w:sz w:val="20"/>
                <w:szCs w:val="20"/>
                <w:color w:val="auto"/>
              </w:rPr>
            </w:pPr>
            <w:r>
              <w:rPr>
                <w:rFonts w:ascii="Arial" w:cs="Arial" w:eastAsia="Arial" w:hAnsi="Arial"/>
                <w:sz w:val="12"/>
                <w:szCs w:val="12"/>
                <w:color w:val="auto"/>
              </w:rPr>
              <w:t>900</w:t>
            </w:r>
          </w:p>
        </w:tc>
        <w:tc>
          <w:tcPr>
            <w:tcW w:w="120" w:type="dxa"/>
            <w:vAlign w:val="bottom"/>
          </w:tcPr>
          <w:p>
            <w:pPr>
              <w:spacing w:after="0"/>
              <w:rPr>
                <w:sz w:val="14"/>
                <w:szCs w:val="14"/>
                <w:color w:val="auto"/>
              </w:rPr>
            </w:pPr>
          </w:p>
        </w:tc>
      </w:tr>
      <w:tr>
        <w:trPr>
          <w:trHeight w:val="162"/>
        </w:trPr>
        <w:tc>
          <w:tcPr>
            <w:tcW w:w="5860" w:type="dxa"/>
            <w:vAlign w:val="bottom"/>
            <w:shd w:val="clear" w:color="auto" w:fill="CFF0FC"/>
          </w:tcPr>
          <w:p>
            <w:pPr>
              <w:spacing w:after="0"/>
              <w:rPr>
                <w:sz w:val="20"/>
                <w:szCs w:val="20"/>
                <w:color w:val="auto"/>
              </w:rPr>
            </w:pPr>
            <w:r>
              <w:rPr>
                <w:rFonts w:ascii="Arial" w:cs="Arial" w:eastAsia="Arial" w:hAnsi="Arial"/>
                <w:sz w:val="12"/>
                <w:szCs w:val="12"/>
                <w:color w:val="auto"/>
              </w:rPr>
              <w:t>WV</w:t>
            </w:r>
          </w:p>
        </w:tc>
        <w:tc>
          <w:tcPr>
            <w:tcW w:w="1240" w:type="dxa"/>
            <w:vAlign w:val="bottom"/>
            <w:shd w:val="clear" w:color="auto" w:fill="CFF0FC"/>
          </w:tcPr>
          <w:p>
            <w:pPr>
              <w:spacing w:after="0"/>
              <w:rPr>
                <w:sz w:val="14"/>
                <w:szCs w:val="14"/>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900</w:t>
            </w:r>
          </w:p>
        </w:tc>
        <w:tc>
          <w:tcPr>
            <w:tcW w:w="28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5,000</w:t>
            </w:r>
          </w:p>
        </w:tc>
        <w:tc>
          <w:tcPr>
            <w:tcW w:w="280" w:type="dxa"/>
            <w:vAlign w:val="bottom"/>
            <w:shd w:val="clear" w:color="auto" w:fill="CFF0FC"/>
          </w:tcPr>
          <w:p>
            <w:pPr>
              <w:spacing w:after="0"/>
              <w:rPr>
                <w:sz w:val="14"/>
                <w:szCs w:val="14"/>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5,900</w:t>
            </w:r>
          </w:p>
        </w:tc>
        <w:tc>
          <w:tcPr>
            <w:tcW w:w="120" w:type="dxa"/>
            <w:vAlign w:val="bottom"/>
            <w:shd w:val="clear" w:color="auto" w:fill="CFF0FC"/>
          </w:tcPr>
          <w:p>
            <w:pPr>
              <w:spacing w:after="0"/>
              <w:rPr>
                <w:sz w:val="14"/>
                <w:szCs w:val="14"/>
                <w:color w:val="auto"/>
              </w:rPr>
            </w:pPr>
          </w:p>
        </w:tc>
      </w:tr>
      <w:tr>
        <w:trPr>
          <w:trHeight w:val="162"/>
        </w:trPr>
        <w:tc>
          <w:tcPr>
            <w:tcW w:w="5860" w:type="dxa"/>
            <w:vAlign w:val="bottom"/>
          </w:tcPr>
          <w:p>
            <w:pPr>
              <w:spacing w:after="0"/>
              <w:rPr>
                <w:sz w:val="20"/>
                <w:szCs w:val="20"/>
                <w:color w:val="auto"/>
              </w:rPr>
            </w:pPr>
            <w:r>
              <w:rPr>
                <w:rFonts w:ascii="Arial" w:cs="Arial" w:eastAsia="Arial" w:hAnsi="Arial"/>
                <w:sz w:val="12"/>
                <w:szCs w:val="12"/>
                <w:color w:val="auto"/>
              </w:rPr>
              <w:t>TN</w:t>
            </w:r>
          </w:p>
        </w:tc>
        <w:tc>
          <w:tcPr>
            <w:tcW w:w="12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800</w:t>
            </w: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640" w:type="dxa"/>
            <w:vAlign w:val="bottom"/>
          </w:tcPr>
          <w:p>
            <w:pPr>
              <w:jc w:val="right"/>
              <w:spacing w:after="0"/>
              <w:rPr>
                <w:sz w:val="20"/>
                <w:szCs w:val="20"/>
                <w:color w:val="auto"/>
              </w:rPr>
            </w:pPr>
            <w:r>
              <w:rPr>
                <w:rFonts w:ascii="Arial" w:cs="Arial" w:eastAsia="Arial" w:hAnsi="Arial"/>
                <w:sz w:val="12"/>
                <w:szCs w:val="12"/>
                <w:color w:val="auto"/>
              </w:rPr>
              <w:t>800</w:t>
            </w:r>
          </w:p>
        </w:tc>
        <w:tc>
          <w:tcPr>
            <w:tcW w:w="120" w:type="dxa"/>
            <w:vAlign w:val="bottom"/>
          </w:tcPr>
          <w:p>
            <w:pPr>
              <w:spacing w:after="0"/>
              <w:rPr>
                <w:sz w:val="14"/>
                <w:szCs w:val="14"/>
                <w:color w:val="auto"/>
              </w:rPr>
            </w:pPr>
          </w:p>
        </w:tc>
      </w:tr>
      <w:tr>
        <w:trPr>
          <w:trHeight w:val="162"/>
        </w:trPr>
        <w:tc>
          <w:tcPr>
            <w:tcW w:w="5860" w:type="dxa"/>
            <w:vAlign w:val="bottom"/>
            <w:shd w:val="clear" w:color="auto" w:fill="CFF0FC"/>
          </w:tcPr>
          <w:p>
            <w:pPr>
              <w:spacing w:after="0"/>
              <w:rPr>
                <w:sz w:val="20"/>
                <w:szCs w:val="20"/>
                <w:color w:val="auto"/>
              </w:rPr>
            </w:pPr>
            <w:r>
              <w:rPr>
                <w:rFonts w:ascii="Arial" w:cs="Arial" w:eastAsia="Arial" w:hAnsi="Arial"/>
                <w:sz w:val="12"/>
                <w:szCs w:val="12"/>
                <w:color w:val="auto"/>
              </w:rPr>
              <w:t>VA</w:t>
            </w:r>
          </w:p>
        </w:tc>
        <w:tc>
          <w:tcPr>
            <w:tcW w:w="1240" w:type="dxa"/>
            <w:vAlign w:val="bottom"/>
            <w:shd w:val="clear" w:color="auto" w:fill="CFF0FC"/>
          </w:tcPr>
          <w:p>
            <w:pPr>
              <w:spacing w:after="0"/>
              <w:rPr>
                <w:sz w:val="14"/>
                <w:szCs w:val="14"/>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800</w:t>
            </w:r>
          </w:p>
        </w:tc>
        <w:tc>
          <w:tcPr>
            <w:tcW w:w="28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300"/>
              <w:spacing w:after="0"/>
              <w:rPr>
                <w:sz w:val="20"/>
                <w:szCs w:val="20"/>
                <w:color w:val="auto"/>
              </w:rPr>
            </w:pPr>
            <w:r>
              <w:rPr>
                <w:rFonts w:ascii="Arial" w:cs="Arial" w:eastAsia="Arial" w:hAnsi="Arial"/>
                <w:sz w:val="12"/>
                <w:szCs w:val="12"/>
                <w:color w:val="auto"/>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800</w:t>
            </w:r>
          </w:p>
        </w:tc>
        <w:tc>
          <w:tcPr>
            <w:tcW w:w="120" w:type="dxa"/>
            <w:vAlign w:val="bottom"/>
            <w:shd w:val="clear" w:color="auto" w:fill="CFF0FC"/>
          </w:tcPr>
          <w:p>
            <w:pPr>
              <w:spacing w:after="0"/>
              <w:rPr>
                <w:sz w:val="14"/>
                <w:szCs w:val="14"/>
                <w:color w:val="auto"/>
              </w:rPr>
            </w:pPr>
          </w:p>
        </w:tc>
      </w:tr>
      <w:tr>
        <w:trPr>
          <w:trHeight w:val="162"/>
        </w:trPr>
        <w:tc>
          <w:tcPr>
            <w:tcW w:w="5860" w:type="dxa"/>
            <w:vAlign w:val="bottom"/>
          </w:tcPr>
          <w:p>
            <w:pPr>
              <w:spacing w:after="0"/>
              <w:rPr>
                <w:sz w:val="20"/>
                <w:szCs w:val="20"/>
                <w:color w:val="auto"/>
              </w:rPr>
            </w:pPr>
            <w:r>
              <w:rPr>
                <w:rFonts w:ascii="Arial" w:cs="Arial" w:eastAsia="Arial" w:hAnsi="Arial"/>
                <w:sz w:val="12"/>
                <w:szCs w:val="12"/>
                <w:color w:val="auto"/>
              </w:rPr>
              <w:t>AL</w:t>
            </w:r>
          </w:p>
        </w:tc>
        <w:tc>
          <w:tcPr>
            <w:tcW w:w="12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600</w:t>
            </w: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2,200</w:t>
            </w:r>
          </w:p>
        </w:tc>
        <w:tc>
          <w:tcPr>
            <w:tcW w:w="28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2"/>
                <w:szCs w:val="12"/>
                <w:color w:val="auto"/>
              </w:rPr>
              <w:t>2,800</w:t>
            </w:r>
          </w:p>
        </w:tc>
        <w:tc>
          <w:tcPr>
            <w:tcW w:w="120" w:type="dxa"/>
            <w:vAlign w:val="bottom"/>
          </w:tcPr>
          <w:p>
            <w:pPr>
              <w:spacing w:after="0"/>
              <w:rPr>
                <w:sz w:val="14"/>
                <w:szCs w:val="14"/>
                <w:color w:val="auto"/>
              </w:rPr>
            </w:pPr>
          </w:p>
        </w:tc>
      </w:tr>
      <w:tr>
        <w:trPr>
          <w:trHeight w:val="162"/>
        </w:trPr>
        <w:tc>
          <w:tcPr>
            <w:tcW w:w="5860" w:type="dxa"/>
            <w:vAlign w:val="bottom"/>
            <w:shd w:val="clear" w:color="auto" w:fill="CFF0FC"/>
          </w:tcPr>
          <w:p>
            <w:pPr>
              <w:spacing w:after="0"/>
              <w:rPr>
                <w:sz w:val="20"/>
                <w:szCs w:val="20"/>
                <w:color w:val="auto"/>
              </w:rPr>
            </w:pPr>
            <w:r>
              <w:rPr>
                <w:rFonts w:ascii="Arial" w:cs="Arial" w:eastAsia="Arial" w:hAnsi="Arial"/>
                <w:sz w:val="12"/>
                <w:szCs w:val="12"/>
                <w:color w:val="auto"/>
              </w:rPr>
              <w:t>MS</w:t>
            </w:r>
          </w:p>
        </w:tc>
        <w:tc>
          <w:tcPr>
            <w:tcW w:w="1240" w:type="dxa"/>
            <w:vAlign w:val="bottom"/>
            <w:shd w:val="clear" w:color="auto" w:fill="CFF0FC"/>
          </w:tcPr>
          <w:p>
            <w:pPr>
              <w:spacing w:after="0"/>
              <w:rPr>
                <w:sz w:val="14"/>
                <w:szCs w:val="14"/>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400</w:t>
            </w:r>
          </w:p>
        </w:tc>
        <w:tc>
          <w:tcPr>
            <w:tcW w:w="28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1,400</w:t>
            </w:r>
          </w:p>
        </w:tc>
        <w:tc>
          <w:tcPr>
            <w:tcW w:w="280" w:type="dxa"/>
            <w:vAlign w:val="bottom"/>
            <w:shd w:val="clear" w:color="auto" w:fill="CFF0FC"/>
          </w:tcPr>
          <w:p>
            <w:pPr>
              <w:spacing w:after="0"/>
              <w:rPr>
                <w:sz w:val="14"/>
                <w:szCs w:val="14"/>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1,800</w:t>
            </w:r>
          </w:p>
        </w:tc>
        <w:tc>
          <w:tcPr>
            <w:tcW w:w="120" w:type="dxa"/>
            <w:vAlign w:val="bottom"/>
            <w:shd w:val="clear" w:color="auto" w:fill="CFF0FC"/>
          </w:tcPr>
          <w:p>
            <w:pPr>
              <w:spacing w:after="0"/>
              <w:rPr>
                <w:sz w:val="14"/>
                <w:szCs w:val="14"/>
                <w:color w:val="auto"/>
              </w:rPr>
            </w:pPr>
          </w:p>
        </w:tc>
      </w:tr>
      <w:tr>
        <w:trPr>
          <w:trHeight w:val="162"/>
        </w:trPr>
        <w:tc>
          <w:tcPr>
            <w:tcW w:w="5860" w:type="dxa"/>
            <w:vAlign w:val="bottom"/>
          </w:tcPr>
          <w:p>
            <w:pPr>
              <w:spacing w:after="0"/>
              <w:rPr>
                <w:sz w:val="20"/>
                <w:szCs w:val="20"/>
                <w:color w:val="auto"/>
              </w:rPr>
            </w:pPr>
            <w:r>
              <w:rPr>
                <w:rFonts w:ascii="Arial" w:cs="Arial" w:eastAsia="Arial" w:hAnsi="Arial"/>
                <w:sz w:val="12"/>
                <w:szCs w:val="12"/>
                <w:color w:val="auto"/>
              </w:rPr>
              <w:t>Other</w:t>
            </w:r>
            <w:r>
              <w:rPr>
                <w:rFonts w:ascii="Arial" w:cs="Arial" w:eastAsia="Arial" w:hAnsi="Arial"/>
                <w:sz w:val="10"/>
                <w:szCs w:val="10"/>
                <w:color w:val="auto"/>
              </w:rPr>
              <w:t>(1)</w:t>
            </w:r>
          </w:p>
        </w:tc>
        <w:tc>
          <w:tcPr>
            <w:tcW w:w="12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300</w:t>
            </w: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640" w:type="dxa"/>
            <w:vAlign w:val="bottom"/>
          </w:tcPr>
          <w:p>
            <w:pPr>
              <w:jc w:val="right"/>
              <w:spacing w:after="0"/>
              <w:rPr>
                <w:sz w:val="20"/>
                <w:szCs w:val="20"/>
                <w:color w:val="auto"/>
              </w:rPr>
            </w:pPr>
            <w:r>
              <w:rPr>
                <w:rFonts w:ascii="Arial" w:cs="Arial" w:eastAsia="Arial" w:hAnsi="Arial"/>
                <w:sz w:val="12"/>
                <w:szCs w:val="12"/>
                <w:color w:val="auto"/>
              </w:rPr>
              <w:t>300</w:t>
            </w:r>
          </w:p>
        </w:tc>
        <w:tc>
          <w:tcPr>
            <w:tcW w:w="120" w:type="dxa"/>
            <w:vAlign w:val="bottom"/>
          </w:tcPr>
          <w:p>
            <w:pPr>
              <w:spacing w:after="0"/>
              <w:rPr>
                <w:sz w:val="14"/>
                <w:szCs w:val="14"/>
                <w:color w:val="auto"/>
              </w:rPr>
            </w:pPr>
          </w:p>
        </w:tc>
      </w:tr>
      <w:tr>
        <w:trPr>
          <w:trHeight w:val="151"/>
        </w:trPr>
        <w:tc>
          <w:tcPr>
            <w:tcW w:w="5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2"/>
                <w:szCs w:val="12"/>
                <w:color w:val="auto"/>
              </w:rPr>
              <w:t>Total</w:t>
            </w:r>
          </w:p>
        </w:tc>
        <w:tc>
          <w:tcPr>
            <w:tcW w:w="1240" w:type="dxa"/>
            <w:vAlign w:val="bottom"/>
            <w:tcBorders>
              <w:top w:val="single" w:sz="8" w:color="auto"/>
            </w:tcBorders>
            <w:shd w:val="clear" w:color="auto" w:fill="CFF0FC"/>
          </w:tcPr>
          <w:p>
            <w:pPr>
              <w:spacing w:after="0"/>
              <w:rPr>
                <w:sz w:val="13"/>
                <w:szCs w:val="13"/>
                <w:color w:val="auto"/>
              </w:rPr>
            </w:pPr>
          </w:p>
        </w:tc>
        <w:tc>
          <w:tcPr>
            <w:tcW w:w="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64,800</w:t>
            </w:r>
          </w:p>
        </w:tc>
        <w:tc>
          <w:tcPr>
            <w:tcW w:w="280" w:type="dxa"/>
            <w:vAlign w:val="bottom"/>
            <w:tcBorders>
              <w:top w:val="single" w:sz="8" w:color="CFF0FC"/>
            </w:tcBorders>
            <w:shd w:val="clear" w:color="auto" w:fill="CFF0FC"/>
          </w:tcPr>
          <w:p>
            <w:pPr>
              <w:spacing w:after="0"/>
              <w:rPr>
                <w:sz w:val="13"/>
                <w:szCs w:val="13"/>
                <w:color w:val="auto"/>
              </w:rPr>
            </w:pPr>
          </w:p>
        </w:tc>
        <w:tc>
          <w:tcPr>
            <w:tcW w:w="1240" w:type="dxa"/>
            <w:vAlign w:val="bottom"/>
            <w:tcBorders>
              <w:top w:val="single" w:sz="8" w:color="auto"/>
            </w:tcBorders>
            <w:shd w:val="clear" w:color="auto" w:fill="CFF0FC"/>
          </w:tcPr>
          <w:p>
            <w:pPr>
              <w:spacing w:after="0"/>
              <w:rPr>
                <w:sz w:val="13"/>
                <w:szCs w:val="13"/>
                <w:color w:val="auto"/>
              </w:rPr>
            </w:pP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w w:val="87"/>
              </w:rPr>
              <w:t>216,000</w:t>
            </w:r>
          </w:p>
        </w:tc>
        <w:tc>
          <w:tcPr>
            <w:tcW w:w="280" w:type="dxa"/>
            <w:vAlign w:val="bottom"/>
            <w:tcBorders>
              <w:top w:val="single" w:sz="8" w:color="CFF0FC"/>
            </w:tcBorders>
            <w:shd w:val="clear" w:color="auto" w:fill="CFF0FC"/>
          </w:tcPr>
          <w:p>
            <w:pPr>
              <w:spacing w:after="0"/>
              <w:rPr>
                <w:sz w:val="13"/>
                <w:szCs w:val="13"/>
                <w:color w:val="auto"/>
              </w:rPr>
            </w:pPr>
          </w:p>
        </w:tc>
        <w:tc>
          <w:tcPr>
            <w:tcW w:w="1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280,800</w:t>
            </w:r>
          </w:p>
        </w:tc>
        <w:tc>
          <w:tcPr>
            <w:tcW w:w="120" w:type="dxa"/>
            <w:vAlign w:val="bottom"/>
            <w:tcBorders>
              <w:top w:val="single" w:sz="8" w:color="CFF0FC"/>
            </w:tcBorders>
            <w:shd w:val="clear" w:color="auto" w:fill="CFF0FC"/>
          </w:tcPr>
          <w:p>
            <w:pPr>
              <w:spacing w:after="0"/>
              <w:rPr>
                <w:sz w:val="13"/>
                <w:szCs w:val="13"/>
                <w:color w:val="auto"/>
              </w:rPr>
            </w:pPr>
          </w:p>
        </w:tc>
      </w:tr>
    </w:tbl>
    <w:p>
      <w:pPr>
        <w:spacing w:after="0" w:line="9" w:lineRule="exact"/>
        <w:rPr>
          <w:sz w:val="20"/>
          <w:szCs w:val="20"/>
          <w:color w:val="auto"/>
        </w:rPr>
      </w:pPr>
    </w:p>
    <w:p>
      <w:pPr>
        <w:ind w:left="148" w:hanging="148"/>
        <w:spacing w:after="0"/>
        <w:tabs>
          <w:tab w:leader="none" w:pos="148" w:val="left"/>
        </w:tabs>
        <w:numPr>
          <w:ilvl w:val="0"/>
          <w:numId w:val="6"/>
        </w:numPr>
        <w:rPr>
          <w:rFonts w:ascii="Arial" w:cs="Arial" w:eastAsia="Arial" w:hAnsi="Arial"/>
          <w:sz w:val="10"/>
          <w:szCs w:val="10"/>
          <w:color w:val="auto"/>
        </w:rPr>
      </w:pPr>
      <w:r>
        <w:rPr>
          <w:rFonts w:ascii="Arial" w:cs="Arial" w:eastAsia="Arial" w:hAnsi="Arial"/>
          <w:sz w:val="12"/>
          <w:szCs w:val="12"/>
          <w:color w:val="auto"/>
        </w:rPr>
        <w:t>Includes 13 states.</w:t>
      </w:r>
    </w:p>
    <w:p>
      <w:pPr>
        <w:spacing w:after="0" w:line="150"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329170" cy="368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8"/>
          </w:cols>
          <w:pgMar w:left="212" w:top="131" w:right="199" w:bottom="1440" w:gutter="0" w:footer="0" w:header="0"/>
        </w:sectPr>
      </w:pPr>
    </w:p>
    <w:bookmarkStart w:id="20" w:name="page21"/>
    <w:bookmarkEnd w:id="20"/>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Fiber Segment</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color w:val="auto"/>
        </w:rPr>
        <w:t>Uniti Fiber’s network properties include its fiber route miles and wireless communication towers. Below is a geographic distribution summary as of December 31, 2017:</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9680" w:type="dxa"/>
            <w:vAlign w:val="bottom"/>
          </w:tcPr>
          <w:p>
            <w:pPr>
              <w:spacing w:after="0"/>
              <w:rPr>
                <w:sz w:val="20"/>
                <w:szCs w:val="20"/>
                <w:color w:val="auto"/>
              </w:rPr>
            </w:pPr>
            <w:r>
              <w:rPr>
                <w:rFonts w:ascii="Arial" w:cs="Arial" w:eastAsia="Arial" w:hAnsi="Arial"/>
                <w:sz w:val="10"/>
                <w:szCs w:val="10"/>
                <w:b w:val="1"/>
                <w:bCs w:val="1"/>
                <w:color w:val="auto"/>
              </w:rPr>
              <w:t>Location</w:t>
            </w:r>
          </w:p>
        </w:tc>
        <w:tc>
          <w:tcPr>
            <w:tcW w:w="180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88"/>
              </w:rPr>
              <w:t>Fiber Route Miles</w:t>
            </w:r>
          </w:p>
        </w:tc>
      </w:tr>
      <w:tr>
        <w:trPr>
          <w:trHeight w:val="142"/>
        </w:trPr>
        <w:tc>
          <w:tcPr>
            <w:tcW w:w="9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2"/>
                <w:szCs w:val="12"/>
                <w:color w:val="auto"/>
              </w:rPr>
              <w:t>GA</w:t>
            </w:r>
          </w:p>
        </w:tc>
        <w:tc>
          <w:tcPr>
            <w:tcW w:w="1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5,600</w:t>
            </w:r>
          </w:p>
        </w:tc>
        <w:tc>
          <w:tcPr>
            <w:tcW w:w="120" w:type="dxa"/>
            <w:vAlign w:val="bottom"/>
            <w:tcBorders>
              <w:top w:val="single" w:sz="8" w:color="CFF0FC"/>
            </w:tcBorders>
            <w:shd w:val="clear" w:color="auto" w:fill="CFF0FC"/>
          </w:tcPr>
          <w:p>
            <w:pPr>
              <w:spacing w:after="0"/>
              <w:rPr>
                <w:sz w:val="12"/>
                <w:szCs w:val="12"/>
                <w:color w:val="auto"/>
              </w:rPr>
            </w:pPr>
          </w:p>
        </w:tc>
      </w:tr>
      <w:tr>
        <w:trPr>
          <w:trHeight w:val="153"/>
        </w:trPr>
        <w:tc>
          <w:tcPr>
            <w:tcW w:w="9680" w:type="dxa"/>
            <w:vAlign w:val="bottom"/>
          </w:tcPr>
          <w:p>
            <w:pPr>
              <w:spacing w:after="0"/>
              <w:rPr>
                <w:sz w:val="20"/>
                <w:szCs w:val="20"/>
                <w:color w:val="auto"/>
              </w:rPr>
            </w:pPr>
            <w:r>
              <w:rPr>
                <w:rFonts w:ascii="Arial" w:cs="Arial" w:eastAsia="Arial" w:hAnsi="Arial"/>
                <w:sz w:val="12"/>
                <w:szCs w:val="12"/>
                <w:color w:val="auto"/>
              </w:rPr>
              <w:t>LA</w:t>
            </w:r>
          </w:p>
        </w:tc>
        <w:tc>
          <w:tcPr>
            <w:tcW w:w="1680" w:type="dxa"/>
            <w:vAlign w:val="bottom"/>
          </w:tcPr>
          <w:p>
            <w:pPr>
              <w:jc w:val="right"/>
              <w:spacing w:after="0"/>
              <w:rPr>
                <w:sz w:val="20"/>
                <w:szCs w:val="20"/>
                <w:color w:val="auto"/>
              </w:rPr>
            </w:pPr>
            <w:r>
              <w:rPr>
                <w:rFonts w:ascii="Arial" w:cs="Arial" w:eastAsia="Arial" w:hAnsi="Arial"/>
                <w:sz w:val="12"/>
                <w:szCs w:val="12"/>
                <w:color w:val="auto"/>
              </w:rPr>
              <w:t>4,900</w:t>
            </w:r>
          </w:p>
        </w:tc>
        <w:tc>
          <w:tcPr>
            <w:tcW w:w="120" w:type="dxa"/>
            <w:vAlign w:val="bottom"/>
          </w:tcPr>
          <w:p>
            <w:pPr>
              <w:spacing w:after="0"/>
              <w:rPr>
                <w:sz w:val="13"/>
                <w:szCs w:val="13"/>
                <w:color w:val="auto"/>
              </w:rPr>
            </w:pPr>
          </w:p>
        </w:tc>
      </w:tr>
      <w:tr>
        <w:trPr>
          <w:trHeight w:val="153"/>
        </w:trPr>
        <w:tc>
          <w:tcPr>
            <w:tcW w:w="9680" w:type="dxa"/>
            <w:vAlign w:val="bottom"/>
            <w:shd w:val="clear" w:color="auto" w:fill="CFF0FC"/>
          </w:tcPr>
          <w:p>
            <w:pPr>
              <w:spacing w:after="0"/>
              <w:rPr>
                <w:sz w:val="20"/>
                <w:szCs w:val="20"/>
                <w:color w:val="auto"/>
              </w:rPr>
            </w:pPr>
            <w:r>
              <w:rPr>
                <w:rFonts w:ascii="Arial" w:cs="Arial" w:eastAsia="Arial" w:hAnsi="Arial"/>
                <w:sz w:val="12"/>
                <w:szCs w:val="12"/>
                <w:color w:val="auto"/>
              </w:rPr>
              <w:t>PA</w:t>
            </w:r>
          </w:p>
        </w:tc>
        <w:tc>
          <w:tcPr>
            <w:tcW w:w="1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4,400</w:t>
            </w:r>
          </w:p>
        </w:tc>
        <w:tc>
          <w:tcPr>
            <w:tcW w:w="120" w:type="dxa"/>
            <w:vAlign w:val="bottom"/>
            <w:shd w:val="clear" w:color="auto" w:fill="CFF0FC"/>
          </w:tcPr>
          <w:p>
            <w:pPr>
              <w:spacing w:after="0"/>
              <w:rPr>
                <w:sz w:val="13"/>
                <w:szCs w:val="13"/>
                <w:color w:val="auto"/>
              </w:rPr>
            </w:pPr>
          </w:p>
        </w:tc>
      </w:tr>
      <w:tr>
        <w:trPr>
          <w:trHeight w:val="153"/>
        </w:trPr>
        <w:tc>
          <w:tcPr>
            <w:tcW w:w="9680" w:type="dxa"/>
            <w:vAlign w:val="bottom"/>
          </w:tcPr>
          <w:p>
            <w:pPr>
              <w:spacing w:after="0"/>
              <w:rPr>
                <w:sz w:val="20"/>
                <w:szCs w:val="20"/>
                <w:color w:val="auto"/>
              </w:rPr>
            </w:pPr>
            <w:r>
              <w:rPr>
                <w:rFonts w:ascii="Arial" w:cs="Arial" w:eastAsia="Arial" w:hAnsi="Arial"/>
                <w:sz w:val="12"/>
                <w:szCs w:val="12"/>
                <w:color w:val="auto"/>
              </w:rPr>
              <w:t>FL</w:t>
            </w:r>
          </w:p>
        </w:tc>
        <w:tc>
          <w:tcPr>
            <w:tcW w:w="1680" w:type="dxa"/>
            <w:vAlign w:val="bottom"/>
          </w:tcPr>
          <w:p>
            <w:pPr>
              <w:jc w:val="right"/>
              <w:spacing w:after="0"/>
              <w:rPr>
                <w:sz w:val="20"/>
                <w:szCs w:val="20"/>
                <w:color w:val="auto"/>
              </w:rPr>
            </w:pPr>
            <w:r>
              <w:rPr>
                <w:rFonts w:ascii="Arial" w:cs="Arial" w:eastAsia="Arial" w:hAnsi="Arial"/>
                <w:sz w:val="12"/>
                <w:szCs w:val="12"/>
                <w:color w:val="auto"/>
              </w:rPr>
              <w:t>4,100</w:t>
            </w:r>
          </w:p>
        </w:tc>
        <w:tc>
          <w:tcPr>
            <w:tcW w:w="120" w:type="dxa"/>
            <w:vAlign w:val="bottom"/>
          </w:tcPr>
          <w:p>
            <w:pPr>
              <w:spacing w:after="0"/>
              <w:rPr>
                <w:sz w:val="13"/>
                <w:szCs w:val="13"/>
                <w:color w:val="auto"/>
              </w:rPr>
            </w:pPr>
          </w:p>
        </w:tc>
      </w:tr>
      <w:tr>
        <w:trPr>
          <w:trHeight w:val="153"/>
        </w:trPr>
        <w:tc>
          <w:tcPr>
            <w:tcW w:w="9680" w:type="dxa"/>
            <w:vAlign w:val="bottom"/>
            <w:shd w:val="clear" w:color="auto" w:fill="CFF0FC"/>
          </w:tcPr>
          <w:p>
            <w:pPr>
              <w:spacing w:after="0"/>
              <w:rPr>
                <w:sz w:val="20"/>
                <w:szCs w:val="20"/>
                <w:color w:val="auto"/>
              </w:rPr>
            </w:pPr>
            <w:r>
              <w:rPr>
                <w:rFonts w:ascii="Arial" w:cs="Arial" w:eastAsia="Arial" w:hAnsi="Arial"/>
                <w:sz w:val="12"/>
                <w:szCs w:val="12"/>
                <w:color w:val="auto"/>
              </w:rPr>
              <w:t>AL</w:t>
            </w:r>
          </w:p>
        </w:tc>
        <w:tc>
          <w:tcPr>
            <w:tcW w:w="1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3,000</w:t>
            </w:r>
          </w:p>
        </w:tc>
        <w:tc>
          <w:tcPr>
            <w:tcW w:w="120" w:type="dxa"/>
            <w:vAlign w:val="bottom"/>
            <w:shd w:val="clear" w:color="auto" w:fill="CFF0FC"/>
          </w:tcPr>
          <w:p>
            <w:pPr>
              <w:spacing w:after="0"/>
              <w:rPr>
                <w:sz w:val="13"/>
                <w:szCs w:val="13"/>
                <w:color w:val="auto"/>
              </w:rPr>
            </w:pPr>
          </w:p>
        </w:tc>
      </w:tr>
      <w:tr>
        <w:trPr>
          <w:trHeight w:val="153"/>
        </w:trPr>
        <w:tc>
          <w:tcPr>
            <w:tcW w:w="9680" w:type="dxa"/>
            <w:vAlign w:val="bottom"/>
          </w:tcPr>
          <w:p>
            <w:pPr>
              <w:spacing w:after="0"/>
              <w:rPr>
                <w:sz w:val="20"/>
                <w:szCs w:val="20"/>
                <w:color w:val="auto"/>
              </w:rPr>
            </w:pPr>
            <w:r>
              <w:rPr>
                <w:rFonts w:ascii="Arial" w:cs="Arial" w:eastAsia="Arial" w:hAnsi="Arial"/>
                <w:sz w:val="12"/>
                <w:szCs w:val="12"/>
                <w:color w:val="auto"/>
              </w:rPr>
              <w:t>MS</w:t>
            </w:r>
          </w:p>
        </w:tc>
        <w:tc>
          <w:tcPr>
            <w:tcW w:w="1680" w:type="dxa"/>
            <w:vAlign w:val="bottom"/>
          </w:tcPr>
          <w:p>
            <w:pPr>
              <w:jc w:val="right"/>
              <w:spacing w:after="0"/>
              <w:rPr>
                <w:sz w:val="20"/>
                <w:szCs w:val="20"/>
                <w:color w:val="auto"/>
              </w:rPr>
            </w:pPr>
            <w:r>
              <w:rPr>
                <w:rFonts w:ascii="Arial" w:cs="Arial" w:eastAsia="Arial" w:hAnsi="Arial"/>
                <w:sz w:val="12"/>
                <w:szCs w:val="12"/>
                <w:color w:val="auto"/>
              </w:rPr>
              <w:t>2,700</w:t>
            </w:r>
          </w:p>
        </w:tc>
        <w:tc>
          <w:tcPr>
            <w:tcW w:w="120" w:type="dxa"/>
            <w:vAlign w:val="bottom"/>
          </w:tcPr>
          <w:p>
            <w:pPr>
              <w:spacing w:after="0"/>
              <w:rPr>
                <w:sz w:val="13"/>
                <w:szCs w:val="13"/>
                <w:color w:val="auto"/>
              </w:rPr>
            </w:pPr>
          </w:p>
        </w:tc>
      </w:tr>
      <w:tr>
        <w:trPr>
          <w:trHeight w:val="153"/>
        </w:trPr>
        <w:tc>
          <w:tcPr>
            <w:tcW w:w="9680" w:type="dxa"/>
            <w:vAlign w:val="bottom"/>
            <w:shd w:val="clear" w:color="auto" w:fill="CFF0FC"/>
          </w:tcPr>
          <w:p>
            <w:pPr>
              <w:spacing w:after="0"/>
              <w:rPr>
                <w:sz w:val="20"/>
                <w:szCs w:val="20"/>
                <w:color w:val="auto"/>
              </w:rPr>
            </w:pPr>
            <w:r>
              <w:rPr>
                <w:rFonts w:ascii="Arial" w:cs="Arial" w:eastAsia="Arial" w:hAnsi="Arial"/>
                <w:sz w:val="12"/>
                <w:szCs w:val="12"/>
                <w:color w:val="auto"/>
              </w:rPr>
              <w:t>IL</w:t>
            </w:r>
          </w:p>
        </w:tc>
        <w:tc>
          <w:tcPr>
            <w:tcW w:w="1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2,300</w:t>
            </w:r>
          </w:p>
        </w:tc>
        <w:tc>
          <w:tcPr>
            <w:tcW w:w="120" w:type="dxa"/>
            <w:vAlign w:val="bottom"/>
            <w:shd w:val="clear" w:color="auto" w:fill="CFF0FC"/>
          </w:tcPr>
          <w:p>
            <w:pPr>
              <w:spacing w:after="0"/>
              <w:rPr>
                <w:sz w:val="13"/>
                <w:szCs w:val="13"/>
                <w:color w:val="auto"/>
              </w:rPr>
            </w:pPr>
          </w:p>
        </w:tc>
      </w:tr>
      <w:tr>
        <w:trPr>
          <w:trHeight w:val="153"/>
        </w:trPr>
        <w:tc>
          <w:tcPr>
            <w:tcW w:w="9680" w:type="dxa"/>
            <w:vAlign w:val="bottom"/>
          </w:tcPr>
          <w:p>
            <w:pPr>
              <w:spacing w:after="0"/>
              <w:rPr>
                <w:sz w:val="20"/>
                <w:szCs w:val="20"/>
                <w:color w:val="auto"/>
              </w:rPr>
            </w:pPr>
            <w:r>
              <w:rPr>
                <w:rFonts w:ascii="Arial" w:cs="Arial" w:eastAsia="Arial" w:hAnsi="Arial"/>
                <w:sz w:val="12"/>
                <w:szCs w:val="12"/>
                <w:color w:val="auto"/>
              </w:rPr>
              <w:t>VA</w:t>
            </w:r>
          </w:p>
        </w:tc>
        <w:tc>
          <w:tcPr>
            <w:tcW w:w="1680" w:type="dxa"/>
            <w:vAlign w:val="bottom"/>
          </w:tcPr>
          <w:p>
            <w:pPr>
              <w:jc w:val="right"/>
              <w:spacing w:after="0"/>
              <w:rPr>
                <w:sz w:val="20"/>
                <w:szCs w:val="20"/>
                <w:color w:val="auto"/>
              </w:rPr>
            </w:pPr>
            <w:r>
              <w:rPr>
                <w:rFonts w:ascii="Arial" w:cs="Arial" w:eastAsia="Arial" w:hAnsi="Arial"/>
                <w:sz w:val="12"/>
                <w:szCs w:val="12"/>
                <w:color w:val="auto"/>
              </w:rPr>
              <w:t>1,700</w:t>
            </w:r>
          </w:p>
        </w:tc>
        <w:tc>
          <w:tcPr>
            <w:tcW w:w="120" w:type="dxa"/>
            <w:vAlign w:val="bottom"/>
          </w:tcPr>
          <w:p>
            <w:pPr>
              <w:spacing w:after="0"/>
              <w:rPr>
                <w:sz w:val="13"/>
                <w:szCs w:val="13"/>
                <w:color w:val="auto"/>
              </w:rPr>
            </w:pPr>
          </w:p>
        </w:tc>
      </w:tr>
      <w:tr>
        <w:trPr>
          <w:trHeight w:val="153"/>
        </w:trPr>
        <w:tc>
          <w:tcPr>
            <w:tcW w:w="9680" w:type="dxa"/>
            <w:vAlign w:val="bottom"/>
            <w:shd w:val="clear" w:color="auto" w:fill="CFF0FC"/>
          </w:tcPr>
          <w:p>
            <w:pPr>
              <w:spacing w:after="0"/>
              <w:rPr>
                <w:sz w:val="20"/>
                <w:szCs w:val="20"/>
                <w:color w:val="auto"/>
              </w:rPr>
            </w:pPr>
            <w:r>
              <w:rPr>
                <w:rFonts w:ascii="Arial" w:cs="Arial" w:eastAsia="Arial" w:hAnsi="Arial"/>
                <w:sz w:val="12"/>
                <w:szCs w:val="12"/>
                <w:color w:val="auto"/>
              </w:rPr>
              <w:t>NY</w:t>
            </w:r>
          </w:p>
        </w:tc>
        <w:tc>
          <w:tcPr>
            <w:tcW w:w="1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1,500</w:t>
            </w:r>
          </w:p>
        </w:tc>
        <w:tc>
          <w:tcPr>
            <w:tcW w:w="120" w:type="dxa"/>
            <w:vAlign w:val="bottom"/>
            <w:shd w:val="clear" w:color="auto" w:fill="CFF0FC"/>
          </w:tcPr>
          <w:p>
            <w:pPr>
              <w:spacing w:after="0"/>
              <w:rPr>
                <w:sz w:val="13"/>
                <w:szCs w:val="13"/>
                <w:color w:val="auto"/>
              </w:rPr>
            </w:pPr>
          </w:p>
        </w:tc>
      </w:tr>
      <w:tr>
        <w:trPr>
          <w:trHeight w:val="153"/>
        </w:trPr>
        <w:tc>
          <w:tcPr>
            <w:tcW w:w="9680" w:type="dxa"/>
            <w:vAlign w:val="bottom"/>
          </w:tcPr>
          <w:p>
            <w:pPr>
              <w:spacing w:after="0"/>
              <w:rPr>
                <w:sz w:val="20"/>
                <w:szCs w:val="20"/>
                <w:color w:val="auto"/>
              </w:rPr>
            </w:pPr>
            <w:r>
              <w:rPr>
                <w:rFonts w:ascii="Arial" w:cs="Arial" w:eastAsia="Arial" w:hAnsi="Arial"/>
                <w:sz w:val="12"/>
                <w:szCs w:val="12"/>
                <w:color w:val="auto"/>
              </w:rPr>
              <w:t>TX</w:t>
            </w:r>
          </w:p>
        </w:tc>
        <w:tc>
          <w:tcPr>
            <w:tcW w:w="1680" w:type="dxa"/>
            <w:vAlign w:val="bottom"/>
          </w:tcPr>
          <w:p>
            <w:pPr>
              <w:jc w:val="right"/>
              <w:spacing w:after="0"/>
              <w:rPr>
                <w:sz w:val="20"/>
                <w:szCs w:val="20"/>
                <w:color w:val="auto"/>
              </w:rPr>
            </w:pPr>
            <w:r>
              <w:rPr>
                <w:rFonts w:ascii="Arial" w:cs="Arial" w:eastAsia="Arial" w:hAnsi="Arial"/>
                <w:sz w:val="12"/>
                <w:szCs w:val="12"/>
                <w:color w:val="auto"/>
              </w:rPr>
              <w:t>900</w:t>
            </w:r>
          </w:p>
        </w:tc>
        <w:tc>
          <w:tcPr>
            <w:tcW w:w="120" w:type="dxa"/>
            <w:vAlign w:val="bottom"/>
          </w:tcPr>
          <w:p>
            <w:pPr>
              <w:spacing w:after="0"/>
              <w:rPr>
                <w:sz w:val="13"/>
                <w:szCs w:val="13"/>
                <w:color w:val="auto"/>
              </w:rPr>
            </w:pPr>
          </w:p>
        </w:tc>
      </w:tr>
      <w:tr>
        <w:trPr>
          <w:trHeight w:val="153"/>
        </w:trPr>
        <w:tc>
          <w:tcPr>
            <w:tcW w:w="9680" w:type="dxa"/>
            <w:vAlign w:val="bottom"/>
            <w:shd w:val="clear" w:color="auto" w:fill="CFF0FC"/>
          </w:tcPr>
          <w:p>
            <w:pPr>
              <w:spacing w:after="0"/>
              <w:rPr>
                <w:sz w:val="20"/>
                <w:szCs w:val="20"/>
                <w:color w:val="auto"/>
              </w:rPr>
            </w:pPr>
            <w:r>
              <w:rPr>
                <w:rFonts w:ascii="Arial" w:cs="Arial" w:eastAsia="Arial" w:hAnsi="Arial"/>
                <w:sz w:val="12"/>
                <w:szCs w:val="12"/>
                <w:color w:val="auto"/>
              </w:rPr>
              <w:t>Other</w:t>
            </w:r>
            <w:r>
              <w:rPr>
                <w:rFonts w:ascii="Arial" w:cs="Arial" w:eastAsia="Arial" w:hAnsi="Arial"/>
                <w:sz w:val="10"/>
                <w:szCs w:val="10"/>
                <w:color w:val="auto"/>
              </w:rPr>
              <w:t>(1)</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1,800</w:t>
            </w:r>
          </w:p>
        </w:tc>
        <w:tc>
          <w:tcPr>
            <w:tcW w:w="120" w:type="dxa"/>
            <w:vAlign w:val="bottom"/>
            <w:shd w:val="clear" w:color="auto" w:fill="CFF0FC"/>
          </w:tcPr>
          <w:p>
            <w:pPr>
              <w:spacing w:after="0"/>
              <w:rPr>
                <w:sz w:val="13"/>
                <w:szCs w:val="13"/>
                <w:color w:val="auto"/>
              </w:rPr>
            </w:pPr>
          </w:p>
        </w:tc>
      </w:tr>
      <w:tr>
        <w:trPr>
          <w:trHeight w:val="142"/>
        </w:trPr>
        <w:tc>
          <w:tcPr>
            <w:tcW w:w="9680" w:type="dxa"/>
            <w:vAlign w:val="bottom"/>
          </w:tcPr>
          <w:p>
            <w:pPr>
              <w:spacing w:after="0"/>
              <w:rPr>
                <w:sz w:val="20"/>
                <w:szCs w:val="20"/>
                <w:color w:val="auto"/>
              </w:rPr>
            </w:pPr>
            <w:r>
              <w:rPr>
                <w:rFonts w:ascii="Arial" w:cs="Arial" w:eastAsia="Arial" w:hAnsi="Arial"/>
                <w:sz w:val="12"/>
                <w:szCs w:val="12"/>
                <w:color w:val="auto"/>
              </w:rPr>
              <w:t>Total</w:t>
            </w:r>
          </w:p>
        </w:tc>
        <w:tc>
          <w:tcPr>
            <w:tcW w:w="1680" w:type="dxa"/>
            <w:vAlign w:val="bottom"/>
          </w:tcPr>
          <w:p>
            <w:pPr>
              <w:jc w:val="right"/>
              <w:spacing w:after="0"/>
              <w:rPr>
                <w:sz w:val="20"/>
                <w:szCs w:val="20"/>
                <w:color w:val="auto"/>
              </w:rPr>
            </w:pPr>
            <w:r>
              <w:rPr>
                <w:rFonts w:ascii="Arial" w:cs="Arial" w:eastAsia="Arial" w:hAnsi="Arial"/>
                <w:sz w:val="12"/>
                <w:szCs w:val="12"/>
                <w:color w:val="auto"/>
              </w:rPr>
              <w:t>32,900</w:t>
            </w:r>
          </w:p>
        </w:tc>
        <w:tc>
          <w:tcPr>
            <w:tcW w:w="120" w:type="dxa"/>
            <w:vAlign w:val="bottom"/>
          </w:tcPr>
          <w:p>
            <w:pPr>
              <w:spacing w:after="0"/>
              <w:rPr>
                <w:sz w:val="12"/>
                <w:szCs w:val="12"/>
                <w:color w:val="auto"/>
              </w:rPr>
            </w:pPr>
          </w:p>
        </w:tc>
      </w:tr>
      <w:tr>
        <w:trPr>
          <w:trHeight w:val="162"/>
        </w:trPr>
        <w:tc>
          <w:tcPr>
            <w:tcW w:w="9680" w:type="dxa"/>
            <w:vAlign w:val="bottom"/>
          </w:tcPr>
          <w:p>
            <w:pPr>
              <w:spacing w:after="0"/>
              <w:rPr>
                <w:sz w:val="20"/>
                <w:szCs w:val="20"/>
                <w:color w:val="auto"/>
              </w:rPr>
            </w:pPr>
            <w:r>
              <w:rPr>
                <w:rFonts w:ascii="Arial" w:cs="Arial" w:eastAsia="Arial" w:hAnsi="Arial"/>
                <w:sz w:val="10"/>
                <w:szCs w:val="10"/>
                <w:color w:val="auto"/>
              </w:rPr>
              <w:t xml:space="preserve">(1) </w:t>
            </w:r>
            <w:r>
              <w:rPr>
                <w:rFonts w:ascii="Arial" w:cs="Arial" w:eastAsia="Arial" w:hAnsi="Arial"/>
                <w:sz w:val="12"/>
                <w:szCs w:val="12"/>
                <w:color w:val="auto"/>
              </w:rPr>
              <w:t>Includes 12 states.</w:t>
            </w: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43"/>
        </w:trPr>
        <w:tc>
          <w:tcPr>
            <w:tcW w:w="9680" w:type="dxa"/>
            <w:vAlign w:val="bottom"/>
          </w:tcPr>
          <w:p>
            <w:pPr>
              <w:spacing w:after="0"/>
              <w:rPr>
                <w:sz w:val="20"/>
                <w:szCs w:val="20"/>
                <w:color w:val="auto"/>
              </w:rPr>
            </w:pPr>
            <w:r>
              <w:rPr>
                <w:rFonts w:ascii="Arial" w:cs="Arial" w:eastAsia="Arial" w:hAnsi="Arial"/>
                <w:sz w:val="12"/>
                <w:szCs w:val="12"/>
                <w:b w:val="1"/>
                <w:bCs w:val="1"/>
                <w:i w:val="1"/>
                <w:iCs w:val="1"/>
                <w:color w:val="auto"/>
              </w:rPr>
              <w:t>Towers Segment</w:t>
            </w:r>
          </w:p>
        </w:tc>
        <w:tc>
          <w:tcPr>
            <w:tcW w:w="168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38"/>
        </w:trPr>
        <w:tc>
          <w:tcPr>
            <w:tcW w:w="9680" w:type="dxa"/>
            <w:vAlign w:val="bottom"/>
          </w:tcPr>
          <w:p>
            <w:pPr>
              <w:spacing w:after="0"/>
              <w:rPr>
                <w:sz w:val="20"/>
                <w:szCs w:val="20"/>
                <w:color w:val="auto"/>
              </w:rPr>
            </w:pPr>
            <w:r>
              <w:rPr>
                <w:rFonts w:ascii="Arial" w:cs="Arial" w:eastAsia="Arial" w:hAnsi="Arial"/>
                <w:sz w:val="12"/>
                <w:szCs w:val="12"/>
                <w:color w:val="auto"/>
              </w:rPr>
              <w:t>Uniti Tower’s network properties include its wireless communication towers. Below is a geographic distribution summary as of December 31, 2017:</w:t>
            </w: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114"/>
        </w:trPr>
        <w:tc>
          <w:tcPr>
            <w:tcW w:w="9680" w:type="dxa"/>
            <w:vAlign w:val="bottom"/>
          </w:tcPr>
          <w:p>
            <w:pPr>
              <w:spacing w:after="0" w:line="114" w:lineRule="exact"/>
              <w:rPr>
                <w:sz w:val="20"/>
                <w:szCs w:val="20"/>
                <w:color w:val="auto"/>
              </w:rPr>
            </w:pPr>
            <w:r>
              <w:rPr>
                <w:rFonts w:ascii="Arial" w:cs="Arial" w:eastAsia="Arial" w:hAnsi="Arial"/>
                <w:sz w:val="10"/>
                <w:szCs w:val="10"/>
                <w:b w:val="1"/>
                <w:bCs w:val="1"/>
                <w:color w:val="auto"/>
              </w:rPr>
              <w:t>Location</w:t>
            </w:r>
          </w:p>
        </w:tc>
        <w:tc>
          <w:tcPr>
            <w:tcW w:w="1800" w:type="dxa"/>
            <w:vAlign w:val="bottom"/>
            <w:gridSpan w:val="2"/>
          </w:tcPr>
          <w:p>
            <w:pPr>
              <w:jc w:val="center"/>
              <w:ind w:right="140"/>
              <w:spacing w:after="0" w:line="114" w:lineRule="exact"/>
              <w:rPr>
                <w:sz w:val="20"/>
                <w:szCs w:val="20"/>
                <w:color w:val="auto"/>
              </w:rPr>
            </w:pPr>
            <w:r>
              <w:rPr>
                <w:rFonts w:ascii="Arial" w:cs="Arial" w:eastAsia="Arial" w:hAnsi="Arial"/>
                <w:sz w:val="10"/>
                <w:szCs w:val="10"/>
                <w:b w:val="1"/>
                <w:bCs w:val="1"/>
                <w:color w:val="auto"/>
                <w:w w:val="85"/>
              </w:rPr>
              <w:t>Towers</w:t>
            </w:r>
          </w:p>
        </w:tc>
      </w:tr>
      <w:tr>
        <w:trPr>
          <w:trHeight w:val="142"/>
        </w:trPr>
        <w:tc>
          <w:tcPr>
            <w:tcW w:w="9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2"/>
                <w:szCs w:val="12"/>
                <w:color w:val="auto"/>
              </w:rPr>
              <w:t>LA</w:t>
            </w:r>
          </w:p>
        </w:tc>
        <w:tc>
          <w:tcPr>
            <w:tcW w:w="1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120</w:t>
            </w:r>
          </w:p>
        </w:tc>
        <w:tc>
          <w:tcPr>
            <w:tcW w:w="120" w:type="dxa"/>
            <w:vAlign w:val="bottom"/>
            <w:tcBorders>
              <w:top w:val="single" w:sz="8" w:color="CFF0FC"/>
            </w:tcBorders>
            <w:shd w:val="clear" w:color="auto" w:fill="CFF0FC"/>
          </w:tcPr>
          <w:p>
            <w:pPr>
              <w:spacing w:after="0"/>
              <w:rPr>
                <w:sz w:val="12"/>
                <w:szCs w:val="12"/>
                <w:color w:val="auto"/>
              </w:rPr>
            </w:pPr>
          </w:p>
        </w:tc>
      </w:tr>
      <w:tr>
        <w:trPr>
          <w:trHeight w:val="153"/>
        </w:trPr>
        <w:tc>
          <w:tcPr>
            <w:tcW w:w="9680" w:type="dxa"/>
            <w:vAlign w:val="bottom"/>
          </w:tcPr>
          <w:p>
            <w:pPr>
              <w:spacing w:after="0"/>
              <w:rPr>
                <w:sz w:val="20"/>
                <w:szCs w:val="20"/>
                <w:color w:val="auto"/>
              </w:rPr>
            </w:pPr>
            <w:r>
              <w:rPr>
                <w:rFonts w:ascii="Arial" w:cs="Arial" w:eastAsia="Arial" w:hAnsi="Arial"/>
                <w:sz w:val="12"/>
                <w:szCs w:val="12"/>
                <w:color w:val="auto"/>
              </w:rPr>
              <w:t>NM</w:t>
            </w:r>
          </w:p>
        </w:tc>
        <w:tc>
          <w:tcPr>
            <w:tcW w:w="1680" w:type="dxa"/>
            <w:vAlign w:val="bottom"/>
          </w:tcPr>
          <w:p>
            <w:pPr>
              <w:jc w:val="right"/>
              <w:spacing w:after="0"/>
              <w:rPr>
                <w:sz w:val="20"/>
                <w:szCs w:val="20"/>
                <w:color w:val="auto"/>
              </w:rPr>
            </w:pPr>
            <w:r>
              <w:rPr>
                <w:rFonts w:ascii="Arial" w:cs="Arial" w:eastAsia="Arial" w:hAnsi="Arial"/>
                <w:sz w:val="12"/>
                <w:szCs w:val="12"/>
                <w:color w:val="auto"/>
              </w:rPr>
              <w:t>22</w:t>
            </w:r>
          </w:p>
        </w:tc>
        <w:tc>
          <w:tcPr>
            <w:tcW w:w="120" w:type="dxa"/>
            <w:vAlign w:val="bottom"/>
          </w:tcPr>
          <w:p>
            <w:pPr>
              <w:spacing w:after="0"/>
              <w:rPr>
                <w:sz w:val="13"/>
                <w:szCs w:val="13"/>
                <w:color w:val="auto"/>
              </w:rPr>
            </w:pPr>
          </w:p>
        </w:tc>
      </w:tr>
      <w:tr>
        <w:trPr>
          <w:trHeight w:val="153"/>
        </w:trPr>
        <w:tc>
          <w:tcPr>
            <w:tcW w:w="9680" w:type="dxa"/>
            <w:vAlign w:val="bottom"/>
            <w:shd w:val="clear" w:color="auto" w:fill="CFF0FC"/>
          </w:tcPr>
          <w:p>
            <w:pPr>
              <w:spacing w:after="0"/>
              <w:rPr>
                <w:sz w:val="20"/>
                <w:szCs w:val="20"/>
                <w:color w:val="auto"/>
              </w:rPr>
            </w:pPr>
            <w:r>
              <w:rPr>
                <w:rFonts w:ascii="Arial" w:cs="Arial" w:eastAsia="Arial" w:hAnsi="Arial"/>
                <w:sz w:val="12"/>
                <w:szCs w:val="12"/>
                <w:color w:val="auto"/>
              </w:rPr>
              <w:t>TX</w:t>
            </w:r>
          </w:p>
        </w:tc>
        <w:tc>
          <w:tcPr>
            <w:tcW w:w="1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22</w:t>
            </w:r>
          </w:p>
        </w:tc>
        <w:tc>
          <w:tcPr>
            <w:tcW w:w="120" w:type="dxa"/>
            <w:vAlign w:val="bottom"/>
            <w:shd w:val="clear" w:color="auto" w:fill="CFF0FC"/>
          </w:tcPr>
          <w:p>
            <w:pPr>
              <w:spacing w:after="0"/>
              <w:rPr>
                <w:sz w:val="13"/>
                <w:szCs w:val="13"/>
                <w:color w:val="auto"/>
              </w:rPr>
            </w:pPr>
          </w:p>
        </w:tc>
      </w:tr>
      <w:tr>
        <w:trPr>
          <w:trHeight w:val="153"/>
        </w:trPr>
        <w:tc>
          <w:tcPr>
            <w:tcW w:w="9680" w:type="dxa"/>
            <w:vAlign w:val="bottom"/>
          </w:tcPr>
          <w:p>
            <w:pPr>
              <w:spacing w:after="0"/>
              <w:rPr>
                <w:sz w:val="20"/>
                <w:szCs w:val="20"/>
                <w:color w:val="auto"/>
              </w:rPr>
            </w:pPr>
            <w:r>
              <w:rPr>
                <w:rFonts w:ascii="Arial" w:cs="Arial" w:eastAsia="Arial" w:hAnsi="Arial"/>
                <w:sz w:val="12"/>
                <w:szCs w:val="12"/>
                <w:color w:val="auto"/>
              </w:rPr>
              <w:t>AR</w:t>
            </w:r>
          </w:p>
        </w:tc>
        <w:tc>
          <w:tcPr>
            <w:tcW w:w="1680" w:type="dxa"/>
            <w:vAlign w:val="bottom"/>
          </w:tcPr>
          <w:p>
            <w:pPr>
              <w:jc w:val="right"/>
              <w:spacing w:after="0"/>
              <w:rPr>
                <w:sz w:val="20"/>
                <w:szCs w:val="20"/>
                <w:color w:val="auto"/>
              </w:rPr>
            </w:pPr>
            <w:r>
              <w:rPr>
                <w:rFonts w:ascii="Arial" w:cs="Arial" w:eastAsia="Arial" w:hAnsi="Arial"/>
                <w:sz w:val="12"/>
                <w:szCs w:val="12"/>
                <w:color w:val="auto"/>
              </w:rPr>
              <w:t>13</w:t>
            </w:r>
          </w:p>
        </w:tc>
        <w:tc>
          <w:tcPr>
            <w:tcW w:w="120" w:type="dxa"/>
            <w:vAlign w:val="bottom"/>
          </w:tcPr>
          <w:p>
            <w:pPr>
              <w:spacing w:after="0"/>
              <w:rPr>
                <w:sz w:val="13"/>
                <w:szCs w:val="13"/>
                <w:color w:val="auto"/>
              </w:rPr>
            </w:pPr>
          </w:p>
        </w:tc>
      </w:tr>
      <w:tr>
        <w:trPr>
          <w:trHeight w:val="153"/>
        </w:trPr>
        <w:tc>
          <w:tcPr>
            <w:tcW w:w="9680" w:type="dxa"/>
            <w:vAlign w:val="bottom"/>
            <w:shd w:val="clear" w:color="auto" w:fill="CFF0FC"/>
          </w:tcPr>
          <w:p>
            <w:pPr>
              <w:spacing w:after="0"/>
              <w:rPr>
                <w:sz w:val="20"/>
                <w:szCs w:val="20"/>
                <w:color w:val="auto"/>
              </w:rPr>
            </w:pPr>
            <w:r>
              <w:rPr>
                <w:rFonts w:ascii="Arial" w:cs="Arial" w:eastAsia="Arial" w:hAnsi="Arial"/>
                <w:sz w:val="12"/>
                <w:szCs w:val="12"/>
                <w:color w:val="auto"/>
              </w:rPr>
              <w:t>NE</w:t>
            </w:r>
          </w:p>
        </w:tc>
        <w:tc>
          <w:tcPr>
            <w:tcW w:w="1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w:t>
            </w:r>
          </w:p>
        </w:tc>
        <w:tc>
          <w:tcPr>
            <w:tcW w:w="120" w:type="dxa"/>
            <w:vAlign w:val="bottom"/>
            <w:shd w:val="clear" w:color="auto" w:fill="CFF0FC"/>
          </w:tcPr>
          <w:p>
            <w:pPr>
              <w:spacing w:after="0"/>
              <w:rPr>
                <w:sz w:val="13"/>
                <w:szCs w:val="13"/>
                <w:color w:val="auto"/>
              </w:rPr>
            </w:pPr>
          </w:p>
        </w:tc>
      </w:tr>
      <w:tr>
        <w:trPr>
          <w:trHeight w:val="153"/>
        </w:trPr>
        <w:tc>
          <w:tcPr>
            <w:tcW w:w="9680" w:type="dxa"/>
            <w:vAlign w:val="bottom"/>
          </w:tcPr>
          <w:p>
            <w:pPr>
              <w:spacing w:after="0"/>
              <w:rPr>
                <w:sz w:val="20"/>
                <w:szCs w:val="20"/>
                <w:color w:val="auto"/>
              </w:rPr>
            </w:pPr>
            <w:r>
              <w:rPr>
                <w:rFonts w:ascii="Arial" w:cs="Arial" w:eastAsia="Arial" w:hAnsi="Arial"/>
                <w:sz w:val="12"/>
                <w:szCs w:val="12"/>
                <w:color w:val="auto"/>
              </w:rPr>
              <w:t>MS</w:t>
            </w:r>
          </w:p>
        </w:tc>
        <w:tc>
          <w:tcPr>
            <w:tcW w:w="1680" w:type="dxa"/>
            <w:vAlign w:val="bottom"/>
          </w:tcPr>
          <w:p>
            <w:pPr>
              <w:jc w:val="right"/>
              <w:spacing w:after="0"/>
              <w:rPr>
                <w:sz w:val="20"/>
                <w:szCs w:val="20"/>
                <w:color w:val="auto"/>
              </w:rPr>
            </w:pPr>
            <w:r>
              <w:rPr>
                <w:rFonts w:ascii="Arial" w:cs="Arial" w:eastAsia="Arial" w:hAnsi="Arial"/>
                <w:sz w:val="12"/>
                <w:szCs w:val="12"/>
                <w:color w:val="auto"/>
              </w:rPr>
              <w:t>7</w:t>
            </w:r>
          </w:p>
        </w:tc>
        <w:tc>
          <w:tcPr>
            <w:tcW w:w="120" w:type="dxa"/>
            <w:vAlign w:val="bottom"/>
          </w:tcPr>
          <w:p>
            <w:pPr>
              <w:spacing w:after="0"/>
              <w:rPr>
                <w:sz w:val="13"/>
                <w:szCs w:val="13"/>
                <w:color w:val="auto"/>
              </w:rPr>
            </w:pPr>
          </w:p>
        </w:tc>
      </w:tr>
      <w:tr>
        <w:trPr>
          <w:trHeight w:val="153"/>
        </w:trPr>
        <w:tc>
          <w:tcPr>
            <w:tcW w:w="9680" w:type="dxa"/>
            <w:vAlign w:val="bottom"/>
            <w:shd w:val="clear" w:color="auto" w:fill="CFF0FC"/>
          </w:tcPr>
          <w:p>
            <w:pPr>
              <w:spacing w:after="0"/>
              <w:rPr>
                <w:sz w:val="20"/>
                <w:szCs w:val="20"/>
                <w:color w:val="auto"/>
              </w:rPr>
            </w:pPr>
            <w:r>
              <w:rPr>
                <w:rFonts w:ascii="Arial" w:cs="Arial" w:eastAsia="Arial" w:hAnsi="Arial"/>
                <w:sz w:val="12"/>
                <w:szCs w:val="12"/>
                <w:color w:val="auto"/>
              </w:rPr>
              <w:t>PA</w:t>
            </w:r>
          </w:p>
        </w:tc>
        <w:tc>
          <w:tcPr>
            <w:tcW w:w="1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w:t>
            </w:r>
          </w:p>
        </w:tc>
        <w:tc>
          <w:tcPr>
            <w:tcW w:w="120" w:type="dxa"/>
            <w:vAlign w:val="bottom"/>
            <w:shd w:val="clear" w:color="auto" w:fill="CFF0FC"/>
          </w:tcPr>
          <w:p>
            <w:pPr>
              <w:spacing w:after="0"/>
              <w:rPr>
                <w:sz w:val="13"/>
                <w:szCs w:val="13"/>
                <w:color w:val="auto"/>
              </w:rPr>
            </w:pPr>
          </w:p>
        </w:tc>
      </w:tr>
      <w:tr>
        <w:trPr>
          <w:trHeight w:val="153"/>
        </w:trPr>
        <w:tc>
          <w:tcPr>
            <w:tcW w:w="9680" w:type="dxa"/>
            <w:vAlign w:val="bottom"/>
          </w:tcPr>
          <w:p>
            <w:pPr>
              <w:spacing w:after="0"/>
              <w:rPr>
                <w:sz w:val="20"/>
                <w:szCs w:val="20"/>
                <w:color w:val="auto"/>
              </w:rPr>
            </w:pPr>
            <w:r>
              <w:rPr>
                <w:rFonts w:ascii="Arial" w:cs="Arial" w:eastAsia="Arial" w:hAnsi="Arial"/>
                <w:sz w:val="12"/>
                <w:szCs w:val="12"/>
                <w:color w:val="auto"/>
              </w:rPr>
              <w:t>MN</w:t>
            </w:r>
          </w:p>
        </w:tc>
        <w:tc>
          <w:tcPr>
            <w:tcW w:w="1680" w:type="dxa"/>
            <w:vAlign w:val="bottom"/>
          </w:tcPr>
          <w:p>
            <w:pPr>
              <w:jc w:val="right"/>
              <w:spacing w:after="0"/>
              <w:rPr>
                <w:sz w:val="20"/>
                <w:szCs w:val="20"/>
                <w:color w:val="auto"/>
              </w:rPr>
            </w:pPr>
            <w:r>
              <w:rPr>
                <w:rFonts w:ascii="Arial" w:cs="Arial" w:eastAsia="Arial" w:hAnsi="Arial"/>
                <w:sz w:val="12"/>
                <w:szCs w:val="12"/>
                <w:color w:val="auto"/>
              </w:rPr>
              <w:t>4</w:t>
            </w:r>
          </w:p>
        </w:tc>
        <w:tc>
          <w:tcPr>
            <w:tcW w:w="120" w:type="dxa"/>
            <w:vAlign w:val="bottom"/>
          </w:tcPr>
          <w:p>
            <w:pPr>
              <w:spacing w:after="0"/>
              <w:rPr>
                <w:sz w:val="13"/>
                <w:szCs w:val="13"/>
                <w:color w:val="auto"/>
              </w:rPr>
            </w:pPr>
          </w:p>
        </w:tc>
      </w:tr>
      <w:tr>
        <w:trPr>
          <w:trHeight w:val="153"/>
        </w:trPr>
        <w:tc>
          <w:tcPr>
            <w:tcW w:w="9680" w:type="dxa"/>
            <w:vAlign w:val="bottom"/>
            <w:shd w:val="clear" w:color="auto" w:fill="CFF0FC"/>
          </w:tcPr>
          <w:p>
            <w:pPr>
              <w:spacing w:after="0"/>
              <w:rPr>
                <w:sz w:val="20"/>
                <w:szCs w:val="20"/>
                <w:color w:val="auto"/>
              </w:rPr>
            </w:pPr>
            <w:r>
              <w:rPr>
                <w:rFonts w:ascii="Arial" w:cs="Arial" w:eastAsia="Arial" w:hAnsi="Arial"/>
                <w:sz w:val="12"/>
                <w:szCs w:val="12"/>
                <w:color w:val="auto"/>
              </w:rPr>
              <w:t>AL</w:t>
            </w:r>
          </w:p>
        </w:tc>
        <w:tc>
          <w:tcPr>
            <w:tcW w:w="1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w:t>
            </w:r>
          </w:p>
        </w:tc>
        <w:tc>
          <w:tcPr>
            <w:tcW w:w="120" w:type="dxa"/>
            <w:vAlign w:val="bottom"/>
            <w:shd w:val="clear" w:color="auto" w:fill="CFF0FC"/>
          </w:tcPr>
          <w:p>
            <w:pPr>
              <w:spacing w:after="0"/>
              <w:rPr>
                <w:sz w:val="13"/>
                <w:szCs w:val="13"/>
                <w:color w:val="auto"/>
              </w:rPr>
            </w:pPr>
          </w:p>
        </w:tc>
      </w:tr>
      <w:tr>
        <w:trPr>
          <w:trHeight w:val="153"/>
        </w:trPr>
        <w:tc>
          <w:tcPr>
            <w:tcW w:w="9680" w:type="dxa"/>
            <w:vAlign w:val="bottom"/>
          </w:tcPr>
          <w:p>
            <w:pPr>
              <w:spacing w:after="0"/>
              <w:rPr>
                <w:sz w:val="20"/>
                <w:szCs w:val="20"/>
                <w:color w:val="auto"/>
              </w:rPr>
            </w:pPr>
            <w:r>
              <w:rPr>
                <w:rFonts w:ascii="Arial" w:cs="Arial" w:eastAsia="Arial" w:hAnsi="Arial"/>
                <w:sz w:val="12"/>
                <w:szCs w:val="12"/>
                <w:color w:val="auto"/>
              </w:rPr>
              <w:t>GA</w:t>
            </w:r>
          </w:p>
        </w:tc>
        <w:tc>
          <w:tcPr>
            <w:tcW w:w="1680" w:type="dxa"/>
            <w:vAlign w:val="bottom"/>
          </w:tcPr>
          <w:p>
            <w:pPr>
              <w:jc w:val="right"/>
              <w:spacing w:after="0"/>
              <w:rPr>
                <w:sz w:val="20"/>
                <w:szCs w:val="20"/>
                <w:color w:val="auto"/>
              </w:rPr>
            </w:pPr>
            <w:r>
              <w:rPr>
                <w:rFonts w:ascii="Arial" w:cs="Arial" w:eastAsia="Arial" w:hAnsi="Arial"/>
                <w:sz w:val="12"/>
                <w:szCs w:val="12"/>
                <w:color w:val="auto"/>
              </w:rPr>
              <w:t>3</w:t>
            </w:r>
          </w:p>
        </w:tc>
        <w:tc>
          <w:tcPr>
            <w:tcW w:w="120" w:type="dxa"/>
            <w:vAlign w:val="bottom"/>
          </w:tcPr>
          <w:p>
            <w:pPr>
              <w:spacing w:after="0"/>
              <w:rPr>
                <w:sz w:val="13"/>
                <w:szCs w:val="13"/>
                <w:color w:val="auto"/>
              </w:rPr>
            </w:pPr>
          </w:p>
        </w:tc>
      </w:tr>
      <w:tr>
        <w:trPr>
          <w:trHeight w:val="153"/>
        </w:trPr>
        <w:tc>
          <w:tcPr>
            <w:tcW w:w="9680" w:type="dxa"/>
            <w:vAlign w:val="bottom"/>
            <w:shd w:val="clear" w:color="auto" w:fill="CFF0FC"/>
          </w:tcPr>
          <w:p>
            <w:pPr>
              <w:spacing w:after="0"/>
              <w:rPr>
                <w:sz w:val="20"/>
                <w:szCs w:val="20"/>
                <w:color w:val="auto"/>
              </w:rPr>
            </w:pPr>
            <w:r>
              <w:rPr>
                <w:rFonts w:ascii="Arial" w:cs="Arial" w:eastAsia="Arial" w:hAnsi="Arial"/>
                <w:sz w:val="12"/>
                <w:szCs w:val="12"/>
                <w:color w:val="auto"/>
              </w:rPr>
              <w:t>OK</w:t>
            </w:r>
          </w:p>
        </w:tc>
        <w:tc>
          <w:tcPr>
            <w:tcW w:w="1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w:t>
            </w:r>
          </w:p>
        </w:tc>
        <w:tc>
          <w:tcPr>
            <w:tcW w:w="120" w:type="dxa"/>
            <w:vAlign w:val="bottom"/>
            <w:shd w:val="clear" w:color="auto" w:fill="CFF0FC"/>
          </w:tcPr>
          <w:p>
            <w:pPr>
              <w:spacing w:after="0"/>
              <w:rPr>
                <w:sz w:val="13"/>
                <w:szCs w:val="13"/>
                <w:color w:val="auto"/>
              </w:rPr>
            </w:pPr>
          </w:p>
        </w:tc>
      </w:tr>
      <w:tr>
        <w:trPr>
          <w:trHeight w:val="153"/>
        </w:trPr>
        <w:tc>
          <w:tcPr>
            <w:tcW w:w="9680" w:type="dxa"/>
            <w:vAlign w:val="bottom"/>
            <w:tcBorders>
              <w:bottom w:val="single" w:sz="8" w:color="CFF0FC"/>
            </w:tcBorders>
          </w:tcPr>
          <w:p>
            <w:pPr>
              <w:spacing w:after="0"/>
              <w:rPr>
                <w:sz w:val="20"/>
                <w:szCs w:val="20"/>
                <w:color w:val="auto"/>
              </w:rPr>
            </w:pPr>
            <w:r>
              <w:rPr>
                <w:rFonts w:ascii="Arial" w:cs="Arial" w:eastAsia="Arial" w:hAnsi="Arial"/>
                <w:sz w:val="12"/>
                <w:szCs w:val="12"/>
                <w:color w:val="auto"/>
              </w:rPr>
              <w:t>Other</w:t>
            </w:r>
            <w:r>
              <w:rPr>
                <w:rFonts w:ascii="Arial" w:cs="Arial" w:eastAsia="Arial" w:hAnsi="Arial"/>
                <w:sz w:val="10"/>
                <w:szCs w:val="10"/>
                <w:color w:val="auto"/>
              </w:rPr>
              <w:t>(1)</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w:t>
            </w:r>
          </w:p>
        </w:tc>
        <w:tc>
          <w:tcPr>
            <w:tcW w:w="120" w:type="dxa"/>
            <w:vAlign w:val="bottom"/>
            <w:tcBorders>
              <w:bottom w:val="single" w:sz="8" w:color="CFF0FC"/>
            </w:tcBorders>
          </w:tcPr>
          <w:p>
            <w:pPr>
              <w:spacing w:after="0"/>
              <w:rPr>
                <w:sz w:val="13"/>
                <w:szCs w:val="13"/>
                <w:color w:val="auto"/>
              </w:rPr>
            </w:pPr>
          </w:p>
        </w:tc>
      </w:tr>
      <w:tr>
        <w:trPr>
          <w:trHeight w:val="142"/>
        </w:trPr>
        <w:tc>
          <w:tcPr>
            <w:tcW w:w="9680" w:type="dxa"/>
            <w:vAlign w:val="bottom"/>
            <w:shd w:val="clear" w:color="auto" w:fill="CFF0FC"/>
          </w:tcPr>
          <w:p>
            <w:pPr>
              <w:spacing w:after="0"/>
              <w:rPr>
                <w:sz w:val="20"/>
                <w:szCs w:val="20"/>
                <w:color w:val="auto"/>
              </w:rPr>
            </w:pPr>
            <w:r>
              <w:rPr>
                <w:rFonts w:ascii="Arial" w:cs="Arial" w:eastAsia="Arial" w:hAnsi="Arial"/>
                <w:sz w:val="12"/>
                <w:szCs w:val="12"/>
                <w:color w:val="auto"/>
              </w:rPr>
              <w:t>Total Domestic</w:t>
            </w:r>
            <w:r>
              <w:rPr>
                <w:rFonts w:ascii="Arial" w:cs="Arial" w:eastAsia="Arial" w:hAnsi="Arial"/>
                <w:sz w:val="10"/>
                <w:szCs w:val="10"/>
                <w:color w:val="auto"/>
              </w:rPr>
              <w:t>(2)</w:t>
            </w:r>
          </w:p>
        </w:tc>
        <w:tc>
          <w:tcPr>
            <w:tcW w:w="1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227</w:t>
            </w:r>
          </w:p>
        </w:tc>
        <w:tc>
          <w:tcPr>
            <w:tcW w:w="120" w:type="dxa"/>
            <w:vAlign w:val="bottom"/>
            <w:shd w:val="clear" w:color="auto" w:fill="CFF0FC"/>
          </w:tcPr>
          <w:p>
            <w:pPr>
              <w:spacing w:after="0"/>
              <w:rPr>
                <w:sz w:val="12"/>
                <w:szCs w:val="12"/>
                <w:color w:val="auto"/>
              </w:rPr>
            </w:pPr>
          </w:p>
        </w:tc>
      </w:tr>
      <w:tr>
        <w:trPr>
          <w:trHeight w:val="153"/>
        </w:trPr>
        <w:tc>
          <w:tcPr>
            <w:tcW w:w="96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3"/>
        </w:trPr>
        <w:tc>
          <w:tcPr>
            <w:tcW w:w="9680" w:type="dxa"/>
            <w:vAlign w:val="bottom"/>
            <w:shd w:val="clear" w:color="auto" w:fill="CFF0FC"/>
          </w:tcPr>
          <w:p>
            <w:pPr>
              <w:spacing w:after="0"/>
              <w:rPr>
                <w:sz w:val="20"/>
                <w:szCs w:val="20"/>
                <w:color w:val="auto"/>
              </w:rPr>
            </w:pPr>
            <w:r>
              <w:rPr>
                <w:rFonts w:ascii="Arial" w:cs="Arial" w:eastAsia="Arial" w:hAnsi="Arial"/>
                <w:sz w:val="12"/>
                <w:szCs w:val="12"/>
                <w:color w:val="auto"/>
              </w:rPr>
              <w:t>Mexico</w:t>
            </w:r>
          </w:p>
        </w:tc>
        <w:tc>
          <w:tcPr>
            <w:tcW w:w="1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285</w:t>
            </w:r>
          </w:p>
        </w:tc>
        <w:tc>
          <w:tcPr>
            <w:tcW w:w="120" w:type="dxa"/>
            <w:vAlign w:val="bottom"/>
            <w:shd w:val="clear" w:color="auto" w:fill="CFF0FC"/>
          </w:tcPr>
          <w:p>
            <w:pPr>
              <w:spacing w:after="0"/>
              <w:rPr>
                <w:sz w:val="13"/>
                <w:szCs w:val="13"/>
                <w:color w:val="auto"/>
              </w:rPr>
            </w:pPr>
          </w:p>
        </w:tc>
      </w:tr>
      <w:tr>
        <w:trPr>
          <w:trHeight w:val="153"/>
        </w:trPr>
        <w:tc>
          <w:tcPr>
            <w:tcW w:w="9680" w:type="dxa"/>
            <w:vAlign w:val="bottom"/>
          </w:tcPr>
          <w:p>
            <w:pPr>
              <w:spacing w:after="0"/>
              <w:rPr>
                <w:sz w:val="20"/>
                <w:szCs w:val="20"/>
                <w:color w:val="auto"/>
              </w:rPr>
            </w:pPr>
            <w:r>
              <w:rPr>
                <w:rFonts w:ascii="Arial" w:cs="Arial" w:eastAsia="Arial" w:hAnsi="Arial"/>
                <w:sz w:val="12"/>
                <w:szCs w:val="12"/>
                <w:color w:val="auto"/>
              </w:rPr>
              <w:t>Colombia</w:t>
            </w:r>
          </w:p>
        </w:tc>
        <w:tc>
          <w:tcPr>
            <w:tcW w:w="1680" w:type="dxa"/>
            <w:vAlign w:val="bottom"/>
          </w:tcPr>
          <w:p>
            <w:pPr>
              <w:jc w:val="right"/>
              <w:spacing w:after="0"/>
              <w:rPr>
                <w:sz w:val="20"/>
                <w:szCs w:val="20"/>
                <w:color w:val="auto"/>
              </w:rPr>
            </w:pPr>
            <w:r>
              <w:rPr>
                <w:rFonts w:ascii="Arial" w:cs="Arial" w:eastAsia="Arial" w:hAnsi="Arial"/>
                <w:sz w:val="12"/>
                <w:szCs w:val="12"/>
                <w:color w:val="auto"/>
              </w:rPr>
              <w:t>100</w:t>
            </w:r>
          </w:p>
        </w:tc>
        <w:tc>
          <w:tcPr>
            <w:tcW w:w="120" w:type="dxa"/>
            <w:vAlign w:val="bottom"/>
          </w:tcPr>
          <w:p>
            <w:pPr>
              <w:spacing w:after="0"/>
              <w:rPr>
                <w:sz w:val="13"/>
                <w:szCs w:val="13"/>
                <w:color w:val="auto"/>
              </w:rPr>
            </w:pPr>
          </w:p>
        </w:tc>
      </w:tr>
      <w:tr>
        <w:trPr>
          <w:trHeight w:val="153"/>
        </w:trPr>
        <w:tc>
          <w:tcPr>
            <w:tcW w:w="9680" w:type="dxa"/>
            <w:vAlign w:val="bottom"/>
            <w:shd w:val="clear" w:color="auto" w:fill="CFF0FC"/>
          </w:tcPr>
          <w:p>
            <w:pPr>
              <w:spacing w:after="0"/>
              <w:rPr>
                <w:sz w:val="20"/>
                <w:szCs w:val="20"/>
                <w:color w:val="auto"/>
              </w:rPr>
            </w:pPr>
            <w:r>
              <w:rPr>
                <w:rFonts w:ascii="Arial" w:cs="Arial" w:eastAsia="Arial" w:hAnsi="Arial"/>
                <w:sz w:val="12"/>
                <w:szCs w:val="12"/>
                <w:color w:val="auto"/>
              </w:rPr>
              <w:t>Nicaragua</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55</w:t>
            </w:r>
          </w:p>
        </w:tc>
        <w:tc>
          <w:tcPr>
            <w:tcW w:w="120" w:type="dxa"/>
            <w:vAlign w:val="bottom"/>
            <w:shd w:val="clear" w:color="auto" w:fill="CFF0FC"/>
          </w:tcPr>
          <w:p>
            <w:pPr>
              <w:spacing w:after="0"/>
              <w:rPr>
                <w:sz w:val="13"/>
                <w:szCs w:val="13"/>
                <w:color w:val="auto"/>
              </w:rPr>
            </w:pPr>
          </w:p>
        </w:tc>
      </w:tr>
      <w:tr>
        <w:trPr>
          <w:trHeight w:val="142"/>
        </w:trPr>
        <w:tc>
          <w:tcPr>
            <w:tcW w:w="9680" w:type="dxa"/>
            <w:vAlign w:val="bottom"/>
          </w:tcPr>
          <w:p>
            <w:pPr>
              <w:spacing w:after="0"/>
              <w:rPr>
                <w:sz w:val="20"/>
                <w:szCs w:val="20"/>
                <w:color w:val="auto"/>
              </w:rPr>
            </w:pPr>
            <w:r>
              <w:rPr>
                <w:rFonts w:ascii="Arial" w:cs="Arial" w:eastAsia="Arial" w:hAnsi="Arial"/>
                <w:sz w:val="12"/>
                <w:szCs w:val="12"/>
                <w:color w:val="auto"/>
              </w:rPr>
              <w:t>Total International</w:t>
            </w:r>
          </w:p>
        </w:tc>
        <w:tc>
          <w:tcPr>
            <w:tcW w:w="1680" w:type="dxa"/>
            <w:vAlign w:val="bottom"/>
          </w:tcPr>
          <w:p>
            <w:pPr>
              <w:jc w:val="right"/>
              <w:spacing w:after="0"/>
              <w:rPr>
                <w:sz w:val="20"/>
                <w:szCs w:val="20"/>
                <w:color w:val="auto"/>
              </w:rPr>
            </w:pPr>
            <w:r>
              <w:rPr>
                <w:rFonts w:ascii="Arial" w:cs="Arial" w:eastAsia="Arial" w:hAnsi="Arial"/>
                <w:sz w:val="12"/>
                <w:szCs w:val="12"/>
                <w:color w:val="auto"/>
              </w:rPr>
              <w:t>440</w:t>
            </w:r>
          </w:p>
        </w:tc>
        <w:tc>
          <w:tcPr>
            <w:tcW w:w="120" w:type="dxa"/>
            <w:vAlign w:val="bottom"/>
          </w:tcPr>
          <w:p>
            <w:pPr>
              <w:spacing w:after="0"/>
              <w:rPr>
                <w:sz w:val="12"/>
                <w:szCs w:val="12"/>
                <w:color w:val="auto"/>
              </w:rPr>
            </w:pPr>
          </w:p>
        </w:tc>
      </w:tr>
      <w:tr>
        <w:trPr>
          <w:trHeight w:val="153"/>
        </w:trPr>
        <w:tc>
          <w:tcPr>
            <w:tcW w:w="9680" w:type="dxa"/>
            <w:vAlign w:val="bottom"/>
            <w:shd w:val="clear" w:color="auto" w:fill="CFF0FC"/>
          </w:tcPr>
          <w:p>
            <w:pPr>
              <w:spacing w:after="0"/>
              <w:rPr>
                <w:sz w:val="13"/>
                <w:szCs w:val="13"/>
                <w:color w:val="auto"/>
              </w:rPr>
            </w:pPr>
          </w:p>
        </w:tc>
        <w:tc>
          <w:tcPr>
            <w:tcW w:w="1680" w:type="dxa"/>
            <w:vAlign w:val="bottom"/>
            <w:tcBorders>
              <w:bottom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42"/>
        </w:trPr>
        <w:tc>
          <w:tcPr>
            <w:tcW w:w="9680" w:type="dxa"/>
            <w:vAlign w:val="bottom"/>
          </w:tcPr>
          <w:p>
            <w:pPr>
              <w:spacing w:after="0"/>
              <w:rPr>
                <w:sz w:val="20"/>
                <w:szCs w:val="20"/>
                <w:color w:val="auto"/>
              </w:rPr>
            </w:pPr>
            <w:r>
              <w:rPr>
                <w:rFonts w:ascii="Arial" w:cs="Arial" w:eastAsia="Arial" w:hAnsi="Arial"/>
                <w:sz w:val="12"/>
                <w:szCs w:val="12"/>
                <w:color w:val="auto"/>
              </w:rPr>
              <w:t>Total</w:t>
            </w:r>
          </w:p>
        </w:tc>
        <w:tc>
          <w:tcPr>
            <w:tcW w:w="1680" w:type="dxa"/>
            <w:vAlign w:val="bottom"/>
          </w:tcPr>
          <w:p>
            <w:pPr>
              <w:jc w:val="right"/>
              <w:spacing w:after="0"/>
              <w:rPr>
                <w:sz w:val="20"/>
                <w:szCs w:val="20"/>
                <w:color w:val="auto"/>
              </w:rPr>
            </w:pPr>
            <w:r>
              <w:rPr>
                <w:rFonts w:ascii="Arial" w:cs="Arial" w:eastAsia="Arial" w:hAnsi="Arial"/>
                <w:sz w:val="12"/>
                <w:szCs w:val="12"/>
                <w:color w:val="auto"/>
              </w:rPr>
              <w:t>667</w:t>
            </w:r>
          </w:p>
        </w:tc>
        <w:tc>
          <w:tcPr>
            <w:tcW w:w="120" w:type="dxa"/>
            <w:vAlign w:val="bottom"/>
          </w:tcPr>
          <w:p>
            <w:pPr>
              <w:spacing w:after="0"/>
              <w:rPr>
                <w:sz w:val="12"/>
                <w:szCs w:val="12"/>
                <w:color w:val="auto"/>
              </w:rPr>
            </w:pPr>
          </w:p>
        </w:tc>
      </w:tr>
      <w:tr>
        <w:trPr>
          <w:trHeight w:val="162"/>
        </w:trPr>
        <w:tc>
          <w:tcPr>
            <w:tcW w:w="9680" w:type="dxa"/>
            <w:vAlign w:val="bottom"/>
          </w:tcPr>
          <w:p>
            <w:pPr>
              <w:spacing w:after="0"/>
              <w:rPr>
                <w:sz w:val="20"/>
                <w:szCs w:val="20"/>
                <w:color w:val="auto"/>
              </w:rPr>
            </w:pPr>
            <w:r>
              <w:rPr>
                <w:rFonts w:ascii="Arial" w:cs="Arial" w:eastAsia="Arial" w:hAnsi="Arial"/>
                <w:sz w:val="10"/>
                <w:szCs w:val="10"/>
                <w:color w:val="auto"/>
              </w:rPr>
              <w:t xml:space="preserve">(1) </w:t>
            </w:r>
            <w:r>
              <w:rPr>
                <w:rFonts w:ascii="Arial" w:cs="Arial" w:eastAsia="Arial" w:hAnsi="Arial"/>
                <w:sz w:val="12"/>
                <w:szCs w:val="12"/>
                <w:color w:val="auto"/>
              </w:rPr>
              <w:t>Includes 9 states.</w:t>
            </w: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53"/>
        </w:trPr>
        <w:tc>
          <w:tcPr>
            <w:tcW w:w="9680" w:type="dxa"/>
            <w:vAlign w:val="bottom"/>
          </w:tcPr>
          <w:p>
            <w:pPr>
              <w:spacing w:after="0"/>
              <w:rPr>
                <w:sz w:val="20"/>
                <w:szCs w:val="20"/>
                <w:color w:val="auto"/>
              </w:rPr>
            </w:pPr>
            <w:r>
              <w:rPr>
                <w:rFonts w:ascii="Arial" w:cs="Arial" w:eastAsia="Arial" w:hAnsi="Arial"/>
                <w:sz w:val="10"/>
                <w:szCs w:val="10"/>
                <w:color w:val="auto"/>
              </w:rPr>
              <w:t xml:space="preserve">(2) </w:t>
            </w:r>
            <w:r>
              <w:rPr>
                <w:rFonts w:ascii="Arial" w:cs="Arial" w:eastAsia="Arial" w:hAnsi="Arial"/>
                <w:sz w:val="12"/>
                <w:szCs w:val="12"/>
                <w:color w:val="auto"/>
              </w:rPr>
              <w:t>Includes 123 wireless communication towers acquired as part of the acquisitions of Hunt and Southern Light.</w:t>
            </w:r>
          </w:p>
        </w:tc>
        <w:tc>
          <w:tcPr>
            <w:tcW w:w="1680" w:type="dxa"/>
            <w:vAlign w:val="bottom"/>
          </w:tcPr>
          <w:p>
            <w:pPr>
              <w:spacing w:after="0"/>
              <w:rPr>
                <w:sz w:val="13"/>
                <w:szCs w:val="13"/>
                <w:color w:val="auto"/>
              </w:rPr>
            </w:pPr>
          </w:p>
        </w:tc>
        <w:tc>
          <w:tcPr>
            <w:tcW w:w="120" w:type="dxa"/>
            <w:vAlign w:val="bottom"/>
          </w:tcPr>
          <w:p>
            <w:pPr>
              <w:spacing w:after="0"/>
              <w:rPr>
                <w:sz w:val="13"/>
                <w:szCs w:val="13"/>
                <w:color w:val="auto"/>
              </w:rPr>
            </w:pPr>
          </w:p>
        </w:tc>
      </w:tr>
    </w:tbl>
    <w:p>
      <w:pPr>
        <w:spacing w:after="0" w:line="7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3. Legal Proceedings.</w:t>
      </w:r>
    </w:p>
    <w:p>
      <w:pPr>
        <w:spacing w:after="0" w:line="82" w:lineRule="exact"/>
        <w:rPr>
          <w:sz w:val="20"/>
          <w:szCs w:val="20"/>
          <w:color w:val="auto"/>
        </w:rPr>
      </w:pPr>
    </w:p>
    <w:p>
      <w:pPr>
        <w:ind w:right="460"/>
        <w:spacing w:after="0" w:line="276" w:lineRule="auto"/>
        <w:rPr>
          <w:sz w:val="20"/>
          <w:szCs w:val="20"/>
          <w:color w:val="auto"/>
        </w:rPr>
      </w:pPr>
      <w:r>
        <w:rPr>
          <w:rFonts w:ascii="Arial" w:cs="Arial" w:eastAsia="Arial" w:hAnsi="Arial"/>
          <w:sz w:val="12"/>
          <w:szCs w:val="12"/>
          <w:color w:val="auto"/>
        </w:rPr>
        <w:t>In the ordinary course of our business, we are subject to claims and administrative proceedings, none of which we believe are material or would be expected to have, individually or in the aggregate, a material adverse effect on our business, financial condition, cash flows or results of operations.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21" w:name="page22"/>
    <w:bookmarkEnd w:id="21"/>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spacing w:after="0" w:line="283" w:lineRule="auto"/>
        <w:rPr>
          <w:sz w:val="20"/>
          <w:szCs w:val="20"/>
          <w:color w:val="auto"/>
        </w:rPr>
      </w:pPr>
      <w:r>
        <w:rPr>
          <w:rFonts w:ascii="Arial" w:cs="Arial" w:eastAsia="Arial" w:hAnsi="Arial"/>
          <w:sz w:val="11"/>
          <w:szCs w:val="11"/>
          <w:color w:val="auto"/>
        </w:rPr>
        <w:t>Pursuant to the Separation and Distribution Agreement, Windstream has agreed to indemnify us (including our subsidiaries, directors, officers, employees and agents and certain other related parties) for any liability arising from or relating to legal proceedings involving Windstream's telecommunications business prior to the Spin-Off, and, pursuant to the Master Lease, Windstream has agreed to indemnify us for, among other things, any use, misuse, maintenance or repair by Windstream with respect to the Distribution Systems. Windstream is currently a party to various legal actions and administrative proceedings, including various claims arising in the ordinary course of its telecommunications business, which are subject to the indemnities provided by Windstream to us. While these actions and proceedings are not believed to be material, individually or in the aggregate, the ultimate outcome of these matters cannot be predicted. The resolution of any such legal proceedings, either individually or in the aggregate, could have a material adverse effect on Windstream's business, financial position or results of operations, which, in turn, could have a material adverse effect on our business, financial position or results of operations if Windstream is unable to meet their indemnification obligations.</w:t>
      </w:r>
    </w:p>
    <w:p>
      <w:pPr>
        <w:spacing w:after="0" w:line="18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4. Mine Safety Disclosures.</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color w:val="auto"/>
        </w:rPr>
        <w:t>None</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131" w:right="219" w:bottom="1440" w:gutter="0" w:footer="0" w:header="0"/>
        </w:sectPr>
      </w:pPr>
    </w:p>
    <w:bookmarkStart w:id="22" w:name="page23"/>
    <w:bookmarkEnd w:id="22"/>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7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PART II</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5. Market for Registrant’s Common Equity, Related Stockholder Matters and Issuer Purchases of Equity Securities.</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Market Information</w:t>
      </w:r>
    </w:p>
    <w:p>
      <w:pPr>
        <w:spacing w:after="0" w:line="82" w:lineRule="exact"/>
        <w:rPr>
          <w:sz w:val="20"/>
          <w:szCs w:val="20"/>
          <w:color w:val="auto"/>
        </w:rPr>
      </w:pPr>
    </w:p>
    <w:p>
      <w:pPr>
        <w:ind w:right="20"/>
        <w:spacing w:after="0" w:line="263" w:lineRule="auto"/>
        <w:rPr>
          <w:sz w:val="20"/>
          <w:szCs w:val="20"/>
          <w:color w:val="auto"/>
        </w:rPr>
      </w:pPr>
      <w:r>
        <w:rPr>
          <w:rFonts w:ascii="Arial" w:cs="Arial" w:eastAsia="Arial" w:hAnsi="Arial"/>
          <w:sz w:val="12"/>
          <w:szCs w:val="12"/>
          <w:color w:val="auto"/>
        </w:rPr>
        <w:t>Our common stock is traded on the NASDAQ Global Select Market under the symbol “UNIT.” It has been our policy to declare quarterly dividends to common shareholders so as to comply with the provisions of the Internal Revenue Code governing REITs. The following table sets forth, for the periods indicated, the high and low sales prices per share of our common stock as reported on the NASDAQ Global Select Market, and the cash dividends declared per common share:</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w w:val="89"/>
              </w:rPr>
              <w:t>Per Share</w:t>
            </w:r>
          </w:p>
        </w:tc>
      </w:tr>
      <w:tr>
        <w:trPr>
          <w:trHeight w:val="114"/>
        </w:trPr>
        <w:tc>
          <w:tcPr>
            <w:tcW w:w="7780" w:type="dxa"/>
            <w:vAlign w:val="bottom"/>
            <w:tcBorders>
              <w:bottom w:val="single" w:sz="8" w:color="auto"/>
            </w:tcBorders>
          </w:tcPr>
          <w:p>
            <w:pPr>
              <w:spacing w:after="0" w:line="114" w:lineRule="exact"/>
              <w:rPr>
                <w:sz w:val="20"/>
                <w:szCs w:val="20"/>
                <w:color w:val="auto"/>
              </w:rPr>
            </w:pPr>
            <w:r>
              <w:rPr>
                <w:rFonts w:ascii="Arial" w:cs="Arial" w:eastAsia="Arial" w:hAnsi="Arial"/>
                <w:sz w:val="10"/>
                <w:szCs w:val="10"/>
                <w:b w:val="1"/>
                <w:bCs w:val="1"/>
                <w:color w:val="auto"/>
              </w:rPr>
              <w:t>2017</w:t>
            </w:r>
          </w:p>
        </w:tc>
        <w:tc>
          <w:tcPr>
            <w:tcW w:w="180" w:type="dxa"/>
            <w:vAlign w:val="bottom"/>
            <w:tcBorders>
              <w:bottom w:val="single" w:sz="8" w:color="CFF0FC"/>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jc w:val="right"/>
              <w:ind w:right="282"/>
              <w:spacing w:after="0" w:line="114" w:lineRule="exact"/>
              <w:rPr>
                <w:sz w:val="20"/>
                <w:szCs w:val="20"/>
                <w:color w:val="auto"/>
              </w:rPr>
            </w:pPr>
            <w:r>
              <w:rPr>
                <w:rFonts w:ascii="Arial" w:cs="Arial" w:eastAsia="Arial" w:hAnsi="Arial"/>
                <w:sz w:val="10"/>
                <w:szCs w:val="10"/>
                <w:b w:val="1"/>
                <w:bCs w:val="1"/>
                <w:color w:val="auto"/>
              </w:rPr>
              <w:t>High</w:t>
            </w:r>
          </w:p>
        </w:tc>
        <w:tc>
          <w:tcPr>
            <w:tcW w:w="280" w:type="dxa"/>
            <w:vAlign w:val="bottom"/>
            <w:tcBorders>
              <w:bottom w:val="single" w:sz="8" w:color="CFF0FC"/>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jc w:val="right"/>
              <w:ind w:right="282"/>
              <w:spacing w:after="0" w:line="114" w:lineRule="exact"/>
              <w:rPr>
                <w:sz w:val="20"/>
                <w:szCs w:val="20"/>
                <w:color w:val="auto"/>
              </w:rPr>
            </w:pPr>
            <w:r>
              <w:rPr>
                <w:rFonts w:ascii="Arial" w:cs="Arial" w:eastAsia="Arial" w:hAnsi="Arial"/>
                <w:sz w:val="10"/>
                <w:szCs w:val="10"/>
                <w:b w:val="1"/>
                <w:bCs w:val="1"/>
                <w:color w:val="auto"/>
              </w:rPr>
              <w:t>Low</w:t>
            </w:r>
          </w:p>
        </w:tc>
        <w:tc>
          <w:tcPr>
            <w:tcW w:w="300" w:type="dxa"/>
            <w:vAlign w:val="bottom"/>
            <w:tcBorders>
              <w:bottom w:val="single" w:sz="8" w:color="CFF0FC"/>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jc w:val="center"/>
              <w:ind w:right="144"/>
              <w:spacing w:after="0" w:line="114" w:lineRule="exact"/>
              <w:rPr>
                <w:sz w:val="20"/>
                <w:szCs w:val="20"/>
                <w:color w:val="auto"/>
              </w:rPr>
            </w:pPr>
            <w:r>
              <w:rPr>
                <w:rFonts w:ascii="Arial" w:cs="Arial" w:eastAsia="Arial" w:hAnsi="Arial"/>
                <w:sz w:val="10"/>
                <w:szCs w:val="10"/>
                <w:b w:val="1"/>
                <w:bCs w:val="1"/>
                <w:color w:val="auto"/>
                <w:w w:val="89"/>
              </w:rPr>
              <w:t>Declared</w:t>
            </w:r>
          </w:p>
        </w:tc>
        <w:tc>
          <w:tcPr>
            <w:tcW w:w="120" w:type="dxa"/>
            <w:vAlign w:val="bottom"/>
            <w:tcBorders>
              <w:bottom w:val="single" w:sz="8" w:color="CFF0FC"/>
            </w:tcBorders>
          </w:tcPr>
          <w:p>
            <w:pPr>
              <w:spacing w:after="0"/>
              <w:rPr>
                <w:sz w:val="9"/>
                <w:szCs w:val="9"/>
                <w:color w:val="auto"/>
              </w:rPr>
            </w:pPr>
          </w:p>
        </w:tc>
      </w:tr>
      <w:tr>
        <w:trPr>
          <w:trHeight w:val="142"/>
        </w:trPr>
        <w:tc>
          <w:tcPr>
            <w:tcW w:w="7780" w:type="dxa"/>
            <w:vAlign w:val="bottom"/>
            <w:shd w:val="clear" w:color="auto" w:fill="CFF0FC"/>
          </w:tcPr>
          <w:p>
            <w:pPr>
              <w:spacing w:after="0"/>
              <w:rPr>
                <w:sz w:val="20"/>
                <w:szCs w:val="20"/>
                <w:color w:val="auto"/>
              </w:rPr>
            </w:pPr>
            <w:r>
              <w:rPr>
                <w:rFonts w:ascii="Arial" w:cs="Arial" w:eastAsia="Arial" w:hAnsi="Arial"/>
                <w:sz w:val="12"/>
                <w:szCs w:val="12"/>
                <w:color w:val="auto"/>
              </w:rPr>
              <w:t>Quarter ended March 31</w:t>
            </w:r>
          </w:p>
        </w:tc>
        <w:tc>
          <w:tcPr>
            <w:tcW w:w="38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29.65</w:t>
            </w:r>
          </w:p>
        </w:tc>
        <w:tc>
          <w:tcPr>
            <w:tcW w:w="280" w:type="dxa"/>
            <w:vAlign w:val="bottom"/>
            <w:shd w:val="clear" w:color="auto" w:fill="CFF0FC"/>
          </w:tcPr>
          <w:p>
            <w:pPr>
              <w:spacing w:after="0"/>
              <w:rPr>
                <w:sz w:val="12"/>
                <w:szCs w:val="12"/>
                <w:color w:val="auto"/>
              </w:rPr>
            </w:pPr>
          </w:p>
        </w:tc>
        <w:tc>
          <w:tcPr>
            <w:tcW w:w="200" w:type="dxa"/>
            <w:vAlign w:val="bottom"/>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25.20</w:t>
            </w:r>
          </w:p>
        </w:tc>
        <w:tc>
          <w:tcPr>
            <w:tcW w:w="50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0.60</w:t>
            </w:r>
          </w:p>
        </w:tc>
        <w:tc>
          <w:tcPr>
            <w:tcW w:w="120" w:type="dxa"/>
            <w:vAlign w:val="bottom"/>
            <w:shd w:val="clear" w:color="auto" w:fill="CFF0FC"/>
          </w:tcPr>
          <w:p>
            <w:pPr>
              <w:spacing w:after="0"/>
              <w:rPr>
                <w:sz w:val="12"/>
                <w:szCs w:val="12"/>
                <w:color w:val="auto"/>
              </w:rPr>
            </w:pPr>
          </w:p>
        </w:tc>
      </w:tr>
      <w:tr>
        <w:trPr>
          <w:trHeight w:val="153"/>
        </w:trPr>
        <w:tc>
          <w:tcPr>
            <w:tcW w:w="7780" w:type="dxa"/>
            <w:vAlign w:val="bottom"/>
          </w:tcPr>
          <w:p>
            <w:pPr>
              <w:spacing w:after="0"/>
              <w:rPr>
                <w:sz w:val="20"/>
                <w:szCs w:val="20"/>
                <w:color w:val="auto"/>
              </w:rPr>
            </w:pPr>
            <w:r>
              <w:rPr>
                <w:rFonts w:ascii="Arial" w:cs="Arial" w:eastAsia="Arial" w:hAnsi="Arial"/>
                <w:sz w:val="12"/>
                <w:szCs w:val="12"/>
                <w:color w:val="auto"/>
              </w:rPr>
              <w:t>Quarter ended June 30</w:t>
            </w:r>
          </w:p>
        </w:tc>
        <w:tc>
          <w:tcPr>
            <w:tcW w:w="3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27.78</w:t>
            </w:r>
          </w:p>
        </w:tc>
        <w:tc>
          <w:tcPr>
            <w:tcW w:w="280" w:type="dxa"/>
            <w:vAlign w:val="bottom"/>
          </w:tcPr>
          <w:p>
            <w:pPr>
              <w:spacing w:after="0"/>
              <w:rPr>
                <w:sz w:val="13"/>
                <w:szCs w:val="13"/>
                <w:color w:val="auto"/>
              </w:rPr>
            </w:pP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23.15</w:t>
            </w:r>
          </w:p>
        </w:tc>
        <w:tc>
          <w:tcPr>
            <w:tcW w:w="5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0.60</w:t>
            </w:r>
          </w:p>
        </w:tc>
        <w:tc>
          <w:tcPr>
            <w:tcW w:w="120" w:type="dxa"/>
            <w:vAlign w:val="bottom"/>
          </w:tcPr>
          <w:p>
            <w:pPr>
              <w:spacing w:after="0"/>
              <w:rPr>
                <w:sz w:val="13"/>
                <w:szCs w:val="13"/>
                <w:color w:val="auto"/>
              </w:rPr>
            </w:pPr>
          </w:p>
        </w:tc>
      </w:tr>
      <w:tr>
        <w:trPr>
          <w:trHeight w:val="153"/>
        </w:trPr>
        <w:tc>
          <w:tcPr>
            <w:tcW w:w="7780" w:type="dxa"/>
            <w:vAlign w:val="bottom"/>
            <w:shd w:val="clear" w:color="auto" w:fill="CFF0FC"/>
          </w:tcPr>
          <w:p>
            <w:pPr>
              <w:spacing w:after="0"/>
              <w:rPr>
                <w:sz w:val="20"/>
                <w:szCs w:val="20"/>
                <w:color w:val="auto"/>
              </w:rPr>
            </w:pPr>
            <w:r>
              <w:rPr>
                <w:rFonts w:ascii="Arial" w:cs="Arial" w:eastAsia="Arial" w:hAnsi="Arial"/>
                <w:sz w:val="12"/>
                <w:szCs w:val="12"/>
                <w:color w:val="auto"/>
              </w:rPr>
              <w:t>Quarter ended September 30</w:t>
            </w:r>
          </w:p>
        </w:tc>
        <w:tc>
          <w:tcPr>
            <w:tcW w:w="38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26.55</w:t>
            </w:r>
          </w:p>
        </w:tc>
        <w:tc>
          <w:tcPr>
            <w:tcW w:w="280" w:type="dxa"/>
            <w:vAlign w:val="bottom"/>
            <w:shd w:val="clear" w:color="auto" w:fill="CFF0FC"/>
          </w:tcPr>
          <w:p>
            <w:pPr>
              <w:spacing w:after="0"/>
              <w:rPr>
                <w:sz w:val="13"/>
                <w:szCs w:val="13"/>
                <w:color w:val="auto"/>
              </w:rPr>
            </w:pPr>
          </w:p>
        </w:tc>
        <w:tc>
          <w:tcPr>
            <w:tcW w:w="200" w:type="dxa"/>
            <w:vAlign w:val="bottom"/>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13.81</w:t>
            </w:r>
          </w:p>
        </w:tc>
        <w:tc>
          <w:tcPr>
            <w:tcW w:w="50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0.60</w:t>
            </w:r>
          </w:p>
        </w:tc>
        <w:tc>
          <w:tcPr>
            <w:tcW w:w="120" w:type="dxa"/>
            <w:vAlign w:val="bottom"/>
            <w:shd w:val="clear" w:color="auto" w:fill="CFF0FC"/>
          </w:tcPr>
          <w:p>
            <w:pPr>
              <w:spacing w:after="0"/>
              <w:rPr>
                <w:sz w:val="13"/>
                <w:szCs w:val="13"/>
                <w:color w:val="auto"/>
              </w:rPr>
            </w:pPr>
          </w:p>
        </w:tc>
      </w:tr>
      <w:tr>
        <w:trPr>
          <w:trHeight w:val="153"/>
        </w:trPr>
        <w:tc>
          <w:tcPr>
            <w:tcW w:w="7780" w:type="dxa"/>
            <w:vAlign w:val="bottom"/>
          </w:tcPr>
          <w:p>
            <w:pPr>
              <w:spacing w:after="0"/>
              <w:rPr>
                <w:sz w:val="20"/>
                <w:szCs w:val="20"/>
                <w:color w:val="auto"/>
              </w:rPr>
            </w:pPr>
            <w:r>
              <w:rPr>
                <w:rFonts w:ascii="Arial" w:cs="Arial" w:eastAsia="Arial" w:hAnsi="Arial"/>
                <w:sz w:val="12"/>
                <w:szCs w:val="12"/>
                <w:color w:val="auto"/>
              </w:rPr>
              <w:t>Quarter ended December 31</w:t>
            </w:r>
          </w:p>
        </w:tc>
        <w:tc>
          <w:tcPr>
            <w:tcW w:w="3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18.64</w:t>
            </w:r>
          </w:p>
        </w:tc>
        <w:tc>
          <w:tcPr>
            <w:tcW w:w="280" w:type="dxa"/>
            <w:vAlign w:val="bottom"/>
          </w:tcPr>
          <w:p>
            <w:pPr>
              <w:spacing w:after="0"/>
              <w:rPr>
                <w:sz w:val="13"/>
                <w:szCs w:val="13"/>
                <w:color w:val="auto"/>
              </w:rPr>
            </w:pP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14.18</w:t>
            </w:r>
          </w:p>
        </w:tc>
        <w:tc>
          <w:tcPr>
            <w:tcW w:w="5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0.60</w:t>
            </w:r>
          </w:p>
        </w:tc>
        <w:tc>
          <w:tcPr>
            <w:tcW w:w="120" w:type="dxa"/>
            <w:vAlign w:val="bottom"/>
          </w:tcPr>
          <w:p>
            <w:pPr>
              <w:spacing w:after="0"/>
              <w:rPr>
                <w:sz w:val="13"/>
                <w:szCs w:val="13"/>
                <w:color w:val="auto"/>
              </w:rPr>
            </w:pPr>
          </w:p>
        </w:tc>
      </w:tr>
      <w:tr>
        <w:trPr>
          <w:trHeight w:val="256"/>
        </w:trPr>
        <w:tc>
          <w:tcPr>
            <w:tcW w:w="77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w w:val="89"/>
              </w:rPr>
              <w:t>Per Share</w:t>
            </w:r>
          </w:p>
        </w:tc>
      </w:tr>
      <w:tr>
        <w:trPr>
          <w:trHeight w:val="114"/>
        </w:trPr>
        <w:tc>
          <w:tcPr>
            <w:tcW w:w="7780" w:type="dxa"/>
            <w:vAlign w:val="bottom"/>
            <w:tcBorders>
              <w:bottom w:val="single" w:sz="8" w:color="auto"/>
            </w:tcBorders>
          </w:tcPr>
          <w:p>
            <w:pPr>
              <w:spacing w:after="0" w:line="114" w:lineRule="exact"/>
              <w:rPr>
                <w:sz w:val="20"/>
                <w:szCs w:val="20"/>
                <w:color w:val="auto"/>
              </w:rPr>
            </w:pPr>
            <w:r>
              <w:rPr>
                <w:rFonts w:ascii="Arial" w:cs="Arial" w:eastAsia="Arial" w:hAnsi="Arial"/>
                <w:sz w:val="10"/>
                <w:szCs w:val="10"/>
                <w:b w:val="1"/>
                <w:bCs w:val="1"/>
                <w:color w:val="auto"/>
              </w:rPr>
              <w:t>2016</w:t>
            </w:r>
          </w:p>
        </w:tc>
        <w:tc>
          <w:tcPr>
            <w:tcW w:w="180" w:type="dxa"/>
            <w:vAlign w:val="bottom"/>
            <w:tcBorders>
              <w:bottom w:val="single" w:sz="8" w:color="CFF0FC"/>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jc w:val="right"/>
              <w:ind w:right="282"/>
              <w:spacing w:after="0" w:line="114" w:lineRule="exact"/>
              <w:rPr>
                <w:sz w:val="20"/>
                <w:szCs w:val="20"/>
                <w:color w:val="auto"/>
              </w:rPr>
            </w:pPr>
            <w:r>
              <w:rPr>
                <w:rFonts w:ascii="Arial" w:cs="Arial" w:eastAsia="Arial" w:hAnsi="Arial"/>
                <w:sz w:val="10"/>
                <w:szCs w:val="10"/>
                <w:b w:val="1"/>
                <w:bCs w:val="1"/>
                <w:color w:val="auto"/>
              </w:rPr>
              <w:t>High</w:t>
            </w:r>
          </w:p>
        </w:tc>
        <w:tc>
          <w:tcPr>
            <w:tcW w:w="280" w:type="dxa"/>
            <w:vAlign w:val="bottom"/>
            <w:tcBorders>
              <w:bottom w:val="single" w:sz="8" w:color="CFF0FC"/>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jc w:val="right"/>
              <w:ind w:right="282"/>
              <w:spacing w:after="0" w:line="114" w:lineRule="exact"/>
              <w:rPr>
                <w:sz w:val="20"/>
                <w:szCs w:val="20"/>
                <w:color w:val="auto"/>
              </w:rPr>
            </w:pPr>
            <w:r>
              <w:rPr>
                <w:rFonts w:ascii="Arial" w:cs="Arial" w:eastAsia="Arial" w:hAnsi="Arial"/>
                <w:sz w:val="10"/>
                <w:szCs w:val="10"/>
                <w:b w:val="1"/>
                <w:bCs w:val="1"/>
                <w:color w:val="auto"/>
              </w:rPr>
              <w:t>Low</w:t>
            </w:r>
          </w:p>
        </w:tc>
        <w:tc>
          <w:tcPr>
            <w:tcW w:w="300" w:type="dxa"/>
            <w:vAlign w:val="bottom"/>
            <w:tcBorders>
              <w:bottom w:val="single" w:sz="8" w:color="CFF0FC"/>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jc w:val="center"/>
              <w:ind w:right="144"/>
              <w:spacing w:after="0" w:line="114" w:lineRule="exact"/>
              <w:rPr>
                <w:sz w:val="20"/>
                <w:szCs w:val="20"/>
                <w:color w:val="auto"/>
              </w:rPr>
            </w:pPr>
            <w:r>
              <w:rPr>
                <w:rFonts w:ascii="Arial" w:cs="Arial" w:eastAsia="Arial" w:hAnsi="Arial"/>
                <w:sz w:val="10"/>
                <w:szCs w:val="10"/>
                <w:b w:val="1"/>
                <w:bCs w:val="1"/>
                <w:color w:val="auto"/>
                <w:w w:val="89"/>
              </w:rPr>
              <w:t>Declared</w:t>
            </w:r>
          </w:p>
        </w:tc>
        <w:tc>
          <w:tcPr>
            <w:tcW w:w="120" w:type="dxa"/>
            <w:vAlign w:val="bottom"/>
            <w:tcBorders>
              <w:bottom w:val="single" w:sz="8" w:color="CFF0FC"/>
            </w:tcBorders>
          </w:tcPr>
          <w:p>
            <w:pPr>
              <w:spacing w:after="0"/>
              <w:rPr>
                <w:sz w:val="9"/>
                <w:szCs w:val="9"/>
                <w:color w:val="auto"/>
              </w:rPr>
            </w:pPr>
          </w:p>
        </w:tc>
      </w:tr>
      <w:tr>
        <w:trPr>
          <w:trHeight w:val="142"/>
        </w:trPr>
        <w:tc>
          <w:tcPr>
            <w:tcW w:w="7780" w:type="dxa"/>
            <w:vAlign w:val="bottom"/>
            <w:shd w:val="clear" w:color="auto" w:fill="CFF0FC"/>
          </w:tcPr>
          <w:p>
            <w:pPr>
              <w:spacing w:after="0"/>
              <w:rPr>
                <w:sz w:val="20"/>
                <w:szCs w:val="20"/>
                <w:color w:val="auto"/>
              </w:rPr>
            </w:pPr>
            <w:r>
              <w:rPr>
                <w:rFonts w:ascii="Arial" w:cs="Arial" w:eastAsia="Arial" w:hAnsi="Arial"/>
                <w:sz w:val="12"/>
                <w:szCs w:val="12"/>
                <w:color w:val="auto"/>
              </w:rPr>
              <w:t>Quarter ended March 31</w:t>
            </w:r>
          </w:p>
        </w:tc>
        <w:tc>
          <w:tcPr>
            <w:tcW w:w="38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22.91</w:t>
            </w:r>
          </w:p>
        </w:tc>
        <w:tc>
          <w:tcPr>
            <w:tcW w:w="280" w:type="dxa"/>
            <w:vAlign w:val="bottom"/>
            <w:shd w:val="clear" w:color="auto" w:fill="CFF0FC"/>
          </w:tcPr>
          <w:p>
            <w:pPr>
              <w:spacing w:after="0"/>
              <w:rPr>
                <w:sz w:val="12"/>
                <w:szCs w:val="12"/>
                <w:color w:val="auto"/>
              </w:rPr>
            </w:pPr>
          </w:p>
        </w:tc>
        <w:tc>
          <w:tcPr>
            <w:tcW w:w="200" w:type="dxa"/>
            <w:vAlign w:val="bottom"/>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15.13</w:t>
            </w:r>
          </w:p>
        </w:tc>
        <w:tc>
          <w:tcPr>
            <w:tcW w:w="50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0.60</w:t>
            </w:r>
          </w:p>
        </w:tc>
        <w:tc>
          <w:tcPr>
            <w:tcW w:w="120" w:type="dxa"/>
            <w:vAlign w:val="bottom"/>
            <w:shd w:val="clear" w:color="auto" w:fill="CFF0FC"/>
          </w:tcPr>
          <w:p>
            <w:pPr>
              <w:spacing w:after="0"/>
              <w:rPr>
                <w:sz w:val="12"/>
                <w:szCs w:val="12"/>
                <w:color w:val="auto"/>
              </w:rPr>
            </w:pPr>
          </w:p>
        </w:tc>
      </w:tr>
      <w:tr>
        <w:trPr>
          <w:trHeight w:val="153"/>
        </w:trPr>
        <w:tc>
          <w:tcPr>
            <w:tcW w:w="7780" w:type="dxa"/>
            <w:vAlign w:val="bottom"/>
          </w:tcPr>
          <w:p>
            <w:pPr>
              <w:spacing w:after="0"/>
              <w:rPr>
                <w:sz w:val="20"/>
                <w:szCs w:val="20"/>
                <w:color w:val="auto"/>
              </w:rPr>
            </w:pPr>
            <w:r>
              <w:rPr>
                <w:rFonts w:ascii="Arial" w:cs="Arial" w:eastAsia="Arial" w:hAnsi="Arial"/>
                <w:sz w:val="12"/>
                <w:szCs w:val="12"/>
                <w:color w:val="auto"/>
              </w:rPr>
              <w:t>Quarter ended June 30</w:t>
            </w:r>
          </w:p>
        </w:tc>
        <w:tc>
          <w:tcPr>
            <w:tcW w:w="3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29.57</w:t>
            </w:r>
          </w:p>
        </w:tc>
        <w:tc>
          <w:tcPr>
            <w:tcW w:w="280" w:type="dxa"/>
            <w:vAlign w:val="bottom"/>
          </w:tcPr>
          <w:p>
            <w:pPr>
              <w:spacing w:after="0"/>
              <w:rPr>
                <w:sz w:val="13"/>
                <w:szCs w:val="13"/>
                <w:color w:val="auto"/>
              </w:rPr>
            </w:pP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21.63</w:t>
            </w:r>
          </w:p>
        </w:tc>
        <w:tc>
          <w:tcPr>
            <w:tcW w:w="5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0.60</w:t>
            </w:r>
          </w:p>
        </w:tc>
        <w:tc>
          <w:tcPr>
            <w:tcW w:w="120" w:type="dxa"/>
            <w:vAlign w:val="bottom"/>
          </w:tcPr>
          <w:p>
            <w:pPr>
              <w:spacing w:after="0"/>
              <w:rPr>
                <w:sz w:val="13"/>
                <w:szCs w:val="13"/>
                <w:color w:val="auto"/>
              </w:rPr>
            </w:pPr>
          </w:p>
        </w:tc>
      </w:tr>
      <w:tr>
        <w:trPr>
          <w:trHeight w:val="153"/>
        </w:trPr>
        <w:tc>
          <w:tcPr>
            <w:tcW w:w="7780" w:type="dxa"/>
            <w:vAlign w:val="bottom"/>
            <w:shd w:val="clear" w:color="auto" w:fill="CFF0FC"/>
          </w:tcPr>
          <w:p>
            <w:pPr>
              <w:spacing w:after="0"/>
              <w:rPr>
                <w:sz w:val="20"/>
                <w:szCs w:val="20"/>
                <w:color w:val="auto"/>
              </w:rPr>
            </w:pPr>
            <w:r>
              <w:rPr>
                <w:rFonts w:ascii="Arial" w:cs="Arial" w:eastAsia="Arial" w:hAnsi="Arial"/>
                <w:sz w:val="12"/>
                <w:szCs w:val="12"/>
                <w:color w:val="auto"/>
              </w:rPr>
              <w:t>Quarter ended September 30</w:t>
            </w:r>
          </w:p>
        </w:tc>
        <w:tc>
          <w:tcPr>
            <w:tcW w:w="38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32.73</w:t>
            </w:r>
          </w:p>
        </w:tc>
        <w:tc>
          <w:tcPr>
            <w:tcW w:w="280" w:type="dxa"/>
            <w:vAlign w:val="bottom"/>
            <w:shd w:val="clear" w:color="auto" w:fill="CFF0FC"/>
          </w:tcPr>
          <w:p>
            <w:pPr>
              <w:spacing w:after="0"/>
              <w:rPr>
                <w:sz w:val="13"/>
                <w:szCs w:val="13"/>
                <w:color w:val="auto"/>
              </w:rPr>
            </w:pPr>
          </w:p>
        </w:tc>
        <w:tc>
          <w:tcPr>
            <w:tcW w:w="200" w:type="dxa"/>
            <w:vAlign w:val="bottom"/>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28.71</w:t>
            </w:r>
          </w:p>
        </w:tc>
        <w:tc>
          <w:tcPr>
            <w:tcW w:w="50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0.60</w:t>
            </w:r>
          </w:p>
        </w:tc>
        <w:tc>
          <w:tcPr>
            <w:tcW w:w="120" w:type="dxa"/>
            <w:vAlign w:val="bottom"/>
            <w:shd w:val="clear" w:color="auto" w:fill="CFF0FC"/>
          </w:tcPr>
          <w:p>
            <w:pPr>
              <w:spacing w:after="0"/>
              <w:rPr>
                <w:sz w:val="13"/>
                <w:szCs w:val="13"/>
                <w:color w:val="auto"/>
              </w:rPr>
            </w:pPr>
          </w:p>
        </w:tc>
      </w:tr>
      <w:tr>
        <w:trPr>
          <w:trHeight w:val="153"/>
        </w:trPr>
        <w:tc>
          <w:tcPr>
            <w:tcW w:w="7780" w:type="dxa"/>
            <w:vAlign w:val="bottom"/>
          </w:tcPr>
          <w:p>
            <w:pPr>
              <w:spacing w:after="0"/>
              <w:rPr>
                <w:sz w:val="20"/>
                <w:szCs w:val="20"/>
                <w:color w:val="auto"/>
              </w:rPr>
            </w:pPr>
            <w:r>
              <w:rPr>
                <w:rFonts w:ascii="Arial" w:cs="Arial" w:eastAsia="Arial" w:hAnsi="Arial"/>
                <w:sz w:val="12"/>
                <w:szCs w:val="12"/>
                <w:color w:val="auto"/>
              </w:rPr>
              <w:t>Quarter ended December 31</w:t>
            </w:r>
          </w:p>
        </w:tc>
        <w:tc>
          <w:tcPr>
            <w:tcW w:w="3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31.54</w:t>
            </w:r>
          </w:p>
        </w:tc>
        <w:tc>
          <w:tcPr>
            <w:tcW w:w="280" w:type="dxa"/>
            <w:vAlign w:val="bottom"/>
          </w:tcPr>
          <w:p>
            <w:pPr>
              <w:spacing w:after="0"/>
              <w:rPr>
                <w:sz w:val="13"/>
                <w:szCs w:val="13"/>
                <w:color w:val="auto"/>
              </w:rPr>
            </w:pP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22.50</w:t>
            </w:r>
          </w:p>
        </w:tc>
        <w:tc>
          <w:tcPr>
            <w:tcW w:w="5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0.60</w:t>
            </w:r>
          </w:p>
        </w:tc>
        <w:tc>
          <w:tcPr>
            <w:tcW w:w="120" w:type="dxa"/>
            <w:vAlign w:val="bottom"/>
          </w:tcPr>
          <w:p>
            <w:pPr>
              <w:spacing w:after="0"/>
              <w:rPr>
                <w:sz w:val="13"/>
                <w:szCs w:val="13"/>
                <w:color w:val="auto"/>
              </w:rPr>
            </w:pPr>
          </w:p>
        </w:tc>
      </w:tr>
    </w:tbl>
    <w:p>
      <w:pPr>
        <w:spacing w:after="0" w:line="34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Holders</w:t>
      </w:r>
    </w:p>
    <w:p>
      <w:pPr>
        <w:spacing w:after="0" w:line="82" w:lineRule="exact"/>
        <w:rPr>
          <w:sz w:val="20"/>
          <w:szCs w:val="20"/>
          <w:color w:val="auto"/>
        </w:rPr>
      </w:pPr>
    </w:p>
    <w:p>
      <w:pPr>
        <w:ind w:right="100"/>
        <w:spacing w:after="0" w:line="276" w:lineRule="auto"/>
        <w:rPr>
          <w:sz w:val="20"/>
          <w:szCs w:val="20"/>
          <w:color w:val="auto"/>
        </w:rPr>
      </w:pPr>
      <w:r>
        <w:rPr>
          <w:rFonts w:ascii="Arial" w:cs="Arial" w:eastAsia="Arial" w:hAnsi="Arial"/>
          <w:sz w:val="12"/>
          <w:szCs w:val="12"/>
          <w:color w:val="auto"/>
        </w:rPr>
        <w:t>As of February 16, 2018, the closing price of our common stock was $16.13 per share as reported on the NASDAQ Global Select Market. As of February 16, 2018, we had 175,428,601 outstanding shares of common stock, 22,644 record holders and approximately 182,829 beneficial owners of our common stock.</w:t>
      </w:r>
    </w:p>
    <w:p>
      <w:pPr>
        <w:spacing w:after="0" w:line="18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Dividends (Distributions)</w:t>
      </w:r>
    </w:p>
    <w:p>
      <w:pPr>
        <w:spacing w:after="0" w:line="82" w:lineRule="exact"/>
        <w:rPr>
          <w:sz w:val="20"/>
          <w:szCs w:val="20"/>
          <w:color w:val="auto"/>
        </w:rPr>
      </w:pPr>
    </w:p>
    <w:p>
      <w:pPr>
        <w:spacing w:after="0"/>
        <w:rPr>
          <w:sz w:val="20"/>
          <w:szCs w:val="20"/>
          <w:color w:val="auto"/>
        </w:rPr>
      </w:pPr>
      <w:r>
        <w:rPr>
          <w:rFonts w:ascii="Arial" w:cs="Arial" w:eastAsia="Arial" w:hAnsi="Arial"/>
          <w:sz w:val="10"/>
          <w:szCs w:val="10"/>
          <w:color w:val="auto"/>
        </w:rPr>
        <w:t>Distributions with respect to our common stock is characterized for federal income tax purposes as taxable ordinary dividends, capital gains dividends, non-dividend distribution or a combination thereof. For the years ended December 31,</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2017 and 2016 and from April 24, 2015 to December 31, 2015 our common stock distribution per share was $2.40, $2.40, and $1.04, respectively, characterized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82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162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0"/>
                <w:szCs w:val="10"/>
                <w:b w:val="1"/>
                <w:bCs w:val="1"/>
                <w:color w:val="auto"/>
              </w:rPr>
              <w:t>Year Ended December 31,</w:t>
            </w:r>
          </w:p>
        </w:tc>
        <w:tc>
          <w:tcPr>
            <w:tcW w:w="142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100" w:type="dxa"/>
            <w:vAlign w:val="bottom"/>
            <w:gridSpan w:val="2"/>
          </w:tcPr>
          <w:p>
            <w:pPr>
              <w:ind w:left="600"/>
              <w:spacing w:after="0"/>
              <w:rPr>
                <w:sz w:val="20"/>
                <w:szCs w:val="20"/>
                <w:color w:val="auto"/>
              </w:rPr>
            </w:pPr>
            <w:r>
              <w:rPr>
                <w:rFonts w:ascii="Arial" w:cs="Arial" w:eastAsia="Arial" w:hAnsi="Arial"/>
                <w:sz w:val="10"/>
                <w:szCs w:val="10"/>
                <w:b w:val="1"/>
                <w:bCs w:val="1"/>
                <w:color w:val="auto"/>
              </w:rPr>
              <w:t>Period from</w:t>
            </w:r>
          </w:p>
        </w:tc>
      </w:tr>
      <w:tr>
        <w:trPr>
          <w:trHeight w:val="151"/>
        </w:trPr>
        <w:tc>
          <w:tcPr>
            <w:tcW w:w="2820" w:type="dxa"/>
            <w:vAlign w:val="bottom"/>
            <w:tcBorders>
              <w:bottom w:val="single" w:sz="8" w:color="CFF0FC"/>
            </w:tcBorders>
          </w:tcPr>
          <w:p>
            <w:pPr>
              <w:spacing w:after="0"/>
              <w:rPr>
                <w:sz w:val="13"/>
                <w:szCs w:val="13"/>
                <w:color w:val="auto"/>
              </w:rPr>
            </w:pPr>
          </w:p>
        </w:tc>
        <w:tc>
          <w:tcPr>
            <w:tcW w:w="1520" w:type="dxa"/>
            <w:vAlign w:val="bottom"/>
            <w:tcBorders>
              <w:bottom w:val="single" w:sz="8" w:color="CFF0FC"/>
            </w:tcBorders>
          </w:tcPr>
          <w:p>
            <w:pPr>
              <w:spacing w:after="0"/>
              <w:rPr>
                <w:sz w:val="13"/>
                <w:szCs w:val="13"/>
                <w:color w:val="auto"/>
              </w:rPr>
            </w:pPr>
          </w:p>
        </w:tc>
        <w:tc>
          <w:tcPr>
            <w:tcW w:w="1420" w:type="dxa"/>
            <w:vAlign w:val="bottom"/>
            <w:tcBorders>
              <w:bottom w:val="single" w:sz="8" w:color="auto"/>
            </w:tcBorders>
          </w:tcPr>
          <w:p>
            <w:pPr>
              <w:jc w:val="right"/>
              <w:ind w:right="232"/>
              <w:spacing w:after="0"/>
              <w:rPr>
                <w:sz w:val="20"/>
                <w:szCs w:val="20"/>
                <w:color w:val="auto"/>
              </w:rPr>
            </w:pPr>
            <w:r>
              <w:rPr>
                <w:rFonts w:ascii="Arial" w:cs="Arial" w:eastAsia="Arial" w:hAnsi="Arial"/>
                <w:sz w:val="10"/>
                <w:szCs w:val="10"/>
                <w:b w:val="1"/>
                <w:bCs w:val="1"/>
                <w:color w:val="auto"/>
              </w:rPr>
              <w:t>2017</w:t>
            </w:r>
          </w:p>
        </w:tc>
        <w:tc>
          <w:tcPr>
            <w:tcW w:w="680" w:type="dxa"/>
            <w:vAlign w:val="bottom"/>
            <w:tcBorders>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903"/>
              <w:spacing w:after="0"/>
              <w:rPr>
                <w:sz w:val="20"/>
                <w:szCs w:val="20"/>
                <w:color w:val="auto"/>
              </w:rPr>
            </w:pPr>
            <w:r>
              <w:rPr>
                <w:rFonts w:ascii="Arial" w:cs="Arial" w:eastAsia="Arial" w:hAnsi="Arial"/>
                <w:sz w:val="10"/>
                <w:szCs w:val="10"/>
                <w:b w:val="1"/>
                <w:bCs w:val="1"/>
                <w:color w:val="auto"/>
              </w:rPr>
              <w:t>2016</w:t>
            </w:r>
          </w:p>
        </w:tc>
        <w:tc>
          <w:tcPr>
            <w:tcW w:w="2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tcPr>
          <w:p>
            <w:pPr>
              <w:jc w:val="right"/>
              <w:ind w:right="485"/>
              <w:spacing w:after="0"/>
              <w:rPr>
                <w:sz w:val="20"/>
                <w:szCs w:val="20"/>
                <w:color w:val="auto"/>
              </w:rPr>
            </w:pPr>
            <w:r>
              <w:rPr>
                <w:rFonts w:ascii="Arial" w:cs="Arial" w:eastAsia="Arial" w:hAnsi="Arial"/>
                <w:sz w:val="10"/>
                <w:szCs w:val="10"/>
                <w:b w:val="1"/>
                <w:bCs w:val="1"/>
                <w:color w:val="auto"/>
              </w:rPr>
              <w:t>April 24 - December 31, 2015</w:t>
            </w:r>
          </w:p>
        </w:tc>
        <w:tc>
          <w:tcPr>
            <w:tcW w:w="120" w:type="dxa"/>
            <w:vAlign w:val="bottom"/>
            <w:tcBorders>
              <w:bottom w:val="single" w:sz="8" w:color="CFF0FC"/>
            </w:tcBorders>
          </w:tcPr>
          <w:p>
            <w:pPr>
              <w:spacing w:after="0"/>
              <w:rPr>
                <w:sz w:val="13"/>
                <w:szCs w:val="13"/>
                <w:color w:val="auto"/>
              </w:rPr>
            </w:pPr>
          </w:p>
        </w:tc>
      </w:tr>
      <w:tr>
        <w:trPr>
          <w:trHeight w:val="151"/>
        </w:trPr>
        <w:tc>
          <w:tcPr>
            <w:tcW w:w="2820" w:type="dxa"/>
            <w:vAlign w:val="bottom"/>
            <w:shd w:val="clear" w:color="auto" w:fill="CFF0FC"/>
          </w:tcPr>
          <w:p>
            <w:pPr>
              <w:spacing w:after="0"/>
              <w:rPr>
                <w:sz w:val="20"/>
                <w:szCs w:val="20"/>
                <w:color w:val="auto"/>
              </w:rPr>
            </w:pPr>
            <w:r>
              <w:rPr>
                <w:rFonts w:ascii="Arial" w:cs="Arial" w:eastAsia="Arial" w:hAnsi="Arial"/>
                <w:sz w:val="12"/>
                <w:szCs w:val="12"/>
                <w:color w:val="auto"/>
              </w:rPr>
              <w:t>Ordinary dividends</w:t>
            </w:r>
          </w:p>
        </w:tc>
        <w:tc>
          <w:tcPr>
            <w:tcW w:w="2940" w:type="dxa"/>
            <w:vAlign w:val="bottom"/>
            <w:gridSpan w:val="2"/>
            <w:shd w:val="clear" w:color="auto" w:fill="CFF0FC"/>
          </w:tcPr>
          <w:p>
            <w:pPr>
              <w:jc w:val="right"/>
              <w:ind w:right="1312"/>
              <w:spacing w:after="0"/>
              <w:rPr>
                <w:sz w:val="20"/>
                <w:szCs w:val="20"/>
                <w:color w:val="auto"/>
              </w:rPr>
            </w:pPr>
            <w:r>
              <w:rPr>
                <w:rFonts w:ascii="Arial" w:cs="Arial" w:eastAsia="Arial" w:hAnsi="Arial"/>
                <w:sz w:val="12"/>
                <w:szCs w:val="12"/>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1.22</w:t>
            </w:r>
          </w:p>
        </w:tc>
        <w:tc>
          <w:tcPr>
            <w:tcW w:w="940" w:type="dxa"/>
            <w:vAlign w:val="bottom"/>
            <w:gridSpan w:val="2"/>
            <w:shd w:val="clear" w:color="auto" w:fill="CFF0FC"/>
          </w:tcPr>
          <w:p>
            <w:pPr>
              <w:jc w:val="right"/>
              <w:ind w:right="620"/>
              <w:spacing w:after="0"/>
              <w:rPr>
                <w:sz w:val="20"/>
                <w:szCs w:val="20"/>
                <w:color w:val="auto"/>
              </w:rPr>
            </w:pPr>
            <w:r>
              <w:rPr>
                <w:rFonts w:ascii="Arial" w:cs="Arial" w:eastAsia="Arial" w:hAnsi="Arial"/>
                <w:sz w:val="12"/>
                <w:szCs w:val="12"/>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1.31</w:t>
            </w:r>
          </w:p>
        </w:tc>
        <w:tc>
          <w:tcPr>
            <w:tcW w:w="58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9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0.87</w:t>
            </w:r>
          </w:p>
        </w:tc>
        <w:tc>
          <w:tcPr>
            <w:tcW w:w="120" w:type="dxa"/>
            <w:vAlign w:val="bottom"/>
            <w:shd w:val="clear" w:color="auto" w:fill="CFF0FC"/>
          </w:tcPr>
          <w:p>
            <w:pPr>
              <w:spacing w:after="0"/>
              <w:rPr>
                <w:sz w:val="13"/>
                <w:szCs w:val="13"/>
                <w:color w:val="auto"/>
              </w:rPr>
            </w:pPr>
          </w:p>
        </w:tc>
      </w:tr>
      <w:tr>
        <w:trPr>
          <w:trHeight w:val="162"/>
        </w:trPr>
        <w:tc>
          <w:tcPr>
            <w:tcW w:w="2820" w:type="dxa"/>
            <w:vAlign w:val="bottom"/>
            <w:tcBorders>
              <w:bottom w:val="single" w:sz="8" w:color="CFF0FC"/>
            </w:tcBorders>
          </w:tcPr>
          <w:p>
            <w:pPr>
              <w:spacing w:after="0"/>
              <w:rPr>
                <w:sz w:val="20"/>
                <w:szCs w:val="20"/>
                <w:color w:val="auto"/>
              </w:rPr>
            </w:pPr>
            <w:r>
              <w:rPr>
                <w:rFonts w:ascii="Arial" w:cs="Arial" w:eastAsia="Arial" w:hAnsi="Arial"/>
                <w:sz w:val="12"/>
                <w:szCs w:val="12"/>
                <w:color w:val="auto"/>
              </w:rPr>
              <w:t>Non-dividend distributions</w:t>
            </w:r>
          </w:p>
        </w:tc>
        <w:tc>
          <w:tcPr>
            <w:tcW w:w="1520" w:type="dxa"/>
            <w:vAlign w:val="bottom"/>
            <w:tcBorders>
              <w:bottom w:val="single" w:sz="8" w:color="CFF0FC"/>
            </w:tcBorders>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1.18</w:t>
            </w:r>
          </w:p>
        </w:tc>
        <w:tc>
          <w:tcPr>
            <w:tcW w:w="260" w:type="dxa"/>
            <w:vAlign w:val="bottom"/>
            <w:tcBorders>
              <w:bottom w:val="single" w:sz="8" w:color="CFF0FC"/>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1.09</w:t>
            </w:r>
          </w:p>
        </w:tc>
        <w:tc>
          <w:tcPr>
            <w:tcW w:w="28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0.17</w:t>
            </w:r>
          </w:p>
        </w:tc>
        <w:tc>
          <w:tcPr>
            <w:tcW w:w="120" w:type="dxa"/>
            <w:vAlign w:val="bottom"/>
            <w:tcBorders>
              <w:bottom w:val="single" w:sz="8" w:color="CFF0FC"/>
            </w:tcBorders>
          </w:tcPr>
          <w:p>
            <w:pPr>
              <w:spacing w:after="0"/>
              <w:rPr>
                <w:sz w:val="14"/>
                <w:szCs w:val="14"/>
                <w:color w:val="auto"/>
              </w:rPr>
            </w:pPr>
          </w:p>
        </w:tc>
      </w:tr>
      <w:tr>
        <w:trPr>
          <w:trHeight w:val="151"/>
        </w:trPr>
        <w:tc>
          <w:tcPr>
            <w:tcW w:w="2820" w:type="dxa"/>
            <w:vAlign w:val="bottom"/>
            <w:shd w:val="clear" w:color="auto" w:fill="CFF0FC"/>
          </w:tcPr>
          <w:p>
            <w:pPr>
              <w:spacing w:after="0"/>
              <w:rPr>
                <w:sz w:val="20"/>
                <w:szCs w:val="20"/>
                <w:color w:val="auto"/>
              </w:rPr>
            </w:pPr>
            <w:r>
              <w:rPr>
                <w:rFonts w:ascii="Arial" w:cs="Arial" w:eastAsia="Arial" w:hAnsi="Arial"/>
                <w:sz w:val="12"/>
                <w:szCs w:val="12"/>
                <w:color w:val="auto"/>
              </w:rPr>
              <w:t>Total</w:t>
            </w:r>
          </w:p>
        </w:tc>
        <w:tc>
          <w:tcPr>
            <w:tcW w:w="2940" w:type="dxa"/>
            <w:vAlign w:val="bottom"/>
            <w:gridSpan w:val="2"/>
            <w:shd w:val="clear" w:color="auto" w:fill="CFF0FC"/>
          </w:tcPr>
          <w:p>
            <w:pPr>
              <w:jc w:val="right"/>
              <w:ind w:right="1312"/>
              <w:spacing w:after="0"/>
              <w:rPr>
                <w:sz w:val="20"/>
                <w:szCs w:val="20"/>
                <w:color w:val="auto"/>
              </w:rPr>
            </w:pPr>
            <w:r>
              <w:rPr>
                <w:rFonts w:ascii="Arial" w:cs="Arial" w:eastAsia="Arial" w:hAnsi="Arial"/>
                <w:sz w:val="12"/>
                <w:szCs w:val="12"/>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2.40</w:t>
            </w:r>
          </w:p>
        </w:tc>
        <w:tc>
          <w:tcPr>
            <w:tcW w:w="940" w:type="dxa"/>
            <w:vAlign w:val="bottom"/>
            <w:gridSpan w:val="2"/>
            <w:shd w:val="clear" w:color="auto" w:fill="CFF0FC"/>
          </w:tcPr>
          <w:p>
            <w:pPr>
              <w:jc w:val="right"/>
              <w:ind w:right="620"/>
              <w:spacing w:after="0"/>
              <w:rPr>
                <w:sz w:val="20"/>
                <w:szCs w:val="20"/>
                <w:color w:val="auto"/>
              </w:rPr>
            </w:pPr>
            <w:r>
              <w:rPr>
                <w:rFonts w:ascii="Arial" w:cs="Arial" w:eastAsia="Arial" w:hAnsi="Arial"/>
                <w:sz w:val="12"/>
                <w:szCs w:val="12"/>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2.40</w:t>
            </w:r>
          </w:p>
        </w:tc>
        <w:tc>
          <w:tcPr>
            <w:tcW w:w="58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9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1.04</w:t>
            </w:r>
          </w:p>
        </w:tc>
        <w:tc>
          <w:tcPr>
            <w:tcW w:w="120" w:type="dxa"/>
            <w:vAlign w:val="bottom"/>
            <w:shd w:val="clear" w:color="auto" w:fill="CFF0FC"/>
          </w:tcPr>
          <w:p>
            <w:pPr>
              <w:spacing w:after="0"/>
              <w:rPr>
                <w:sz w:val="13"/>
                <w:szCs w:val="13"/>
                <w:color w:val="auto"/>
              </w:rPr>
            </w:pPr>
          </w:p>
        </w:tc>
      </w:tr>
    </w:tbl>
    <w:p>
      <w:pPr>
        <w:spacing w:after="0" w:line="135" w:lineRule="exact"/>
        <w:rPr>
          <w:sz w:val="20"/>
          <w:szCs w:val="20"/>
          <w:color w:val="auto"/>
        </w:rPr>
      </w:pPr>
    </w:p>
    <w:p>
      <w:pPr>
        <w:spacing w:after="0"/>
        <w:rPr>
          <w:sz w:val="20"/>
          <w:szCs w:val="20"/>
          <w:color w:val="auto"/>
        </w:rPr>
      </w:pPr>
      <w:r>
        <w:rPr>
          <w:rFonts w:ascii="Arial" w:cs="Arial" w:eastAsia="Arial" w:hAnsi="Arial"/>
          <w:sz w:val="12"/>
          <w:szCs w:val="12"/>
          <w:color w:val="auto"/>
        </w:rPr>
        <w:t>It is expected that our dividend will be $2.40 per share per annum, subject to approval of our board of directors.</w:t>
      </w:r>
    </w:p>
    <w:p>
      <w:pPr>
        <w:spacing w:after="0" w:line="19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Stock Performance</w:t>
      </w:r>
    </w:p>
    <w:p>
      <w:pPr>
        <w:spacing w:after="0" w:line="208" w:lineRule="exact"/>
        <w:rPr>
          <w:sz w:val="20"/>
          <w:szCs w:val="20"/>
          <w:color w:val="auto"/>
        </w:rPr>
      </w:pPr>
    </w:p>
    <w:p>
      <w:pPr>
        <w:ind w:right="80"/>
        <w:spacing w:after="0" w:line="323" w:lineRule="auto"/>
        <w:rPr>
          <w:sz w:val="20"/>
          <w:szCs w:val="20"/>
          <w:color w:val="auto"/>
        </w:rPr>
      </w:pPr>
      <w:r>
        <w:rPr>
          <w:rFonts w:ascii="Arial" w:cs="Arial" w:eastAsia="Arial" w:hAnsi="Arial"/>
          <w:sz w:val="11"/>
          <w:szCs w:val="11"/>
          <w:color w:val="auto"/>
        </w:rPr>
        <w:t>The following graph shows a comparison from April 20, 2015 (the date our common stock commenced trading on the NASDAQ Global Select Market) through December 31, 2017 of the cumulative total return for our common stock, the Standard &amp; Poor's 400 Stock Index (S&amp;P 400 Index), and the MSCI US REIT Index. The graph assumes that $100 was invested at the market open on April 20, 2015 and that all dividends were reinvested in the common</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23" w:name="page24"/>
    <w:bookmarkEnd w:id="23"/>
    <w:p>
      <w:pPr>
        <w:ind w:left="8"/>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78" w:lineRule="exact"/>
        <w:rPr>
          <w:sz w:val="20"/>
          <w:szCs w:val="20"/>
          <w:color w:val="auto"/>
        </w:rPr>
      </w:pPr>
    </w:p>
    <w:p>
      <w:pPr>
        <w:ind w:left="8"/>
        <w:spacing w:after="0"/>
        <w:rPr>
          <w:sz w:val="20"/>
          <w:szCs w:val="20"/>
          <w:color w:val="auto"/>
        </w:rPr>
      </w:pPr>
      <w:r>
        <w:rPr>
          <w:rFonts w:ascii="Arial" w:cs="Arial" w:eastAsia="Arial" w:hAnsi="Arial"/>
          <w:sz w:val="12"/>
          <w:szCs w:val="12"/>
          <w:color w:val="auto"/>
        </w:rPr>
        <w:t>stock of Uniti, the S&amp;P 400 Index and the MSCI US REIT Index. The stock price performance of the following graph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100965</wp:posOffset>
            </wp:positionV>
            <wp:extent cx="3568700" cy="18929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568700" cy="1892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Cumulative Total Stockholder Returns</w:t>
      </w:r>
    </w:p>
    <w:p>
      <w:pPr>
        <w:spacing w:after="0" w:line="1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Based on Investment of $100.00 Beginning on April 20, 2015</w:t>
      </w:r>
    </w:p>
    <w:p>
      <w:pPr>
        <w:spacing w:after="0" w:line="150" w:lineRule="exact"/>
        <w:rPr>
          <w:sz w:val="20"/>
          <w:szCs w:val="20"/>
          <w:color w:val="auto"/>
        </w:rPr>
      </w:pPr>
    </w:p>
    <w:tbl>
      <w:tblPr>
        <w:tblLayout w:type="fixed"/>
        <w:tblInd w:w="8" w:type="dxa"/>
        <w:tblCellMar>
          <w:top w:w="0" w:type="dxa"/>
          <w:left w:w="0" w:type="dxa"/>
          <w:bottom w:w="0" w:type="dxa"/>
          <w:right w:w="0" w:type="dxa"/>
        </w:tblCellMar>
      </w:tblPr>
      <w:tr>
        <w:trPr>
          <w:trHeight w:val="153"/>
        </w:trPr>
        <w:tc>
          <w:tcPr>
            <w:tcW w:w="3880" w:type="dxa"/>
            <w:vAlign w:val="bottom"/>
            <w:tcBorders>
              <w:bottom w:val="single" w:sz="8" w:color="CFF0FC"/>
            </w:tcBorders>
          </w:tcPr>
          <w:p>
            <w:pPr>
              <w:spacing w:after="0"/>
              <w:rPr>
                <w:sz w:val="13"/>
                <w:szCs w:val="13"/>
                <w:color w:val="auto"/>
              </w:rPr>
            </w:pPr>
          </w:p>
        </w:tc>
        <w:tc>
          <w:tcPr>
            <w:tcW w:w="280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4/20/2015</w:t>
            </w:r>
          </w:p>
        </w:tc>
        <w:tc>
          <w:tcPr>
            <w:tcW w:w="36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12/31/2015</w:t>
            </w:r>
          </w:p>
        </w:tc>
        <w:tc>
          <w:tcPr>
            <w:tcW w:w="38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12/31/2016</w:t>
            </w:r>
          </w:p>
        </w:tc>
        <w:tc>
          <w:tcPr>
            <w:tcW w:w="3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12/31/2017</w:t>
            </w:r>
          </w:p>
        </w:tc>
        <w:tc>
          <w:tcPr>
            <w:tcW w:w="120" w:type="dxa"/>
            <w:vAlign w:val="bottom"/>
            <w:tcBorders>
              <w:bottom w:val="single" w:sz="8" w:color="CFF0FC"/>
            </w:tcBorders>
          </w:tcPr>
          <w:p>
            <w:pPr>
              <w:spacing w:after="0"/>
              <w:rPr>
                <w:sz w:val="13"/>
                <w:szCs w:val="13"/>
                <w:color w:val="auto"/>
              </w:rPr>
            </w:pPr>
          </w:p>
        </w:tc>
      </w:tr>
      <w:tr>
        <w:trPr>
          <w:trHeight w:val="142"/>
        </w:trPr>
        <w:tc>
          <w:tcPr>
            <w:tcW w:w="3880" w:type="dxa"/>
            <w:vAlign w:val="bottom"/>
            <w:shd w:val="clear" w:color="auto" w:fill="CFF0FC"/>
          </w:tcPr>
          <w:p>
            <w:pPr>
              <w:spacing w:after="0"/>
              <w:rPr>
                <w:sz w:val="20"/>
                <w:szCs w:val="20"/>
                <w:color w:val="auto"/>
              </w:rPr>
            </w:pPr>
            <w:r>
              <w:rPr>
                <w:rFonts w:ascii="Arial" w:cs="Arial" w:eastAsia="Arial" w:hAnsi="Arial"/>
                <w:sz w:val="12"/>
                <w:szCs w:val="12"/>
                <w:color w:val="auto"/>
              </w:rPr>
              <w:t>Uniti Group Inc.</w:t>
            </w:r>
          </w:p>
        </w:tc>
        <w:tc>
          <w:tcPr>
            <w:tcW w:w="300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100.00</w:t>
            </w:r>
          </w:p>
        </w:tc>
        <w:tc>
          <w:tcPr>
            <w:tcW w:w="360" w:type="dxa"/>
            <w:vAlign w:val="bottom"/>
            <w:shd w:val="clear" w:color="auto" w:fill="CFF0FC"/>
          </w:tcPr>
          <w:p>
            <w:pPr>
              <w:spacing w:after="0"/>
              <w:rPr>
                <w:sz w:val="12"/>
                <w:szCs w:val="12"/>
                <w:color w:val="auto"/>
              </w:rPr>
            </w:pPr>
          </w:p>
        </w:tc>
        <w:tc>
          <w:tcPr>
            <w:tcW w:w="180" w:type="dxa"/>
            <w:vAlign w:val="bottom"/>
            <w:shd w:val="clear" w:color="auto" w:fill="CFF0FC"/>
          </w:tcPr>
          <w:p>
            <w:pPr>
              <w:jc w:val="right"/>
              <w:ind w:right="70"/>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72.33</w:t>
            </w:r>
          </w:p>
        </w:tc>
        <w:tc>
          <w:tcPr>
            <w:tcW w:w="380" w:type="dxa"/>
            <w:vAlign w:val="bottom"/>
            <w:shd w:val="clear" w:color="auto" w:fill="CFF0FC"/>
          </w:tcPr>
          <w:p>
            <w:pPr>
              <w:spacing w:after="0"/>
              <w:rPr>
                <w:sz w:val="12"/>
                <w:szCs w:val="12"/>
                <w:color w:val="auto"/>
              </w:rPr>
            </w:pPr>
          </w:p>
        </w:tc>
        <w:tc>
          <w:tcPr>
            <w:tcW w:w="180" w:type="dxa"/>
            <w:vAlign w:val="bottom"/>
            <w:shd w:val="clear" w:color="auto" w:fill="CFF0FC"/>
          </w:tcPr>
          <w:p>
            <w:pPr>
              <w:jc w:val="right"/>
              <w:ind w:right="70"/>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107.65</w:t>
            </w:r>
          </w:p>
        </w:tc>
        <w:tc>
          <w:tcPr>
            <w:tcW w:w="380" w:type="dxa"/>
            <w:vAlign w:val="bottom"/>
            <w:shd w:val="clear" w:color="auto" w:fill="CFF0FC"/>
          </w:tcPr>
          <w:p>
            <w:pPr>
              <w:spacing w:after="0"/>
              <w:rPr>
                <w:sz w:val="12"/>
                <w:szCs w:val="12"/>
                <w:color w:val="auto"/>
              </w:rPr>
            </w:pPr>
          </w:p>
        </w:tc>
        <w:tc>
          <w:tcPr>
            <w:tcW w:w="240" w:type="dxa"/>
            <w:vAlign w:val="bottom"/>
            <w:shd w:val="clear" w:color="auto" w:fill="CFF0FC"/>
          </w:tcPr>
          <w:p>
            <w:pPr>
              <w:jc w:val="right"/>
              <w:ind w:right="130"/>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84.94</w:t>
            </w:r>
          </w:p>
        </w:tc>
        <w:tc>
          <w:tcPr>
            <w:tcW w:w="120" w:type="dxa"/>
            <w:vAlign w:val="bottom"/>
            <w:shd w:val="clear" w:color="auto" w:fill="CFF0FC"/>
          </w:tcPr>
          <w:p>
            <w:pPr>
              <w:spacing w:after="0"/>
              <w:rPr>
                <w:sz w:val="12"/>
                <w:szCs w:val="12"/>
                <w:color w:val="auto"/>
              </w:rPr>
            </w:pPr>
          </w:p>
        </w:tc>
      </w:tr>
      <w:tr>
        <w:trPr>
          <w:trHeight w:val="153"/>
        </w:trPr>
        <w:tc>
          <w:tcPr>
            <w:tcW w:w="3880" w:type="dxa"/>
            <w:vAlign w:val="bottom"/>
          </w:tcPr>
          <w:p>
            <w:pPr>
              <w:spacing w:after="0"/>
              <w:rPr>
                <w:sz w:val="20"/>
                <w:szCs w:val="20"/>
                <w:color w:val="auto"/>
              </w:rPr>
            </w:pPr>
            <w:r>
              <w:rPr>
                <w:rFonts w:ascii="Arial" w:cs="Arial" w:eastAsia="Arial" w:hAnsi="Arial"/>
                <w:sz w:val="12"/>
                <w:szCs w:val="12"/>
                <w:color w:val="auto"/>
              </w:rPr>
              <w:t>S&amp;P 400 Index</w:t>
            </w:r>
          </w:p>
        </w:tc>
        <w:tc>
          <w:tcPr>
            <w:tcW w:w="2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100.00</w:t>
            </w: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92.56</w:t>
            </w: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111.76</w:t>
            </w: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129.90</w:t>
            </w:r>
          </w:p>
        </w:tc>
        <w:tc>
          <w:tcPr>
            <w:tcW w:w="120" w:type="dxa"/>
            <w:vAlign w:val="bottom"/>
          </w:tcPr>
          <w:p>
            <w:pPr>
              <w:spacing w:after="0"/>
              <w:rPr>
                <w:sz w:val="13"/>
                <w:szCs w:val="13"/>
                <w:color w:val="auto"/>
              </w:rPr>
            </w:pPr>
          </w:p>
        </w:tc>
      </w:tr>
      <w:tr>
        <w:trPr>
          <w:trHeight w:val="153"/>
        </w:trPr>
        <w:tc>
          <w:tcPr>
            <w:tcW w:w="3880" w:type="dxa"/>
            <w:vAlign w:val="bottom"/>
            <w:shd w:val="clear" w:color="auto" w:fill="CFF0FC"/>
          </w:tcPr>
          <w:p>
            <w:pPr>
              <w:spacing w:after="0"/>
              <w:rPr>
                <w:sz w:val="20"/>
                <w:szCs w:val="20"/>
                <w:color w:val="auto"/>
              </w:rPr>
            </w:pPr>
            <w:r>
              <w:rPr>
                <w:rFonts w:ascii="Arial" w:cs="Arial" w:eastAsia="Arial" w:hAnsi="Arial"/>
                <w:sz w:val="12"/>
                <w:szCs w:val="12"/>
                <w:color w:val="auto"/>
              </w:rPr>
              <w:t>MSCI US REIT Index</w:t>
            </w:r>
          </w:p>
        </w:tc>
        <w:tc>
          <w:tcPr>
            <w:tcW w:w="28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100.00</w:t>
            </w:r>
          </w:p>
        </w:tc>
        <w:tc>
          <w:tcPr>
            <w:tcW w:w="3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100.78</w:t>
            </w:r>
          </w:p>
        </w:tc>
        <w:tc>
          <w:tcPr>
            <w:tcW w:w="3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109.46</w:t>
            </w:r>
          </w:p>
        </w:tc>
        <w:tc>
          <w:tcPr>
            <w:tcW w:w="3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115.08</w:t>
            </w:r>
          </w:p>
        </w:tc>
        <w:tc>
          <w:tcPr>
            <w:tcW w:w="120" w:type="dxa"/>
            <w:vAlign w:val="bottom"/>
            <w:shd w:val="clear" w:color="auto" w:fill="CFF0FC"/>
          </w:tcPr>
          <w:p>
            <w:pPr>
              <w:spacing w:after="0"/>
              <w:rPr>
                <w:sz w:val="13"/>
                <w:szCs w:val="13"/>
                <w:color w:val="auto"/>
              </w:rPr>
            </w:pPr>
          </w:p>
        </w:tc>
      </w:tr>
    </w:tbl>
    <w:p>
      <w:pPr>
        <w:spacing w:after="0" w:line="203"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Issuer Purchases of Equity Securities</w:t>
      </w:r>
    </w:p>
    <w:p>
      <w:pPr>
        <w:spacing w:after="0" w:line="82" w:lineRule="exact"/>
        <w:rPr>
          <w:sz w:val="20"/>
          <w:szCs w:val="20"/>
          <w:color w:val="auto"/>
        </w:rPr>
      </w:pPr>
    </w:p>
    <w:p>
      <w:pPr>
        <w:ind w:left="8" w:right="180"/>
        <w:spacing w:after="0" w:line="276" w:lineRule="auto"/>
        <w:rPr>
          <w:sz w:val="20"/>
          <w:szCs w:val="20"/>
          <w:color w:val="auto"/>
        </w:rPr>
      </w:pPr>
      <w:r>
        <w:rPr>
          <w:rFonts w:ascii="Arial" w:cs="Arial" w:eastAsia="Arial" w:hAnsi="Arial"/>
          <w:sz w:val="12"/>
          <w:szCs w:val="12"/>
          <w:color w:val="auto"/>
        </w:rPr>
        <w:t>The table below provides information regarding shares withheld from Uniti employees to satisfy minimum statutory tax withholding obligations arising from the vesting of restricted stock granted under the Uniti Group Inc. 2015 Equity Incentive Plan. The shares of common stock withheld to satisfy tax withholding obligations may be deemed purchases of such shares required to be disclosed pursuant to this Item 5.</w:t>
      </w:r>
    </w:p>
    <w:p>
      <w:pPr>
        <w:spacing w:after="0" w:line="30"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49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60" w:type="dxa"/>
            <w:vAlign w:val="bottom"/>
          </w:tcPr>
          <w:p>
            <w:pPr>
              <w:jc w:val="center"/>
              <w:spacing w:after="0"/>
              <w:rPr>
                <w:sz w:val="20"/>
                <w:szCs w:val="20"/>
                <w:color w:val="auto"/>
              </w:rPr>
            </w:pPr>
            <w:r>
              <w:rPr>
                <w:rFonts w:ascii="Arial" w:cs="Arial" w:eastAsia="Arial" w:hAnsi="Arial"/>
                <w:sz w:val="10"/>
                <w:szCs w:val="10"/>
                <w:b w:val="1"/>
                <w:bCs w:val="1"/>
                <w:color w:val="auto"/>
                <w:w w:val="85"/>
              </w:rPr>
              <w:t>Total Number of Shares Purchased as</w:t>
            </w:r>
          </w:p>
        </w:tc>
        <w:tc>
          <w:tcPr>
            <w:tcW w:w="120" w:type="dxa"/>
            <w:vAlign w:val="bottom"/>
          </w:tcPr>
          <w:p>
            <w:pPr>
              <w:spacing w:after="0"/>
              <w:rPr>
                <w:sz w:val="10"/>
                <w:szCs w:val="10"/>
                <w:color w:val="auto"/>
              </w:rPr>
            </w:pPr>
          </w:p>
        </w:tc>
        <w:tc>
          <w:tcPr>
            <w:tcW w:w="190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88"/>
              </w:rPr>
              <w:t>Maximum Number of Shares that May Yet</w:t>
            </w:r>
          </w:p>
        </w:tc>
      </w:tr>
      <w:tr>
        <w:trPr>
          <w:trHeight w:val="99"/>
        </w:trPr>
        <w:tc>
          <w:tcPr>
            <w:tcW w:w="49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jc w:val="right"/>
              <w:ind w:right="84"/>
              <w:spacing w:after="0" w:line="99" w:lineRule="exact"/>
              <w:rPr>
                <w:sz w:val="20"/>
                <w:szCs w:val="20"/>
                <w:color w:val="auto"/>
              </w:rPr>
            </w:pPr>
            <w:r>
              <w:rPr>
                <w:rFonts w:ascii="Arial" w:cs="Arial" w:eastAsia="Arial" w:hAnsi="Arial"/>
                <w:sz w:val="10"/>
                <w:szCs w:val="10"/>
                <w:b w:val="1"/>
                <w:bCs w:val="1"/>
                <w:color w:val="auto"/>
              </w:rPr>
              <w:t>Total Number of</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60" w:type="dxa"/>
            <w:vAlign w:val="bottom"/>
          </w:tcPr>
          <w:p>
            <w:pPr>
              <w:jc w:val="center"/>
              <w:spacing w:after="0" w:line="99" w:lineRule="exact"/>
              <w:rPr>
                <w:sz w:val="20"/>
                <w:szCs w:val="20"/>
                <w:color w:val="auto"/>
              </w:rPr>
            </w:pPr>
            <w:r>
              <w:rPr>
                <w:rFonts w:ascii="Arial" w:cs="Arial" w:eastAsia="Arial" w:hAnsi="Arial"/>
                <w:sz w:val="10"/>
                <w:szCs w:val="10"/>
                <w:b w:val="1"/>
                <w:bCs w:val="1"/>
                <w:color w:val="auto"/>
                <w:w w:val="86"/>
              </w:rPr>
              <w:t>Part of Publicly Announced Plans or</w:t>
            </w:r>
          </w:p>
        </w:tc>
        <w:tc>
          <w:tcPr>
            <w:tcW w:w="120" w:type="dxa"/>
            <w:vAlign w:val="bottom"/>
          </w:tcPr>
          <w:p>
            <w:pPr>
              <w:spacing w:after="0"/>
              <w:rPr>
                <w:sz w:val="8"/>
                <w:szCs w:val="8"/>
                <w:color w:val="auto"/>
              </w:rPr>
            </w:pPr>
          </w:p>
        </w:tc>
        <w:tc>
          <w:tcPr>
            <w:tcW w:w="1900" w:type="dxa"/>
            <w:vAlign w:val="bottom"/>
            <w:gridSpan w:val="2"/>
          </w:tcPr>
          <w:p>
            <w:pPr>
              <w:jc w:val="center"/>
              <w:ind w:right="140"/>
              <w:spacing w:after="0" w:line="99" w:lineRule="exact"/>
              <w:rPr>
                <w:sz w:val="20"/>
                <w:szCs w:val="20"/>
                <w:color w:val="auto"/>
              </w:rPr>
            </w:pPr>
            <w:r>
              <w:rPr>
                <w:rFonts w:ascii="Arial" w:cs="Arial" w:eastAsia="Arial" w:hAnsi="Arial"/>
                <w:sz w:val="10"/>
                <w:szCs w:val="10"/>
                <w:b w:val="1"/>
                <w:bCs w:val="1"/>
                <w:color w:val="auto"/>
                <w:w w:val="85"/>
              </w:rPr>
              <w:t>Be Purchased Under the Plans or</w:t>
            </w:r>
          </w:p>
        </w:tc>
      </w:tr>
      <w:tr>
        <w:trPr>
          <w:trHeight w:val="114"/>
        </w:trPr>
        <w:tc>
          <w:tcPr>
            <w:tcW w:w="4980" w:type="dxa"/>
            <w:vAlign w:val="bottom"/>
            <w:tcBorders>
              <w:bottom w:val="single" w:sz="8" w:color="auto"/>
            </w:tcBorders>
          </w:tcPr>
          <w:p>
            <w:pPr>
              <w:spacing w:after="0" w:line="114" w:lineRule="exact"/>
              <w:rPr>
                <w:sz w:val="20"/>
                <w:szCs w:val="20"/>
                <w:color w:val="auto"/>
              </w:rPr>
            </w:pPr>
            <w:r>
              <w:rPr>
                <w:rFonts w:ascii="Arial" w:cs="Arial" w:eastAsia="Arial" w:hAnsi="Arial"/>
                <w:sz w:val="10"/>
                <w:szCs w:val="10"/>
                <w:color w:val="auto"/>
              </w:rPr>
              <w:t>Period</w:t>
            </w:r>
          </w:p>
        </w:tc>
        <w:tc>
          <w:tcPr>
            <w:tcW w:w="160" w:type="dxa"/>
            <w:vAlign w:val="bottom"/>
            <w:tcBorders>
              <w:bottom w:val="single" w:sz="8" w:color="CFF0FC"/>
            </w:tcBorders>
          </w:tcPr>
          <w:p>
            <w:pPr>
              <w:spacing w:after="0"/>
              <w:rPr>
                <w:sz w:val="9"/>
                <w:szCs w:val="9"/>
                <w:color w:val="auto"/>
              </w:rPr>
            </w:pPr>
          </w:p>
        </w:tc>
        <w:tc>
          <w:tcPr>
            <w:tcW w:w="960" w:type="dxa"/>
            <w:vAlign w:val="bottom"/>
            <w:tcBorders>
              <w:bottom w:val="single" w:sz="8" w:color="auto"/>
            </w:tcBorders>
          </w:tcPr>
          <w:p>
            <w:pPr>
              <w:jc w:val="right"/>
              <w:ind w:right="4"/>
              <w:spacing w:after="0" w:line="114" w:lineRule="exact"/>
              <w:rPr>
                <w:sz w:val="20"/>
                <w:szCs w:val="20"/>
                <w:color w:val="auto"/>
              </w:rPr>
            </w:pPr>
            <w:r>
              <w:rPr>
                <w:rFonts w:ascii="Arial" w:cs="Arial" w:eastAsia="Arial" w:hAnsi="Arial"/>
                <w:sz w:val="10"/>
                <w:szCs w:val="10"/>
                <w:b w:val="1"/>
                <w:bCs w:val="1"/>
                <w:color w:val="auto"/>
                <w:w w:val="88"/>
              </w:rPr>
              <w:t>Shares Purchased(1)</w:t>
            </w:r>
          </w:p>
        </w:tc>
        <w:tc>
          <w:tcPr>
            <w:tcW w:w="120" w:type="dxa"/>
            <w:vAlign w:val="bottom"/>
            <w:tcBorders>
              <w:bottom w:val="single" w:sz="8" w:color="CFF0FC"/>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jc w:val="right"/>
              <w:ind w:right="22"/>
              <w:spacing w:after="0" w:line="114" w:lineRule="exact"/>
              <w:rPr>
                <w:sz w:val="20"/>
                <w:szCs w:val="20"/>
                <w:color w:val="auto"/>
              </w:rPr>
            </w:pPr>
            <w:r>
              <w:rPr>
                <w:rFonts w:ascii="Arial" w:cs="Arial" w:eastAsia="Arial" w:hAnsi="Arial"/>
                <w:sz w:val="10"/>
                <w:szCs w:val="10"/>
                <w:b w:val="1"/>
                <w:bCs w:val="1"/>
                <w:color w:val="auto"/>
                <w:w w:val="85"/>
              </w:rPr>
              <w:t>Average Price Paid per Share(2)</w:t>
            </w:r>
          </w:p>
        </w:tc>
        <w:tc>
          <w:tcPr>
            <w:tcW w:w="120" w:type="dxa"/>
            <w:vAlign w:val="bottom"/>
            <w:tcBorders>
              <w:bottom w:val="single" w:sz="8" w:color="CFF0FC"/>
            </w:tcBorders>
          </w:tcPr>
          <w:p>
            <w:pPr>
              <w:spacing w:after="0"/>
              <w:rPr>
                <w:sz w:val="9"/>
                <w:szCs w:val="9"/>
                <w:color w:val="auto"/>
              </w:rPr>
            </w:pPr>
          </w:p>
        </w:tc>
        <w:tc>
          <w:tcPr>
            <w:tcW w:w="166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10"/>
                <w:szCs w:val="10"/>
                <w:b w:val="1"/>
                <w:bCs w:val="1"/>
                <w:color w:val="auto"/>
                <w:w w:val="85"/>
              </w:rPr>
              <w:t>Programs</w:t>
            </w:r>
          </w:p>
        </w:tc>
        <w:tc>
          <w:tcPr>
            <w:tcW w:w="120" w:type="dxa"/>
            <w:vAlign w:val="bottom"/>
            <w:tcBorders>
              <w:bottom w:val="single" w:sz="8" w:color="CFF0FC"/>
            </w:tcBorders>
          </w:tcPr>
          <w:p>
            <w:pPr>
              <w:spacing w:after="0"/>
              <w:rPr>
                <w:sz w:val="9"/>
                <w:szCs w:val="9"/>
                <w:color w:val="auto"/>
              </w:rPr>
            </w:pPr>
          </w:p>
        </w:tc>
        <w:tc>
          <w:tcPr>
            <w:tcW w:w="178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10"/>
                <w:szCs w:val="10"/>
                <w:b w:val="1"/>
                <w:bCs w:val="1"/>
                <w:color w:val="auto"/>
                <w:w w:val="85"/>
              </w:rPr>
              <w:t>Programs</w:t>
            </w:r>
          </w:p>
        </w:tc>
        <w:tc>
          <w:tcPr>
            <w:tcW w:w="120" w:type="dxa"/>
            <w:vAlign w:val="bottom"/>
            <w:tcBorders>
              <w:bottom w:val="single" w:sz="8" w:color="CFF0FC"/>
            </w:tcBorders>
          </w:tcPr>
          <w:p>
            <w:pPr>
              <w:spacing w:after="0"/>
              <w:rPr>
                <w:sz w:val="9"/>
                <w:szCs w:val="9"/>
                <w:color w:val="auto"/>
              </w:rPr>
            </w:pPr>
          </w:p>
        </w:tc>
      </w:tr>
      <w:tr>
        <w:trPr>
          <w:trHeight w:val="142"/>
        </w:trPr>
        <w:tc>
          <w:tcPr>
            <w:tcW w:w="514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October 1, 2017 to October 31, 2017</w:t>
            </w: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52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1660" w:type="dxa"/>
            <w:vAlign w:val="bottom"/>
            <w:shd w:val="clear" w:color="auto" w:fill="CFF0FC"/>
          </w:tcPr>
          <w:p>
            <w:pPr>
              <w:ind w:left="1540"/>
              <w:spacing w:after="0"/>
              <w:rPr>
                <w:sz w:val="20"/>
                <w:szCs w:val="20"/>
                <w:color w:val="auto"/>
              </w:rPr>
            </w:pPr>
            <w:r>
              <w:rPr>
                <w:rFonts w:ascii="Arial" w:cs="Arial" w:eastAsia="Arial" w:hAnsi="Arial"/>
                <w:sz w:val="12"/>
                <w:szCs w:val="12"/>
                <w:color w:val="auto"/>
                <w:w w:val="82"/>
              </w:rPr>
              <w:t>—</w:t>
            </w:r>
          </w:p>
        </w:tc>
        <w:tc>
          <w:tcPr>
            <w:tcW w:w="120" w:type="dxa"/>
            <w:vAlign w:val="bottom"/>
            <w:shd w:val="clear" w:color="auto" w:fill="CFF0FC"/>
          </w:tcPr>
          <w:p>
            <w:pPr>
              <w:spacing w:after="0"/>
              <w:rPr>
                <w:sz w:val="12"/>
                <w:szCs w:val="12"/>
                <w:color w:val="auto"/>
              </w:rPr>
            </w:pPr>
          </w:p>
        </w:tc>
        <w:tc>
          <w:tcPr>
            <w:tcW w:w="1900" w:type="dxa"/>
            <w:vAlign w:val="bottom"/>
            <w:gridSpan w:val="2"/>
            <w:shd w:val="clear" w:color="auto" w:fill="CFF0FC"/>
          </w:tcPr>
          <w:p>
            <w:pPr>
              <w:ind w:left="1660"/>
              <w:spacing w:after="0"/>
              <w:rPr>
                <w:sz w:val="20"/>
                <w:szCs w:val="20"/>
                <w:color w:val="auto"/>
              </w:rPr>
            </w:pPr>
            <w:r>
              <w:rPr>
                <w:rFonts w:ascii="Arial" w:cs="Arial" w:eastAsia="Arial" w:hAnsi="Arial"/>
                <w:sz w:val="12"/>
                <w:szCs w:val="12"/>
                <w:color w:val="auto"/>
              </w:rPr>
              <w:t>—</w:t>
            </w:r>
          </w:p>
        </w:tc>
      </w:tr>
      <w:tr>
        <w:trPr>
          <w:trHeight w:val="153"/>
        </w:trPr>
        <w:tc>
          <w:tcPr>
            <w:tcW w:w="5140" w:type="dxa"/>
            <w:vAlign w:val="bottom"/>
            <w:gridSpan w:val="2"/>
          </w:tcPr>
          <w:p>
            <w:pPr>
              <w:spacing w:after="0"/>
              <w:rPr>
                <w:sz w:val="20"/>
                <w:szCs w:val="20"/>
                <w:color w:val="auto"/>
              </w:rPr>
            </w:pPr>
            <w:r>
              <w:rPr>
                <w:rFonts w:ascii="Arial" w:cs="Arial" w:eastAsia="Arial" w:hAnsi="Arial"/>
                <w:sz w:val="12"/>
                <w:szCs w:val="12"/>
                <w:color w:val="auto"/>
              </w:rPr>
              <w:t>November 1, 2017 to November 30, 2017</w:t>
            </w:r>
          </w:p>
        </w:tc>
        <w:tc>
          <w:tcPr>
            <w:tcW w:w="960" w:type="dxa"/>
            <w:vAlign w:val="bottom"/>
          </w:tcPr>
          <w:p>
            <w:pPr>
              <w:jc w:val="right"/>
              <w:spacing w:after="0"/>
              <w:rPr>
                <w:sz w:val="20"/>
                <w:szCs w:val="20"/>
                <w:color w:val="auto"/>
              </w:rPr>
            </w:pPr>
            <w:r>
              <w:rPr>
                <w:rFonts w:ascii="Arial" w:cs="Arial" w:eastAsia="Arial" w:hAnsi="Arial"/>
                <w:sz w:val="12"/>
                <w:szCs w:val="12"/>
                <w:color w:val="auto"/>
              </w:rPr>
              <w:t>474</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16.54</w:t>
            </w:r>
          </w:p>
        </w:tc>
        <w:tc>
          <w:tcPr>
            <w:tcW w:w="120" w:type="dxa"/>
            <w:vAlign w:val="bottom"/>
          </w:tcPr>
          <w:p>
            <w:pPr>
              <w:spacing w:after="0"/>
              <w:rPr>
                <w:sz w:val="13"/>
                <w:szCs w:val="13"/>
                <w:color w:val="auto"/>
              </w:rPr>
            </w:pPr>
          </w:p>
        </w:tc>
        <w:tc>
          <w:tcPr>
            <w:tcW w:w="1660" w:type="dxa"/>
            <w:vAlign w:val="bottom"/>
          </w:tcPr>
          <w:p>
            <w:pPr>
              <w:ind w:left="1540"/>
              <w:spacing w:after="0"/>
              <w:rPr>
                <w:sz w:val="20"/>
                <w:szCs w:val="20"/>
                <w:color w:val="auto"/>
              </w:rPr>
            </w:pPr>
            <w:r>
              <w:rPr>
                <w:rFonts w:ascii="Arial" w:cs="Arial" w:eastAsia="Arial" w:hAnsi="Arial"/>
                <w:sz w:val="12"/>
                <w:szCs w:val="12"/>
                <w:color w:val="auto"/>
                <w:w w:val="82"/>
              </w:rPr>
              <w:t>—</w:t>
            </w:r>
          </w:p>
        </w:tc>
        <w:tc>
          <w:tcPr>
            <w:tcW w:w="120" w:type="dxa"/>
            <w:vAlign w:val="bottom"/>
          </w:tcPr>
          <w:p>
            <w:pPr>
              <w:spacing w:after="0"/>
              <w:rPr>
                <w:sz w:val="13"/>
                <w:szCs w:val="13"/>
                <w:color w:val="auto"/>
              </w:rPr>
            </w:pPr>
          </w:p>
        </w:tc>
        <w:tc>
          <w:tcPr>
            <w:tcW w:w="1900" w:type="dxa"/>
            <w:vAlign w:val="bottom"/>
            <w:gridSpan w:val="2"/>
          </w:tcPr>
          <w:p>
            <w:pPr>
              <w:ind w:left="1660"/>
              <w:spacing w:after="0"/>
              <w:rPr>
                <w:sz w:val="20"/>
                <w:szCs w:val="20"/>
                <w:color w:val="auto"/>
              </w:rPr>
            </w:pPr>
            <w:r>
              <w:rPr>
                <w:rFonts w:ascii="Arial" w:cs="Arial" w:eastAsia="Arial" w:hAnsi="Arial"/>
                <w:sz w:val="12"/>
                <w:szCs w:val="12"/>
                <w:color w:val="auto"/>
              </w:rPr>
              <w:t>—</w:t>
            </w:r>
          </w:p>
        </w:tc>
      </w:tr>
      <w:tr>
        <w:trPr>
          <w:trHeight w:val="153"/>
        </w:trPr>
        <w:tc>
          <w:tcPr>
            <w:tcW w:w="514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December 1, 2017 to December 31, 2017</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52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1660" w:type="dxa"/>
            <w:vAlign w:val="bottom"/>
            <w:tcBorders>
              <w:bottom w:val="single" w:sz="8" w:color="auto"/>
            </w:tcBorders>
            <w:shd w:val="clear" w:color="auto" w:fill="CFF0FC"/>
          </w:tcPr>
          <w:p>
            <w:pPr>
              <w:ind w:left="1540"/>
              <w:spacing w:after="0"/>
              <w:rPr>
                <w:sz w:val="20"/>
                <w:szCs w:val="20"/>
                <w:color w:val="auto"/>
              </w:rPr>
            </w:pPr>
            <w:r>
              <w:rPr>
                <w:rFonts w:ascii="Arial" w:cs="Arial" w:eastAsia="Arial" w:hAnsi="Arial"/>
                <w:sz w:val="12"/>
                <w:szCs w:val="12"/>
                <w:color w:val="auto"/>
                <w:w w:val="82"/>
              </w:rPr>
              <w:t>—</w:t>
            </w:r>
          </w:p>
        </w:tc>
        <w:tc>
          <w:tcPr>
            <w:tcW w:w="120" w:type="dxa"/>
            <w:vAlign w:val="bottom"/>
            <w:shd w:val="clear" w:color="auto" w:fill="CFF0FC"/>
          </w:tcPr>
          <w:p>
            <w:pPr>
              <w:spacing w:after="0"/>
              <w:rPr>
                <w:sz w:val="13"/>
                <w:szCs w:val="13"/>
                <w:color w:val="auto"/>
              </w:rPr>
            </w:pPr>
          </w:p>
        </w:tc>
        <w:tc>
          <w:tcPr>
            <w:tcW w:w="1900" w:type="dxa"/>
            <w:vAlign w:val="bottom"/>
            <w:gridSpan w:val="2"/>
            <w:shd w:val="clear" w:color="auto" w:fill="CFF0FC"/>
          </w:tcPr>
          <w:p>
            <w:pPr>
              <w:ind w:left="1660"/>
              <w:spacing w:after="0"/>
              <w:rPr>
                <w:sz w:val="20"/>
                <w:szCs w:val="20"/>
                <w:color w:val="auto"/>
              </w:rPr>
            </w:pPr>
            <w:r>
              <w:rPr>
                <w:rFonts w:ascii="Arial" w:cs="Arial" w:eastAsia="Arial" w:hAnsi="Arial"/>
                <w:sz w:val="12"/>
                <w:szCs w:val="12"/>
                <w:color w:val="auto"/>
              </w:rPr>
              <w:t>—</w:t>
            </w:r>
          </w:p>
        </w:tc>
      </w:tr>
      <w:tr>
        <w:trPr>
          <w:trHeight w:val="149"/>
        </w:trPr>
        <w:tc>
          <w:tcPr>
            <w:tcW w:w="5140" w:type="dxa"/>
            <w:vAlign w:val="bottom"/>
            <w:gridSpan w:val="2"/>
          </w:tcPr>
          <w:p>
            <w:pPr>
              <w:spacing w:after="0"/>
              <w:rPr>
                <w:sz w:val="20"/>
                <w:szCs w:val="20"/>
                <w:color w:val="auto"/>
              </w:rPr>
            </w:pPr>
            <w:r>
              <w:rPr>
                <w:rFonts w:ascii="Arial" w:cs="Arial" w:eastAsia="Arial" w:hAnsi="Arial"/>
                <w:sz w:val="12"/>
                <w:szCs w:val="12"/>
                <w:color w:val="auto"/>
              </w:rPr>
              <w:t>Total</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474</w:t>
            </w:r>
          </w:p>
        </w:tc>
        <w:tc>
          <w:tcPr>
            <w:tcW w:w="1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400" w:type="dxa"/>
            <w:vAlign w:val="bottom"/>
          </w:tcPr>
          <w:p>
            <w:pPr>
              <w:jc w:val="right"/>
              <w:spacing w:after="0"/>
              <w:rPr>
                <w:sz w:val="20"/>
                <w:szCs w:val="20"/>
                <w:color w:val="auto"/>
              </w:rPr>
            </w:pPr>
            <w:r>
              <w:rPr>
                <w:rFonts w:ascii="Arial" w:cs="Arial" w:eastAsia="Arial" w:hAnsi="Arial"/>
                <w:sz w:val="12"/>
                <w:szCs w:val="12"/>
                <w:color w:val="auto"/>
              </w:rPr>
              <w:t>16.54</w:t>
            </w:r>
          </w:p>
        </w:tc>
        <w:tc>
          <w:tcPr>
            <w:tcW w:w="120" w:type="dxa"/>
            <w:vAlign w:val="bottom"/>
          </w:tcPr>
          <w:p>
            <w:pPr>
              <w:spacing w:after="0"/>
              <w:rPr>
                <w:sz w:val="12"/>
                <w:szCs w:val="12"/>
                <w:color w:val="auto"/>
              </w:rPr>
            </w:pPr>
          </w:p>
        </w:tc>
        <w:tc>
          <w:tcPr>
            <w:tcW w:w="1660" w:type="dxa"/>
            <w:vAlign w:val="bottom"/>
            <w:tcBorders>
              <w:bottom w:val="single" w:sz="8" w:color="auto"/>
            </w:tcBorders>
          </w:tcPr>
          <w:p>
            <w:pPr>
              <w:ind w:left="1540"/>
              <w:spacing w:after="0"/>
              <w:rPr>
                <w:sz w:val="20"/>
                <w:szCs w:val="20"/>
                <w:color w:val="auto"/>
              </w:rPr>
            </w:pPr>
            <w:r>
              <w:rPr>
                <w:rFonts w:ascii="Arial" w:cs="Arial" w:eastAsia="Arial" w:hAnsi="Arial"/>
                <w:sz w:val="12"/>
                <w:szCs w:val="12"/>
                <w:color w:val="auto"/>
                <w:w w:val="82"/>
              </w:rPr>
              <w:t>—</w:t>
            </w:r>
          </w:p>
        </w:tc>
        <w:tc>
          <w:tcPr>
            <w:tcW w:w="120" w:type="dxa"/>
            <w:vAlign w:val="bottom"/>
          </w:tcPr>
          <w:p>
            <w:pPr>
              <w:spacing w:after="0"/>
              <w:rPr>
                <w:sz w:val="12"/>
                <w:szCs w:val="12"/>
                <w:color w:val="auto"/>
              </w:rPr>
            </w:pPr>
          </w:p>
        </w:tc>
        <w:tc>
          <w:tcPr>
            <w:tcW w:w="1900" w:type="dxa"/>
            <w:vAlign w:val="bottom"/>
            <w:gridSpan w:val="2"/>
          </w:tcPr>
          <w:p>
            <w:pPr>
              <w:ind w:left="1660"/>
              <w:spacing w:after="0"/>
              <w:rPr>
                <w:sz w:val="20"/>
                <w:szCs w:val="20"/>
                <w:color w:val="auto"/>
              </w:rPr>
            </w:pPr>
            <w:r>
              <w:rPr>
                <w:rFonts w:ascii="Arial" w:cs="Arial" w:eastAsia="Arial" w:hAnsi="Arial"/>
                <w:sz w:val="12"/>
                <w:szCs w:val="12"/>
                <w:color w:val="auto"/>
              </w:rPr>
              <w:t>—</w:t>
            </w:r>
          </w:p>
        </w:tc>
      </w:tr>
    </w:tbl>
    <w:p>
      <w:pPr>
        <w:spacing w:after="0" w:line="207" w:lineRule="exact"/>
        <w:rPr>
          <w:sz w:val="20"/>
          <w:szCs w:val="20"/>
          <w:color w:val="auto"/>
        </w:rPr>
      </w:pPr>
    </w:p>
    <w:p>
      <w:pPr>
        <w:ind w:left="5688" w:right="1680" w:hanging="5688"/>
        <w:spacing w:after="0" w:line="402" w:lineRule="auto"/>
        <w:tabs>
          <w:tab w:leader="none" w:pos="447" w:val="left"/>
        </w:tabs>
        <w:numPr>
          <w:ilvl w:val="0"/>
          <w:numId w:val="7"/>
        </w:numPr>
        <w:rPr>
          <w:rFonts w:ascii="Arial" w:cs="Arial" w:eastAsia="Arial" w:hAnsi="Arial"/>
          <w:sz w:val="12"/>
          <w:szCs w:val="12"/>
          <w:color w:val="auto"/>
        </w:rPr>
      </w:pPr>
      <w:r>
        <w:rPr>
          <w:rFonts w:ascii="Arial" w:cs="Arial" w:eastAsia="Arial" w:hAnsi="Arial"/>
          <w:sz w:val="12"/>
          <w:szCs w:val="12"/>
          <w:color w:val="auto"/>
        </w:rPr>
        <w:t>Excludes 21,504 shares withheld related to awards of Uniti restricted stock held by current Windstream employees granted in connection with the Spin-Off accordance with the Employee Matters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-25400</wp:posOffset>
            </wp:positionV>
            <wp:extent cx="7329170" cy="368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8"/>
          </w:cols>
          <w:pgMar w:left="212" w:top="131" w:right="199" w:bottom="1440" w:gutter="0" w:footer="0" w:header="0"/>
        </w:sectPr>
      </w:pPr>
    </w:p>
    <w:bookmarkStart w:id="24" w:name="page25"/>
    <w:bookmarkEnd w:id="24"/>
    <w:p>
      <w:pPr>
        <w:ind w:left="8"/>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4" w:lineRule="exact"/>
        <w:rPr>
          <w:sz w:val="20"/>
          <w:szCs w:val="20"/>
          <w:color w:val="auto"/>
        </w:rPr>
      </w:pPr>
    </w:p>
    <w:p>
      <w:pPr>
        <w:ind w:left="448"/>
        <w:spacing w:after="0"/>
        <w:rPr>
          <w:sz w:val="20"/>
          <w:szCs w:val="20"/>
          <w:color w:val="auto"/>
        </w:rPr>
      </w:pPr>
      <w:r>
        <w:rPr>
          <w:rFonts w:ascii="Arial" w:cs="Arial" w:eastAsia="Arial" w:hAnsi="Arial"/>
          <w:sz w:val="12"/>
          <w:szCs w:val="12"/>
          <w:color w:val="auto"/>
        </w:rPr>
        <w:t>Agreement. Additional information regarding the Employee Matters Agreement is contained in Note 11 – Related Party Transactions of the Notes to the Consolidated Financial Statements.</w:t>
      </w:r>
    </w:p>
    <w:p>
      <w:pPr>
        <w:spacing w:after="0" w:line="222" w:lineRule="exact"/>
        <w:rPr>
          <w:sz w:val="20"/>
          <w:szCs w:val="20"/>
          <w:color w:val="auto"/>
        </w:rPr>
      </w:pPr>
    </w:p>
    <w:p>
      <w:pPr>
        <w:ind w:left="448" w:hanging="448"/>
        <w:spacing w:after="0"/>
        <w:tabs>
          <w:tab w:leader="none" w:pos="448" w:val="left"/>
        </w:tabs>
        <w:numPr>
          <w:ilvl w:val="0"/>
          <w:numId w:val="8"/>
        </w:numPr>
        <w:rPr>
          <w:rFonts w:ascii="Arial" w:cs="Arial" w:eastAsia="Arial" w:hAnsi="Arial"/>
          <w:sz w:val="12"/>
          <w:szCs w:val="12"/>
          <w:color w:val="auto"/>
        </w:rPr>
      </w:pPr>
      <w:r>
        <w:rPr>
          <w:rFonts w:ascii="Arial" w:cs="Arial" w:eastAsia="Arial" w:hAnsi="Arial"/>
          <w:sz w:val="12"/>
          <w:szCs w:val="12"/>
          <w:color w:val="auto"/>
        </w:rPr>
        <w:t>The weighted-average price per share is the weighted-average of the fair market prices at which we calculated the number of shares withheld to cover tax withholdings for the employees.</w:t>
      </w:r>
    </w:p>
    <w:p>
      <w:pPr>
        <w:spacing w:after="0" w:line="218"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Item 6. Selected Financial Data.</w:t>
      </w:r>
    </w:p>
    <w:p>
      <w:pPr>
        <w:spacing w:after="0" w:line="82"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following table sets forth selected financial data for Uniti on a consolidated and combined historical basis as of the dates and for the years indicated.</w:t>
      </w:r>
    </w:p>
    <w:p>
      <w:pPr>
        <w:spacing w:after="0" w:line="150" w:lineRule="exact"/>
        <w:rPr>
          <w:sz w:val="20"/>
          <w:szCs w:val="20"/>
          <w:color w:val="auto"/>
        </w:rPr>
      </w:pPr>
    </w:p>
    <w:p>
      <w:pPr>
        <w:ind w:left="8" w:right="20"/>
        <w:spacing w:after="0" w:line="323" w:lineRule="auto"/>
        <w:rPr>
          <w:sz w:val="20"/>
          <w:szCs w:val="20"/>
          <w:color w:val="auto"/>
        </w:rPr>
      </w:pPr>
      <w:r>
        <w:rPr>
          <w:rFonts w:ascii="Arial" w:cs="Arial" w:eastAsia="Arial" w:hAnsi="Arial"/>
          <w:sz w:val="11"/>
          <w:szCs w:val="11"/>
          <w:color w:val="auto"/>
        </w:rPr>
        <w:t>Prior to April 24, 2015, we did not operate the Consumer CLEC Business separately from Windstream, nor did we commence our leasing business. The selected historical financial data as of December 31, 2014 and 2013 and for the period from January 1, 2015 to April 24, 2015 and the years ended December 31, 2014 and 2013 has been derived from the audited financial statements of the Consumer CLEC Business and Distribution Systems.</w:t>
      </w:r>
    </w:p>
    <w:p>
      <w:pPr>
        <w:spacing w:after="0" w:line="92" w:lineRule="exact"/>
        <w:rPr>
          <w:sz w:val="20"/>
          <w:szCs w:val="20"/>
          <w:color w:val="auto"/>
        </w:rPr>
      </w:pPr>
    </w:p>
    <w:p>
      <w:pPr>
        <w:ind w:left="8" w:right="500"/>
        <w:spacing w:after="0" w:line="276" w:lineRule="auto"/>
        <w:rPr>
          <w:sz w:val="20"/>
          <w:szCs w:val="20"/>
          <w:color w:val="auto"/>
        </w:rPr>
      </w:pPr>
      <w:r>
        <w:rPr>
          <w:rFonts w:ascii="Arial" w:cs="Arial" w:eastAsia="Arial" w:hAnsi="Arial"/>
          <w:sz w:val="12"/>
          <w:szCs w:val="12"/>
          <w:color w:val="auto"/>
        </w:rPr>
        <w:t xml:space="preserve">The following should be read in conjunction with the combined financial statements, accompanying notes and </w:t>
      </w:r>
      <w:r>
        <w:rPr>
          <w:rFonts w:ascii="Arial" w:cs="Arial" w:eastAsia="Arial" w:hAnsi="Arial"/>
          <w:sz w:val="12"/>
          <w:szCs w:val="12"/>
          <w:i w:val="1"/>
          <w:iCs w:val="1"/>
          <w:color w:val="auto"/>
        </w:rPr>
        <w:t>Management's Discussion and Analysis of Financial Condition and Results of Operations</w:t>
      </w:r>
      <w:r>
        <w:rPr>
          <w:rFonts w:ascii="Arial" w:cs="Arial" w:eastAsia="Arial" w:hAnsi="Arial"/>
          <w:sz w:val="12"/>
          <w:szCs w:val="12"/>
          <w:color w:val="auto"/>
        </w:rPr>
        <w:t>, each of which are included elsewhere in this Form 10-K.</w:t>
      </w:r>
    </w:p>
    <w:p>
      <w:pPr>
        <w:spacing w:after="0" w:line="117"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4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40" w:type="dxa"/>
            <w:vAlign w:val="bottom"/>
            <w:gridSpan w:val="6"/>
          </w:tcPr>
          <w:p>
            <w:pPr>
              <w:jc w:val="right"/>
              <w:ind w:right="700"/>
              <w:spacing w:after="0"/>
              <w:rPr>
                <w:sz w:val="20"/>
                <w:szCs w:val="20"/>
                <w:color w:val="auto"/>
              </w:rPr>
            </w:pPr>
            <w:r>
              <w:rPr>
                <w:rFonts w:ascii="Arial" w:cs="Arial" w:eastAsia="Arial" w:hAnsi="Arial"/>
                <w:sz w:val="10"/>
                <w:szCs w:val="10"/>
                <w:b w:val="1"/>
                <w:bCs w:val="1"/>
                <w:color w:val="auto"/>
              </w:rPr>
              <w:t>Year Ended December 31,</w:t>
            </w:r>
          </w:p>
        </w:tc>
        <w:tc>
          <w:tcPr>
            <w:tcW w:w="1140" w:type="dxa"/>
            <w:vAlign w:val="bottom"/>
            <w:gridSpan w:val="3"/>
            <w:vMerge w:val="restart"/>
          </w:tcPr>
          <w:p>
            <w:pPr>
              <w:jc w:val="right"/>
              <w:ind w:right="260"/>
              <w:spacing w:after="0"/>
              <w:rPr>
                <w:sz w:val="20"/>
                <w:szCs w:val="20"/>
                <w:color w:val="auto"/>
              </w:rPr>
            </w:pPr>
            <w:r>
              <w:rPr>
                <w:rFonts w:ascii="Arial" w:cs="Arial" w:eastAsia="Arial" w:hAnsi="Arial"/>
                <w:sz w:val="10"/>
                <w:szCs w:val="10"/>
                <w:b w:val="1"/>
                <w:bCs w:val="1"/>
                <w:color w:val="auto"/>
                <w:w w:val="91"/>
              </w:rPr>
              <w:t>April 24 - December</w:t>
            </w:r>
          </w:p>
        </w:tc>
        <w:tc>
          <w:tcPr>
            <w:tcW w:w="900" w:type="dxa"/>
            <w:vAlign w:val="bottom"/>
            <w:gridSpan w:val="2"/>
            <w:vMerge w:val="restart"/>
          </w:tcPr>
          <w:p>
            <w:pPr>
              <w:jc w:val="right"/>
              <w:spacing w:after="0"/>
              <w:rPr>
                <w:sz w:val="20"/>
                <w:szCs w:val="20"/>
                <w:color w:val="auto"/>
              </w:rPr>
            </w:pPr>
            <w:r>
              <w:rPr>
                <w:rFonts w:ascii="Arial" w:cs="Arial" w:eastAsia="Arial" w:hAnsi="Arial"/>
                <w:sz w:val="10"/>
                <w:szCs w:val="10"/>
                <w:b w:val="1"/>
                <w:bCs w:val="1"/>
                <w:color w:val="auto"/>
                <w:w w:val="90"/>
              </w:rPr>
              <w:t>January 1 - April 24,</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960" w:type="dxa"/>
            <w:vAlign w:val="bottom"/>
            <w:gridSpan w:val="5"/>
          </w:tcPr>
          <w:p>
            <w:pPr>
              <w:ind w:left="280"/>
              <w:spacing w:after="0"/>
              <w:rPr>
                <w:sz w:val="20"/>
                <w:szCs w:val="20"/>
                <w:color w:val="auto"/>
              </w:rPr>
            </w:pPr>
            <w:r>
              <w:rPr>
                <w:rFonts w:ascii="Arial" w:cs="Arial" w:eastAsia="Arial" w:hAnsi="Arial"/>
                <w:sz w:val="10"/>
                <w:szCs w:val="10"/>
                <w:b w:val="1"/>
                <w:bCs w:val="1"/>
                <w:color w:val="auto"/>
              </w:rPr>
              <w:t>Year Ended December 31,</w:t>
            </w:r>
          </w:p>
        </w:tc>
        <w:tc>
          <w:tcPr>
            <w:tcW w:w="0" w:type="dxa"/>
            <w:vAlign w:val="bottom"/>
          </w:tcPr>
          <w:p>
            <w:pPr>
              <w:spacing w:after="0"/>
              <w:rPr>
                <w:sz w:val="1"/>
                <w:szCs w:val="1"/>
                <w:color w:val="auto"/>
              </w:rPr>
            </w:pPr>
          </w:p>
        </w:tc>
      </w:tr>
      <w:tr>
        <w:trPr>
          <w:trHeight w:val="83"/>
        </w:trPr>
        <w:tc>
          <w:tcPr>
            <w:tcW w:w="4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140" w:type="dxa"/>
            <w:vAlign w:val="bottom"/>
            <w:gridSpan w:val="3"/>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4800" w:type="dxa"/>
            <w:vAlign w:val="bottom"/>
            <w:gridSpan w:val="2"/>
          </w:tcPr>
          <w:p>
            <w:pPr>
              <w:spacing w:after="0" w:line="114" w:lineRule="exact"/>
              <w:rPr>
                <w:sz w:val="20"/>
                <w:szCs w:val="20"/>
                <w:color w:val="auto"/>
              </w:rPr>
            </w:pPr>
            <w:r>
              <w:rPr>
                <w:rFonts w:ascii="Arial" w:cs="Arial" w:eastAsia="Arial" w:hAnsi="Arial"/>
                <w:sz w:val="10"/>
                <w:szCs w:val="10"/>
                <w:color w:val="auto"/>
              </w:rPr>
              <w:t>(Thousands, except per share data)</w:t>
            </w:r>
          </w:p>
        </w:tc>
        <w:tc>
          <w:tcPr>
            <w:tcW w:w="200" w:type="dxa"/>
            <w:vAlign w:val="bottom"/>
          </w:tcPr>
          <w:p>
            <w:pPr>
              <w:spacing w:after="0"/>
              <w:rPr>
                <w:sz w:val="9"/>
                <w:szCs w:val="9"/>
                <w:color w:val="auto"/>
              </w:rPr>
            </w:pPr>
          </w:p>
        </w:tc>
        <w:tc>
          <w:tcPr>
            <w:tcW w:w="700" w:type="dxa"/>
            <w:vAlign w:val="bottom"/>
          </w:tcPr>
          <w:p>
            <w:pPr>
              <w:jc w:val="right"/>
              <w:ind w:right="301"/>
              <w:spacing w:after="0" w:line="114" w:lineRule="exact"/>
              <w:rPr>
                <w:sz w:val="20"/>
                <w:szCs w:val="20"/>
                <w:color w:val="auto"/>
              </w:rPr>
            </w:pPr>
            <w:r>
              <w:rPr>
                <w:rFonts w:ascii="Arial" w:cs="Arial" w:eastAsia="Arial" w:hAnsi="Arial"/>
                <w:sz w:val="10"/>
                <w:szCs w:val="10"/>
                <w:b w:val="1"/>
                <w:bCs w:val="1"/>
                <w:color w:val="auto"/>
              </w:rPr>
              <w:t>2017</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jc w:val="right"/>
              <w:ind w:right="301"/>
              <w:spacing w:after="0" w:line="114" w:lineRule="exact"/>
              <w:rPr>
                <w:sz w:val="20"/>
                <w:szCs w:val="20"/>
                <w:color w:val="auto"/>
              </w:rPr>
            </w:pPr>
            <w:r>
              <w:rPr>
                <w:rFonts w:ascii="Arial" w:cs="Arial" w:eastAsia="Arial" w:hAnsi="Arial"/>
                <w:sz w:val="10"/>
                <w:szCs w:val="10"/>
                <w:b w:val="1"/>
                <w:bCs w:val="1"/>
                <w:color w:val="auto"/>
              </w:rPr>
              <w:t>2016</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jc w:val="right"/>
              <w:ind w:right="241"/>
              <w:spacing w:after="0" w:line="114" w:lineRule="exact"/>
              <w:rPr>
                <w:sz w:val="20"/>
                <w:szCs w:val="20"/>
                <w:color w:val="auto"/>
              </w:rPr>
            </w:pPr>
            <w:r>
              <w:rPr>
                <w:rFonts w:ascii="Arial" w:cs="Arial" w:eastAsia="Arial" w:hAnsi="Arial"/>
                <w:sz w:val="10"/>
                <w:szCs w:val="10"/>
                <w:b w:val="1"/>
                <w:bCs w:val="1"/>
                <w:color w:val="auto"/>
              </w:rPr>
              <w:t>31, 2015</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jc w:val="right"/>
              <w:ind w:right="301"/>
              <w:spacing w:after="0" w:line="114" w:lineRule="exact"/>
              <w:rPr>
                <w:sz w:val="20"/>
                <w:szCs w:val="20"/>
                <w:color w:val="auto"/>
              </w:rPr>
            </w:pPr>
            <w:r>
              <w:rPr>
                <w:rFonts w:ascii="Arial" w:cs="Arial" w:eastAsia="Arial" w:hAnsi="Arial"/>
                <w:sz w:val="10"/>
                <w:szCs w:val="10"/>
                <w:b w:val="1"/>
                <w:bCs w:val="1"/>
                <w:color w:val="auto"/>
              </w:rPr>
              <w:t>2015</w:t>
            </w: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jc w:val="right"/>
              <w:ind w:right="301"/>
              <w:spacing w:after="0" w:line="114" w:lineRule="exact"/>
              <w:rPr>
                <w:sz w:val="20"/>
                <w:szCs w:val="20"/>
                <w:color w:val="auto"/>
              </w:rPr>
            </w:pPr>
            <w:r>
              <w:rPr>
                <w:rFonts w:ascii="Arial" w:cs="Arial" w:eastAsia="Arial" w:hAnsi="Arial"/>
                <w:sz w:val="10"/>
                <w:szCs w:val="10"/>
                <w:b w:val="1"/>
                <w:bCs w:val="1"/>
                <w:color w:val="auto"/>
              </w:rPr>
              <w:t>2014</w:t>
            </w: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jc w:val="right"/>
              <w:ind w:right="301"/>
              <w:spacing w:after="0" w:line="114" w:lineRule="exact"/>
              <w:rPr>
                <w:sz w:val="20"/>
                <w:szCs w:val="20"/>
                <w:color w:val="auto"/>
              </w:rPr>
            </w:pPr>
            <w:r>
              <w:rPr>
                <w:rFonts w:ascii="Arial" w:cs="Arial" w:eastAsia="Arial" w:hAnsi="Arial"/>
                <w:sz w:val="10"/>
                <w:szCs w:val="10"/>
                <w:b w:val="1"/>
                <w:bCs w:val="1"/>
                <w:color w:val="auto"/>
              </w:rPr>
              <w:t>2013</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46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2"/>
                <w:szCs w:val="12"/>
                <w:b w:val="1"/>
                <w:bCs w:val="1"/>
                <w:color w:val="auto"/>
              </w:rPr>
              <w:t>Statement of Income Data:</w:t>
            </w:r>
          </w:p>
        </w:tc>
        <w:tc>
          <w:tcPr>
            <w:tcW w:w="12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74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800" w:type="dxa"/>
            <w:vAlign w:val="bottom"/>
            <w:gridSpan w:val="2"/>
          </w:tcPr>
          <w:p>
            <w:pPr>
              <w:spacing w:after="0"/>
              <w:rPr>
                <w:sz w:val="20"/>
                <w:szCs w:val="20"/>
                <w:color w:val="auto"/>
              </w:rPr>
            </w:pPr>
            <w:r>
              <w:rPr>
                <w:rFonts w:ascii="Arial" w:cs="Arial" w:eastAsia="Arial" w:hAnsi="Arial"/>
                <w:sz w:val="12"/>
                <w:szCs w:val="12"/>
                <w:color w:val="auto"/>
              </w:rPr>
              <w:t>Total revenue</w:t>
            </w:r>
            <w:r>
              <w:rPr>
                <w:rFonts w:ascii="Arial" w:cs="Arial" w:eastAsia="Arial" w:hAnsi="Arial"/>
                <w:sz w:val="10"/>
                <w:szCs w:val="10"/>
                <w:color w:val="auto"/>
              </w:rPr>
              <w:t>(1)</w:t>
            </w: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916,032</w:t>
            </w:r>
          </w:p>
        </w:tc>
        <w:tc>
          <w:tcPr>
            <w:tcW w:w="140" w:type="dxa"/>
            <w:vAlign w:val="bottom"/>
          </w:tcPr>
          <w:p>
            <w:pPr>
              <w:spacing w:after="0"/>
              <w:rPr>
                <w:sz w:val="13"/>
                <w:szCs w:val="13"/>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770,408</w:t>
            </w:r>
          </w:p>
        </w:tc>
        <w:tc>
          <w:tcPr>
            <w:tcW w:w="220" w:type="dxa"/>
            <w:vAlign w:val="bottom"/>
          </w:tcPr>
          <w:p>
            <w:pPr>
              <w:spacing w:after="0"/>
              <w:rPr>
                <w:sz w:val="13"/>
                <w:szCs w:val="13"/>
                <w:color w:val="auto"/>
              </w:rPr>
            </w:pP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476,314</w:t>
            </w:r>
          </w:p>
        </w:tc>
        <w:tc>
          <w:tcPr>
            <w:tcW w:w="220" w:type="dxa"/>
            <w:vAlign w:val="bottom"/>
          </w:tcPr>
          <w:p>
            <w:pPr>
              <w:spacing w:after="0"/>
              <w:rPr>
                <w:sz w:val="13"/>
                <w:szCs w:val="13"/>
                <w:color w:val="auto"/>
              </w:rPr>
            </w:pP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10,149</w:t>
            </w:r>
          </w:p>
        </w:tc>
        <w:tc>
          <w:tcPr>
            <w:tcW w:w="4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36,015</w:t>
            </w:r>
          </w:p>
        </w:tc>
        <w:tc>
          <w:tcPr>
            <w:tcW w:w="220" w:type="dxa"/>
            <w:vAlign w:val="bottom"/>
          </w:tcPr>
          <w:p>
            <w:pPr>
              <w:spacing w:after="0"/>
              <w:rPr>
                <w:sz w:val="13"/>
                <w:szCs w:val="13"/>
                <w:color w:val="auto"/>
              </w:rPr>
            </w:pP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45,126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8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Interest expense</w:t>
            </w:r>
          </w:p>
        </w:tc>
        <w:tc>
          <w:tcPr>
            <w:tcW w:w="20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305,994</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275,394</w:t>
            </w: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181,797</w:t>
            </w: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800" w:type="dxa"/>
            <w:vAlign w:val="bottom"/>
            <w:gridSpan w:val="2"/>
          </w:tcPr>
          <w:p>
            <w:pPr>
              <w:spacing w:after="0"/>
              <w:rPr>
                <w:sz w:val="20"/>
                <w:szCs w:val="20"/>
                <w:color w:val="auto"/>
              </w:rPr>
            </w:pPr>
            <w:r>
              <w:rPr>
                <w:rFonts w:ascii="Arial" w:cs="Arial" w:eastAsia="Arial" w:hAnsi="Arial"/>
                <w:sz w:val="12"/>
                <w:szCs w:val="12"/>
                <w:color w:val="auto"/>
              </w:rPr>
              <w:t>Net (loss) income attributable to common shareholders</w:t>
            </w:r>
          </w:p>
        </w:tc>
        <w:tc>
          <w:tcPr>
            <w:tcW w:w="200" w:type="dxa"/>
            <w:vAlign w:val="bottom"/>
          </w:tcPr>
          <w:p>
            <w:pPr>
              <w:spacing w:after="0"/>
              <w:rPr>
                <w:sz w:val="13"/>
                <w:szCs w:val="13"/>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2"/>
                <w:szCs w:val="12"/>
                <w:color w:val="auto"/>
              </w:rPr>
              <w:t>(16,552)</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2"/>
                <w:szCs w:val="12"/>
                <w:color w:val="auto"/>
              </w:rPr>
              <w:t>(5,497)</w:t>
            </w:r>
          </w:p>
        </w:tc>
        <w:tc>
          <w:tcPr>
            <w:tcW w:w="1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23,718</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8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Earnings per common share - basic</w:t>
            </w:r>
          </w:p>
        </w:tc>
        <w:tc>
          <w:tcPr>
            <w:tcW w:w="20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(0.10)</w:t>
            </w:r>
          </w:p>
        </w:tc>
        <w:tc>
          <w:tcPr>
            <w:tcW w:w="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(0.04)</w:t>
            </w: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0.16</w:t>
            </w: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800" w:type="dxa"/>
            <w:vAlign w:val="bottom"/>
            <w:gridSpan w:val="2"/>
          </w:tcPr>
          <w:p>
            <w:pPr>
              <w:spacing w:after="0"/>
              <w:rPr>
                <w:sz w:val="20"/>
                <w:szCs w:val="20"/>
                <w:color w:val="auto"/>
              </w:rPr>
            </w:pPr>
            <w:r>
              <w:rPr>
                <w:rFonts w:ascii="Arial" w:cs="Arial" w:eastAsia="Arial" w:hAnsi="Arial"/>
                <w:sz w:val="12"/>
                <w:szCs w:val="12"/>
                <w:color w:val="auto"/>
              </w:rPr>
              <w:t>Earnings per common share - diluted</w:t>
            </w: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2"/>
                <w:szCs w:val="12"/>
                <w:color w:val="auto"/>
              </w:rPr>
              <w:t>(0.13)</w:t>
            </w:r>
          </w:p>
        </w:tc>
        <w:tc>
          <w:tcPr>
            <w:tcW w:w="2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2"/>
                <w:szCs w:val="12"/>
                <w:color w:val="auto"/>
              </w:rPr>
              <w:t>(0.04)</w:t>
            </w: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0.16</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800" w:type="dxa"/>
            <w:vAlign w:val="bottom"/>
            <w:gridSpan w:val="2"/>
            <w:shd w:val="clear" w:color="auto" w:fill="CFF0FC"/>
          </w:tcPr>
          <w:p>
            <w:pPr>
              <w:spacing w:after="0"/>
              <w:rPr>
                <w:sz w:val="20"/>
                <w:szCs w:val="20"/>
                <w:color w:val="auto"/>
              </w:rPr>
            </w:pPr>
            <w:r>
              <w:rPr>
                <w:rFonts w:ascii="Arial" w:cs="Arial" w:eastAsia="Arial" w:hAnsi="Arial"/>
                <w:sz w:val="12"/>
                <w:szCs w:val="12"/>
                <w:b w:val="1"/>
                <w:bCs w:val="1"/>
                <w:color w:val="auto"/>
              </w:rPr>
              <w:t>Balance Sheet Data:</w:t>
            </w:r>
          </w:p>
        </w:tc>
        <w:tc>
          <w:tcPr>
            <w:tcW w:w="2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800" w:type="dxa"/>
            <w:vAlign w:val="bottom"/>
            <w:gridSpan w:val="2"/>
          </w:tcPr>
          <w:p>
            <w:pPr>
              <w:spacing w:after="0"/>
              <w:rPr>
                <w:sz w:val="20"/>
                <w:szCs w:val="20"/>
                <w:color w:val="auto"/>
              </w:rPr>
            </w:pPr>
            <w:r>
              <w:rPr>
                <w:rFonts w:ascii="Arial" w:cs="Arial" w:eastAsia="Arial" w:hAnsi="Arial"/>
                <w:sz w:val="12"/>
                <w:szCs w:val="12"/>
                <w:color w:val="auto"/>
              </w:rPr>
              <w:t>Total assets</w:t>
            </w:r>
            <w:r>
              <w:rPr>
                <w:rFonts w:ascii="Arial" w:cs="Arial" w:eastAsia="Arial" w:hAnsi="Arial"/>
                <w:sz w:val="10"/>
                <w:szCs w:val="10"/>
                <w:color w:val="auto"/>
              </w:rPr>
              <w:t>(2)</w:t>
            </w: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4,330,082</w:t>
            </w:r>
          </w:p>
        </w:tc>
        <w:tc>
          <w:tcPr>
            <w:tcW w:w="140" w:type="dxa"/>
            <w:vAlign w:val="bottom"/>
          </w:tcPr>
          <w:p>
            <w:pPr>
              <w:spacing w:after="0"/>
              <w:rPr>
                <w:sz w:val="13"/>
                <w:szCs w:val="13"/>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3,318,752</w:t>
            </w:r>
          </w:p>
        </w:tc>
        <w:tc>
          <w:tcPr>
            <w:tcW w:w="220" w:type="dxa"/>
            <w:vAlign w:val="bottom"/>
          </w:tcPr>
          <w:p>
            <w:pPr>
              <w:spacing w:after="0"/>
              <w:rPr>
                <w:sz w:val="13"/>
                <w:szCs w:val="13"/>
                <w:color w:val="auto"/>
              </w:rPr>
            </w:pP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2,542,636</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4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2,588,450</w:t>
            </w:r>
          </w:p>
        </w:tc>
        <w:tc>
          <w:tcPr>
            <w:tcW w:w="220" w:type="dxa"/>
            <w:vAlign w:val="bottom"/>
          </w:tcPr>
          <w:p>
            <w:pPr>
              <w:spacing w:after="0"/>
              <w:rPr>
                <w:sz w:val="13"/>
                <w:szCs w:val="13"/>
                <w:color w:val="auto"/>
              </w:rPr>
            </w:pP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2,704,882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8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Notes and other debt</w:t>
            </w:r>
            <w:r>
              <w:rPr>
                <w:rFonts w:ascii="Arial" w:cs="Arial" w:eastAsia="Arial" w:hAnsi="Arial"/>
                <w:sz w:val="10"/>
                <w:szCs w:val="10"/>
                <w:color w:val="auto"/>
              </w:rPr>
              <w:t>(3)</w:t>
            </w:r>
          </w:p>
        </w:tc>
        <w:tc>
          <w:tcPr>
            <w:tcW w:w="20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4,539,026</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4,082,749</w:t>
            </w: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3,505,228</w:t>
            </w: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800" w:type="dxa"/>
            <w:vAlign w:val="bottom"/>
            <w:gridSpan w:val="2"/>
          </w:tcPr>
          <w:p>
            <w:pPr>
              <w:spacing w:after="0"/>
              <w:rPr>
                <w:sz w:val="20"/>
                <w:szCs w:val="20"/>
                <w:color w:val="auto"/>
              </w:rPr>
            </w:pPr>
            <w:r>
              <w:rPr>
                <w:rFonts w:ascii="Arial" w:cs="Arial" w:eastAsia="Arial" w:hAnsi="Arial"/>
                <w:sz w:val="12"/>
                <w:szCs w:val="12"/>
                <w:color w:val="auto"/>
              </w:rPr>
              <w:t>Total shareholders' (deficit) equity</w:t>
            </w:r>
            <w:r>
              <w:rPr>
                <w:rFonts w:ascii="Arial" w:cs="Arial" w:eastAsia="Arial" w:hAnsi="Arial"/>
                <w:sz w:val="10"/>
                <w:szCs w:val="10"/>
                <w:color w:val="auto"/>
              </w:rPr>
              <w:t>(4)</w:t>
            </w:r>
          </w:p>
        </w:tc>
        <w:tc>
          <w:tcPr>
            <w:tcW w:w="200" w:type="dxa"/>
            <w:vAlign w:val="bottom"/>
          </w:tcPr>
          <w:p>
            <w:pPr>
              <w:spacing w:after="0"/>
              <w:rPr>
                <w:sz w:val="13"/>
                <w:szCs w:val="13"/>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2"/>
                <w:szCs w:val="12"/>
                <w:color w:val="auto"/>
              </w:rPr>
              <w:t>(1,207,142)</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2"/>
                <w:szCs w:val="12"/>
                <w:color w:val="auto"/>
              </w:rPr>
              <w:t>(1,402,445)</w:t>
            </w:r>
          </w:p>
        </w:tc>
        <w:tc>
          <w:tcPr>
            <w:tcW w:w="180" w:type="dxa"/>
            <w:vAlign w:val="bottom"/>
          </w:tcPr>
          <w:p>
            <w:pPr>
              <w:spacing w:after="0"/>
              <w:rPr>
                <w:sz w:val="13"/>
                <w:szCs w:val="13"/>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(1,166,906)</w:t>
            </w: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2,580,565</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2,695,223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800" w:type="dxa"/>
            <w:vAlign w:val="bottom"/>
            <w:gridSpan w:val="2"/>
            <w:shd w:val="clear" w:color="auto" w:fill="CFF0FC"/>
          </w:tcPr>
          <w:p>
            <w:pPr>
              <w:spacing w:after="0"/>
              <w:rPr>
                <w:sz w:val="20"/>
                <w:szCs w:val="20"/>
                <w:color w:val="auto"/>
              </w:rPr>
            </w:pPr>
            <w:r>
              <w:rPr>
                <w:rFonts w:ascii="Arial" w:cs="Arial" w:eastAsia="Arial" w:hAnsi="Arial"/>
                <w:sz w:val="12"/>
                <w:szCs w:val="12"/>
                <w:b w:val="1"/>
                <w:bCs w:val="1"/>
                <w:color w:val="auto"/>
              </w:rPr>
              <w:t>Other Data:</w:t>
            </w:r>
          </w:p>
        </w:tc>
        <w:tc>
          <w:tcPr>
            <w:tcW w:w="2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800" w:type="dxa"/>
            <w:vAlign w:val="bottom"/>
            <w:gridSpan w:val="2"/>
          </w:tcPr>
          <w:p>
            <w:pPr>
              <w:spacing w:after="0"/>
              <w:rPr>
                <w:sz w:val="20"/>
                <w:szCs w:val="20"/>
                <w:color w:val="auto"/>
              </w:rPr>
            </w:pPr>
            <w:r>
              <w:rPr>
                <w:rFonts w:ascii="Arial" w:cs="Arial" w:eastAsia="Arial" w:hAnsi="Arial"/>
                <w:sz w:val="12"/>
                <w:szCs w:val="12"/>
                <w:color w:val="auto"/>
              </w:rPr>
              <w:t>Net cash provided by operating activities</w:t>
            </w: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405,260</w:t>
            </w:r>
          </w:p>
        </w:tc>
        <w:tc>
          <w:tcPr>
            <w:tcW w:w="140" w:type="dxa"/>
            <w:vAlign w:val="bottom"/>
          </w:tcPr>
          <w:p>
            <w:pPr>
              <w:spacing w:after="0"/>
              <w:rPr>
                <w:sz w:val="13"/>
                <w:szCs w:val="13"/>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375,988</w:t>
            </w:r>
          </w:p>
        </w:tc>
        <w:tc>
          <w:tcPr>
            <w:tcW w:w="220" w:type="dxa"/>
            <w:vAlign w:val="bottom"/>
          </w:tcPr>
          <w:p>
            <w:pPr>
              <w:spacing w:after="0"/>
              <w:rPr>
                <w:sz w:val="13"/>
                <w:szCs w:val="13"/>
                <w:color w:val="auto"/>
              </w:rPr>
            </w:pP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293,208</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8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Net cash used in investing activities</w:t>
            </w:r>
          </w:p>
        </w:tc>
        <w:tc>
          <w:tcPr>
            <w:tcW w:w="20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(1,019,408)</w:t>
            </w:r>
          </w:p>
        </w:tc>
        <w:tc>
          <w:tcPr>
            <w:tcW w:w="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(535,231)</w:t>
            </w:r>
          </w:p>
        </w:tc>
        <w:tc>
          <w:tcPr>
            <w:tcW w:w="18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(1,079,442)</w:t>
            </w:r>
          </w:p>
        </w:tc>
        <w:tc>
          <w:tcPr>
            <w:tcW w:w="20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800" w:type="dxa"/>
            <w:vAlign w:val="bottom"/>
            <w:gridSpan w:val="2"/>
          </w:tcPr>
          <w:p>
            <w:pPr>
              <w:spacing w:after="0"/>
              <w:rPr>
                <w:sz w:val="20"/>
                <w:szCs w:val="20"/>
                <w:color w:val="auto"/>
              </w:rPr>
            </w:pPr>
            <w:r>
              <w:rPr>
                <w:rFonts w:ascii="Arial" w:cs="Arial" w:eastAsia="Arial" w:hAnsi="Arial"/>
                <w:sz w:val="12"/>
                <w:szCs w:val="12"/>
                <w:color w:val="auto"/>
              </w:rPr>
              <w:t>Net cash provided by financing activities</w:t>
            </w: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501,967</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188,766</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928,714</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8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Dividends paid</w:t>
            </w:r>
          </w:p>
        </w:tc>
        <w:tc>
          <w:tcPr>
            <w:tcW w:w="20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400,210</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367,830</w:t>
            </w: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156,854</w:t>
            </w: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800" w:type="dxa"/>
            <w:vAlign w:val="bottom"/>
            <w:gridSpan w:val="2"/>
          </w:tcPr>
          <w:p>
            <w:pPr>
              <w:spacing w:after="0"/>
              <w:rPr>
                <w:sz w:val="20"/>
                <w:szCs w:val="20"/>
                <w:color w:val="auto"/>
              </w:rPr>
            </w:pPr>
            <w:r>
              <w:rPr>
                <w:rFonts w:ascii="Arial" w:cs="Arial" w:eastAsia="Arial" w:hAnsi="Arial"/>
                <w:sz w:val="12"/>
                <w:szCs w:val="12"/>
                <w:color w:val="auto"/>
              </w:rPr>
              <w:t>Dividends declared per common share</w:t>
            </w: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2.40</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2.40</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1.64</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8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Funds from operations ("FFO")</w:t>
            </w:r>
            <w:r>
              <w:rPr>
                <w:rFonts w:ascii="Arial" w:cs="Arial" w:eastAsia="Arial" w:hAnsi="Arial"/>
                <w:sz w:val="10"/>
                <w:szCs w:val="10"/>
                <w:color w:val="auto"/>
              </w:rPr>
              <w:t>(5)</w:t>
            </w:r>
          </w:p>
        </w:tc>
        <w:tc>
          <w:tcPr>
            <w:tcW w:w="20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352,477</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346,051</w:t>
            </w: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259,829</w:t>
            </w: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800" w:type="dxa"/>
            <w:vAlign w:val="bottom"/>
            <w:gridSpan w:val="2"/>
          </w:tcPr>
          <w:p>
            <w:pPr>
              <w:spacing w:after="0"/>
              <w:rPr>
                <w:sz w:val="20"/>
                <w:szCs w:val="20"/>
                <w:color w:val="auto"/>
              </w:rPr>
            </w:pPr>
            <w:r>
              <w:rPr>
                <w:rFonts w:ascii="Arial" w:cs="Arial" w:eastAsia="Arial" w:hAnsi="Arial"/>
                <w:sz w:val="12"/>
                <w:szCs w:val="12"/>
                <w:color w:val="auto"/>
              </w:rPr>
              <w:t>Diluted FFO per common share</w:t>
            </w: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2.09</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2.27</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1.73</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8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Adjusted funds from operations ("AFFO")</w:t>
            </w:r>
            <w:r>
              <w:rPr>
                <w:rFonts w:ascii="Arial" w:cs="Arial" w:eastAsia="Arial" w:hAnsi="Arial"/>
                <w:sz w:val="10"/>
                <w:szCs w:val="10"/>
                <w:color w:val="auto"/>
              </w:rPr>
              <w:t>(5)</w:t>
            </w:r>
          </w:p>
        </w:tc>
        <w:tc>
          <w:tcPr>
            <w:tcW w:w="20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424,824</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398,537</w:t>
            </w: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267,077</w:t>
            </w: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800" w:type="dxa"/>
            <w:vAlign w:val="bottom"/>
            <w:gridSpan w:val="2"/>
          </w:tcPr>
          <w:p>
            <w:pPr>
              <w:spacing w:after="0"/>
              <w:rPr>
                <w:sz w:val="20"/>
                <w:szCs w:val="20"/>
                <w:color w:val="auto"/>
              </w:rPr>
            </w:pPr>
            <w:r>
              <w:rPr>
                <w:rFonts w:ascii="Arial" w:cs="Arial" w:eastAsia="Arial" w:hAnsi="Arial"/>
                <w:sz w:val="12"/>
                <w:szCs w:val="12"/>
                <w:color w:val="auto"/>
              </w:rPr>
              <w:t>Diluted AFFO per common share</w:t>
            </w: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2.51</w:t>
            </w:r>
          </w:p>
        </w:tc>
        <w:tc>
          <w:tcPr>
            <w:tcW w:w="140" w:type="dxa"/>
            <w:vAlign w:val="bottom"/>
          </w:tcPr>
          <w:p>
            <w:pPr>
              <w:spacing w:after="0"/>
              <w:rPr>
                <w:sz w:val="13"/>
                <w:szCs w:val="13"/>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2.61</w:t>
            </w:r>
          </w:p>
        </w:tc>
        <w:tc>
          <w:tcPr>
            <w:tcW w:w="220" w:type="dxa"/>
            <w:vAlign w:val="bottom"/>
          </w:tcPr>
          <w:p>
            <w:pPr>
              <w:spacing w:after="0"/>
              <w:rPr>
                <w:sz w:val="13"/>
                <w:szCs w:val="13"/>
                <w:color w:val="auto"/>
              </w:rPr>
            </w:pP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1.78</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8"/>
        <w:spacing w:after="0"/>
        <w:rPr>
          <w:sz w:val="20"/>
          <w:szCs w:val="20"/>
          <w:color w:val="auto"/>
        </w:rPr>
      </w:pPr>
      <w:r>
        <w:rPr>
          <w:rFonts w:ascii="Arial" w:cs="Arial" w:eastAsia="Arial" w:hAnsi="Arial"/>
          <w:sz w:val="12"/>
          <w:szCs w:val="12"/>
          <w:color w:val="auto"/>
        </w:rPr>
        <w:t>* Information not applicable for periods presented</w:t>
      </w:r>
    </w:p>
    <w:p>
      <w:pPr>
        <w:spacing w:after="0" w:line="15" w:lineRule="exact"/>
        <w:rPr>
          <w:sz w:val="20"/>
          <w:szCs w:val="20"/>
          <w:color w:val="auto"/>
        </w:rPr>
      </w:pPr>
    </w:p>
    <w:p>
      <w:pPr>
        <w:ind w:left="588" w:hanging="588"/>
        <w:spacing w:after="0"/>
        <w:tabs>
          <w:tab w:leader="none" w:pos="588" w:val="left"/>
        </w:tabs>
        <w:numPr>
          <w:ilvl w:val="0"/>
          <w:numId w:val="9"/>
        </w:numPr>
        <w:rPr>
          <w:rFonts w:ascii="Arial" w:cs="Arial" w:eastAsia="Arial" w:hAnsi="Arial"/>
          <w:sz w:val="12"/>
          <w:szCs w:val="12"/>
          <w:color w:val="auto"/>
        </w:rPr>
      </w:pPr>
      <w:r>
        <w:rPr>
          <w:rFonts w:ascii="Arial" w:cs="Arial" w:eastAsia="Arial" w:hAnsi="Arial"/>
          <w:sz w:val="12"/>
          <w:szCs w:val="12"/>
          <w:color w:val="auto"/>
        </w:rPr>
        <w:t>For periods prior to April 24, 2015, amounts represent revenues of the Consumer CLEC Business as an integrated operation within Windstream.</w:t>
      </w:r>
    </w:p>
    <w:p>
      <w:pPr>
        <w:spacing w:after="0" w:line="6" w:lineRule="exact"/>
        <w:rPr>
          <w:rFonts w:ascii="Arial" w:cs="Arial" w:eastAsia="Arial" w:hAnsi="Arial"/>
          <w:sz w:val="12"/>
          <w:szCs w:val="12"/>
          <w:color w:val="auto"/>
        </w:rPr>
      </w:pPr>
    </w:p>
    <w:p>
      <w:pPr>
        <w:ind w:left="588" w:hanging="588"/>
        <w:spacing w:after="0"/>
        <w:tabs>
          <w:tab w:leader="none" w:pos="588" w:val="left"/>
        </w:tabs>
        <w:numPr>
          <w:ilvl w:val="0"/>
          <w:numId w:val="9"/>
        </w:numPr>
        <w:rPr>
          <w:rFonts w:ascii="Arial" w:cs="Arial" w:eastAsia="Arial" w:hAnsi="Arial"/>
          <w:sz w:val="12"/>
          <w:szCs w:val="12"/>
          <w:color w:val="auto"/>
        </w:rPr>
      </w:pPr>
      <w:r>
        <w:rPr>
          <w:rFonts w:ascii="Arial" w:cs="Arial" w:eastAsia="Arial" w:hAnsi="Arial"/>
          <w:sz w:val="12"/>
          <w:szCs w:val="12"/>
          <w:color w:val="auto"/>
        </w:rPr>
        <w:t>As of December 31, 2014 and 2013 amounts represent the combined assets of the Consumer CLEC Business and the Distribution Systems.</w:t>
      </w:r>
    </w:p>
    <w:p>
      <w:pPr>
        <w:spacing w:after="0" w:line="6" w:lineRule="exact"/>
        <w:rPr>
          <w:rFonts w:ascii="Arial" w:cs="Arial" w:eastAsia="Arial" w:hAnsi="Arial"/>
          <w:sz w:val="12"/>
          <w:szCs w:val="12"/>
          <w:color w:val="auto"/>
        </w:rPr>
      </w:pPr>
    </w:p>
    <w:p>
      <w:pPr>
        <w:ind w:left="588" w:hanging="588"/>
        <w:spacing w:after="0"/>
        <w:tabs>
          <w:tab w:leader="none" w:pos="588" w:val="left"/>
        </w:tabs>
        <w:numPr>
          <w:ilvl w:val="0"/>
          <w:numId w:val="9"/>
        </w:numPr>
        <w:rPr>
          <w:rFonts w:ascii="Arial" w:cs="Arial" w:eastAsia="Arial" w:hAnsi="Arial"/>
          <w:sz w:val="12"/>
          <w:szCs w:val="12"/>
          <w:color w:val="auto"/>
        </w:rPr>
      </w:pPr>
      <w:r>
        <w:rPr>
          <w:rFonts w:ascii="Arial" w:cs="Arial" w:eastAsia="Arial" w:hAnsi="Arial"/>
          <w:sz w:val="12"/>
          <w:szCs w:val="12"/>
          <w:color w:val="auto"/>
        </w:rPr>
        <w:t>As of December 31, 2017 and 2016, amount includes $56.3 million and $54.5 million of capital lease obligations, respectively.</w:t>
      </w:r>
    </w:p>
    <w:p>
      <w:pPr>
        <w:spacing w:after="0" w:line="141"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329170" cy="368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8"/>
          </w:cols>
          <w:pgMar w:left="212" w:top="131" w:right="199" w:bottom="1440" w:gutter="0" w:footer="0" w:header="0"/>
        </w:sectPr>
      </w:pPr>
    </w:p>
    <w:bookmarkStart w:id="25" w:name="page26"/>
    <w:bookmarkEnd w:id="25"/>
    <w:p>
      <w:pPr>
        <w:ind w:left="8"/>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78" w:lineRule="exact"/>
        <w:rPr>
          <w:sz w:val="20"/>
          <w:szCs w:val="20"/>
          <w:color w:val="auto"/>
        </w:rPr>
      </w:pPr>
    </w:p>
    <w:p>
      <w:pPr>
        <w:ind w:left="588" w:hanging="588"/>
        <w:spacing w:after="0"/>
        <w:tabs>
          <w:tab w:leader="none" w:pos="588" w:val="left"/>
        </w:tabs>
        <w:numPr>
          <w:ilvl w:val="0"/>
          <w:numId w:val="10"/>
        </w:numPr>
        <w:rPr>
          <w:rFonts w:ascii="Arial" w:cs="Arial" w:eastAsia="Arial" w:hAnsi="Arial"/>
          <w:sz w:val="10"/>
          <w:szCs w:val="10"/>
          <w:color w:val="auto"/>
        </w:rPr>
      </w:pPr>
      <w:r>
        <w:rPr>
          <w:rFonts w:ascii="Arial" w:cs="Arial" w:eastAsia="Arial" w:hAnsi="Arial"/>
          <w:sz w:val="10"/>
          <w:szCs w:val="10"/>
          <w:color w:val="auto"/>
        </w:rPr>
        <w:t>As of December 31, 2014 and 2013 amounts include the net assets contributed of the Consumer CLEC Business and the Distribution Systems.</w:t>
      </w:r>
    </w:p>
    <w:p>
      <w:pPr>
        <w:spacing w:after="0" w:line="37" w:lineRule="exact"/>
        <w:rPr>
          <w:rFonts w:ascii="Arial" w:cs="Arial" w:eastAsia="Arial" w:hAnsi="Arial"/>
          <w:sz w:val="10"/>
          <w:szCs w:val="10"/>
          <w:color w:val="auto"/>
        </w:rPr>
      </w:pPr>
    </w:p>
    <w:p>
      <w:pPr>
        <w:ind w:left="588" w:hanging="588"/>
        <w:spacing w:after="0"/>
        <w:tabs>
          <w:tab w:leader="none" w:pos="588" w:val="left"/>
        </w:tabs>
        <w:numPr>
          <w:ilvl w:val="0"/>
          <w:numId w:val="10"/>
        </w:numPr>
        <w:rPr>
          <w:rFonts w:ascii="Arial" w:cs="Arial" w:eastAsia="Arial" w:hAnsi="Arial"/>
          <w:sz w:val="12"/>
          <w:szCs w:val="12"/>
          <w:color w:val="auto"/>
        </w:rPr>
      </w:pPr>
      <w:r>
        <w:rPr>
          <w:rFonts w:ascii="Arial" w:cs="Arial" w:eastAsia="Arial" w:hAnsi="Arial"/>
          <w:sz w:val="12"/>
          <w:szCs w:val="12"/>
          <w:color w:val="auto"/>
        </w:rPr>
        <w:t xml:space="preserve">For a more detailed discussion and reconciliation of FFO and AFFO, see “Non-GAAP Financial Measures” in </w:t>
      </w:r>
      <w:hyperlink w:anchor="page27">
        <w:r>
          <w:rPr>
            <w:rFonts w:ascii="Arial" w:cs="Arial" w:eastAsia="Arial" w:hAnsi="Arial"/>
            <w:sz w:val="12"/>
            <w:szCs w:val="12"/>
            <w:u w:val="single" w:color="auto"/>
            <w:color w:val="0000EE"/>
          </w:rPr>
          <w:t>Item 7</w:t>
        </w:r>
      </w:hyperlink>
      <w:r>
        <w:rPr>
          <w:rFonts w:ascii="Arial" w:cs="Arial" w:eastAsia="Arial" w:hAnsi="Arial"/>
          <w:sz w:val="12"/>
          <w:szCs w:val="12"/>
          <w:color w:val="auto"/>
        </w:rPr>
        <w:t>.</w:t>
      </w:r>
    </w:p>
    <w:p>
      <w:pPr>
        <w:spacing w:after="0" w:line="200" w:lineRule="exact"/>
        <w:rPr>
          <w:sz w:val="20"/>
          <w:szCs w:val="20"/>
          <w:color w:val="auto"/>
        </w:rPr>
      </w:pPr>
    </w:p>
    <w:p>
      <w:pPr>
        <w:spacing w:after="0" w:line="221" w:lineRule="exact"/>
        <w:rPr>
          <w:sz w:val="20"/>
          <w:szCs w:val="20"/>
          <w:color w:val="auto"/>
        </w:rPr>
      </w:pPr>
    </w:p>
    <w:p>
      <w:pPr>
        <w:ind w:left="5688"/>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329170" cy="368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0247"/>
          </w:cols>
          <w:pgMar w:left="212" w:top="131" w:right="1440" w:bottom="1440" w:gutter="0" w:footer="0" w:header="0"/>
        </w:sectPr>
      </w:pPr>
    </w:p>
    <w:bookmarkStart w:id="26" w:name="page27"/>
    <w:bookmarkEnd w:id="26"/>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7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7. Management’s Discussion and Analysis of Financial Condition and Results of Operations.</w:t>
      </w:r>
    </w:p>
    <w:p>
      <w:pPr>
        <w:spacing w:after="0" w:line="82" w:lineRule="exact"/>
        <w:rPr>
          <w:sz w:val="20"/>
          <w:szCs w:val="20"/>
          <w:color w:val="auto"/>
        </w:rPr>
      </w:pPr>
    </w:p>
    <w:p>
      <w:pPr>
        <w:ind w:right="140"/>
        <w:spacing w:after="0" w:line="276" w:lineRule="auto"/>
        <w:rPr>
          <w:sz w:val="20"/>
          <w:szCs w:val="20"/>
          <w:color w:val="auto"/>
        </w:rPr>
      </w:pPr>
      <w:r>
        <w:rPr>
          <w:rFonts w:ascii="Arial" w:cs="Arial" w:eastAsia="Arial" w:hAnsi="Arial"/>
          <w:sz w:val="12"/>
          <w:szCs w:val="12"/>
          <w:color w:val="auto"/>
        </w:rPr>
        <w:t>The following management’s discussion and analysis of financial condition and results of operations describes the principal factors affecting the results of our operations, financial condition, and changes in financial condition, as well as our critical accounting estimates.</w:t>
      </w:r>
    </w:p>
    <w:p>
      <w:pPr>
        <w:spacing w:after="0" w:line="18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Overview</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Company Description</w:t>
      </w:r>
    </w:p>
    <w:p>
      <w:pPr>
        <w:spacing w:after="0" w:line="150" w:lineRule="exact"/>
        <w:rPr>
          <w:sz w:val="20"/>
          <w:szCs w:val="20"/>
          <w:color w:val="auto"/>
        </w:rPr>
      </w:pPr>
    </w:p>
    <w:p>
      <w:pPr>
        <w:ind w:right="740"/>
        <w:spacing w:after="0" w:line="323" w:lineRule="auto"/>
        <w:rPr>
          <w:sz w:val="20"/>
          <w:szCs w:val="20"/>
          <w:color w:val="auto"/>
        </w:rPr>
      </w:pPr>
      <w:r>
        <w:rPr>
          <w:rFonts w:ascii="Arial" w:cs="Arial" w:eastAsia="Arial" w:hAnsi="Arial"/>
          <w:sz w:val="11"/>
          <w:szCs w:val="11"/>
          <w:color w:val="auto"/>
        </w:rPr>
        <w:t>Uniti Group Inc. (the “Company”, “Uniti”, “we”, “us” or “our”) is an independent, internally managed real estate investment trust (“REIT”) engaged in the acquisition and construction of mission critical infrastructure in the communications industry. We are principally focused on acquiring and constructing fiber optic broadband networks, wireless communications towers, copper and coaxial broadband networks and data centers.</w:t>
      </w:r>
    </w:p>
    <w:p>
      <w:pPr>
        <w:spacing w:after="0" w:line="92" w:lineRule="exact"/>
        <w:rPr>
          <w:sz w:val="20"/>
          <w:szCs w:val="20"/>
          <w:color w:val="auto"/>
        </w:rPr>
      </w:pPr>
    </w:p>
    <w:p>
      <w:pPr>
        <w:spacing w:after="0" w:line="290" w:lineRule="auto"/>
        <w:rPr>
          <w:sz w:val="20"/>
          <w:szCs w:val="20"/>
          <w:color w:val="auto"/>
        </w:rPr>
      </w:pPr>
      <w:r>
        <w:rPr>
          <w:rFonts w:ascii="Arial" w:cs="Arial" w:eastAsia="Arial" w:hAnsi="Arial"/>
          <w:sz w:val="11"/>
          <w:szCs w:val="11"/>
          <w:color w:val="auto"/>
        </w:rPr>
        <w:t>On April 24, 2015, we were separated and spun-off (the “Spin-Off”) from Windstream Holdings, Inc. (“Windstream Holdings” and together with its subsidiaries, “Windstream”) pursuant to which Windstream contributed certain telecommunications network assets, including fiber and copper networks and other real estate (the “Distribution Systems”) and a small consumer competitive local exchange carrier (“CLEC”) business (the “Consumer CLEC Business”), to Uniti and Uniti issued common stock and indebtedness and paid cash obtained from borrowings under Uniti’s senior credit facilities to Windstream. In connection with the Spin-Off, we entered into a long-term exclusive triple-net lease (the “Master Lease”) with Windstream, pursuant to which a substantial portion of our real property is leased to Windstream and from which substantially all of our leasing revenues are currently derived.</w:t>
      </w:r>
    </w:p>
    <w:p>
      <w:pPr>
        <w:spacing w:after="0" w:line="37" w:lineRule="exact"/>
        <w:rPr>
          <w:sz w:val="20"/>
          <w:szCs w:val="20"/>
          <w:color w:val="auto"/>
        </w:rPr>
      </w:pPr>
    </w:p>
    <w:p>
      <w:pPr>
        <w:jc w:val="both"/>
        <w:ind w:right="160"/>
        <w:spacing w:after="0" w:line="298" w:lineRule="auto"/>
        <w:rPr>
          <w:sz w:val="20"/>
          <w:szCs w:val="20"/>
          <w:color w:val="auto"/>
        </w:rPr>
      </w:pPr>
      <w:r>
        <w:rPr>
          <w:rFonts w:ascii="Arial" w:cs="Arial" w:eastAsia="Arial" w:hAnsi="Arial"/>
          <w:sz w:val="11"/>
          <w:szCs w:val="11"/>
          <w:color w:val="auto"/>
        </w:rPr>
        <w:t>Uniti operates as a REIT for U.S. federal income tax purposes. As a REIT, the Company is generally not subject to U.S. federal income taxes on income generated by its REIT operations, which includes income derived from the Master Lease. We have elected to treat the subsidiaries through which we operate our fiber business, Uniti Fiber, and Talk America Services, LLC, which operates the Consumer CLEC Business (“Talk America”), as taxable REIT subsidiaries (“TRSs”). TRSs enable us to engage in activities that result in income that does not constitute qualifying income for a REIT. Our TRSs are subject to U.S. federal, state and local corporate income taxes.</w:t>
      </w:r>
    </w:p>
    <w:p>
      <w:pPr>
        <w:spacing w:after="0" w:line="33" w:lineRule="exact"/>
        <w:rPr>
          <w:sz w:val="20"/>
          <w:szCs w:val="20"/>
          <w:color w:val="auto"/>
        </w:rPr>
      </w:pPr>
    </w:p>
    <w:p>
      <w:pPr>
        <w:jc w:val="both"/>
        <w:ind w:right="20"/>
        <w:spacing w:after="0" w:line="263" w:lineRule="auto"/>
        <w:rPr>
          <w:sz w:val="20"/>
          <w:szCs w:val="20"/>
          <w:color w:val="auto"/>
        </w:rPr>
      </w:pPr>
      <w:r>
        <w:rPr>
          <w:rFonts w:ascii="Arial" w:cs="Arial" w:eastAsia="Arial" w:hAnsi="Arial"/>
          <w:sz w:val="12"/>
          <w:szCs w:val="12"/>
          <w:color w:val="auto"/>
        </w:rPr>
        <w:t>The Company operates through a customary up-REIT structure, pursuant to which we hold substantially all of our assets through a partnership, Uniti Group LP, a Delaware limited partnership (the “Operating Partnership”), that we control as general partner. This structure is intended to facilitate future acquisition opportunities by providing the Company with the ability to use common units of the Operating Partnership as a tax-efficient acquisition currency. As of the date of this report, we are the sole general partner of the Operating Partnership and own approximately 97.7% of the partnership interests in the Operating Partnership.</w:t>
      </w:r>
    </w:p>
    <w:p>
      <w:pPr>
        <w:spacing w:after="0" w:line="51" w:lineRule="exact"/>
        <w:rPr>
          <w:sz w:val="20"/>
          <w:szCs w:val="20"/>
          <w:color w:val="auto"/>
        </w:rPr>
      </w:pPr>
    </w:p>
    <w:p>
      <w:pPr>
        <w:ind w:right="20"/>
        <w:spacing w:after="0" w:line="290" w:lineRule="auto"/>
        <w:rPr>
          <w:sz w:val="20"/>
          <w:szCs w:val="20"/>
          <w:color w:val="auto"/>
        </w:rPr>
      </w:pPr>
      <w:r>
        <w:rPr>
          <w:rFonts w:ascii="Arial" w:cs="Arial" w:eastAsia="Arial" w:hAnsi="Arial"/>
          <w:sz w:val="11"/>
          <w:szCs w:val="11"/>
          <w:color w:val="auto"/>
        </w:rPr>
        <w:t>We expect to grow and diversify our portfolio and tenant base by pursuing a range of transaction structures with communication service providers, including, (i) sale leaseback transactions, whereby we acquire existing infrastructure assets from third parties, including communication service providers, and lease them back on a long-term triple net basis; (ii) whole company acquisitions, which may include the use of one or more TRSs that are permitted under the tax laws to acquire and operate non-REIT businesses and assets subject to certain limitations; (iii) capital investment financing, whereby we offer communication service providers a cost efficient method of raising funds for discrete capital investments to upgrade or expand their network; and (iv) mergers and acquisitions financing, whereby we facilitate mergers and acquisition transactions as a capital partner.</w:t>
      </w:r>
    </w:p>
    <w:p>
      <w:pPr>
        <w:spacing w:after="0" w:line="109" w:lineRule="exact"/>
        <w:rPr>
          <w:sz w:val="20"/>
          <w:szCs w:val="20"/>
          <w:color w:val="auto"/>
        </w:rPr>
      </w:pPr>
    </w:p>
    <w:p>
      <w:pPr>
        <w:spacing w:after="0"/>
        <w:rPr>
          <w:sz w:val="20"/>
          <w:szCs w:val="20"/>
          <w:color w:val="auto"/>
        </w:rPr>
      </w:pPr>
      <w:r>
        <w:rPr>
          <w:rFonts w:ascii="Arial" w:cs="Arial" w:eastAsia="Arial" w:hAnsi="Arial"/>
          <w:sz w:val="12"/>
          <w:szCs w:val="12"/>
          <w:color w:val="auto"/>
        </w:rPr>
        <w:t>We manage our operations as four reportable business segments in addition to our corporate operations:</w:t>
      </w:r>
    </w:p>
    <w:p>
      <w:pPr>
        <w:spacing w:after="0" w:line="150" w:lineRule="exact"/>
        <w:rPr>
          <w:sz w:val="20"/>
          <w:szCs w:val="20"/>
          <w:color w:val="auto"/>
        </w:rPr>
      </w:pPr>
    </w:p>
    <w:p>
      <w:pPr>
        <w:ind w:right="120"/>
        <w:spacing w:after="0" w:line="276" w:lineRule="auto"/>
        <w:rPr>
          <w:sz w:val="20"/>
          <w:szCs w:val="20"/>
          <w:color w:val="auto"/>
        </w:rPr>
      </w:pPr>
      <w:r>
        <w:rPr>
          <w:rFonts w:ascii="Arial" w:cs="Arial" w:eastAsia="Arial" w:hAnsi="Arial"/>
          <w:sz w:val="12"/>
          <w:szCs w:val="12"/>
          <w:i w:val="1"/>
          <w:iCs w:val="1"/>
          <w:u w:val="single" w:color="auto"/>
          <w:color w:val="auto"/>
        </w:rPr>
        <w:t>Leasing Segment</w:t>
      </w:r>
      <w:r>
        <w:rPr>
          <w:rFonts w:ascii="Arial" w:cs="Arial" w:eastAsia="Arial" w:hAnsi="Arial"/>
          <w:sz w:val="12"/>
          <w:szCs w:val="12"/>
          <w:color w:val="auto"/>
        </w:rPr>
        <w:t>: Represents our REIT operations and includes the results from our leasing business, Uniti Leasing, which is engaged in the acquisition of mission-critical communications assets and leasing them to anchor customers on</w:t>
      </w:r>
      <w:r>
        <w:rPr>
          <w:rFonts w:ascii="Arial" w:cs="Arial" w:eastAsia="Arial" w:hAnsi="Arial"/>
          <w:sz w:val="12"/>
          <w:szCs w:val="12"/>
          <w:i w:val="1"/>
          <w:iCs w:val="1"/>
          <w:color w:val="auto"/>
        </w:rPr>
        <w:t xml:space="preserve"> </w:t>
      </w:r>
      <w:r>
        <w:rPr>
          <w:rFonts w:ascii="Arial" w:cs="Arial" w:eastAsia="Arial" w:hAnsi="Arial"/>
          <w:sz w:val="12"/>
          <w:szCs w:val="12"/>
          <w:color w:val="auto"/>
        </w:rPr>
        <w:t>either an exclusive or shared-tenant basis.</w:t>
      </w:r>
    </w:p>
    <w:p>
      <w:pPr>
        <w:spacing w:after="0" w:line="115" w:lineRule="exact"/>
        <w:rPr>
          <w:sz w:val="20"/>
          <w:szCs w:val="20"/>
          <w:color w:val="auto"/>
        </w:rPr>
      </w:pPr>
    </w:p>
    <w:p>
      <w:pPr>
        <w:spacing w:after="0"/>
        <w:rPr>
          <w:sz w:val="20"/>
          <w:szCs w:val="20"/>
          <w:color w:val="auto"/>
        </w:rPr>
      </w:pPr>
      <w:r>
        <w:rPr>
          <w:rFonts w:ascii="Arial" w:cs="Arial" w:eastAsia="Arial" w:hAnsi="Arial"/>
          <w:sz w:val="11"/>
          <w:szCs w:val="11"/>
          <w:i w:val="1"/>
          <w:iCs w:val="1"/>
          <w:u w:val="single" w:color="auto"/>
          <w:color w:val="auto"/>
        </w:rPr>
        <w:t>Fiber Infrastructure Segment</w:t>
      </w:r>
      <w:r>
        <w:rPr>
          <w:rFonts w:ascii="Arial" w:cs="Arial" w:eastAsia="Arial" w:hAnsi="Arial"/>
          <w:sz w:val="11"/>
          <w:szCs w:val="11"/>
          <w:color w:val="auto"/>
        </w:rPr>
        <w:t>: Represents the operations of our fiber business, Uniti Fiber, which is a leading provider of infrastructure solutions, including cell site backhaul and dark fiber, to the telecommunications industry.</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40"/>
          </w:cols>
          <w:pgMar w:left="220" w:top="131" w:right="239" w:bottom="1440" w:gutter="0" w:footer="0" w:header="0"/>
        </w:sectPr>
      </w:pPr>
    </w:p>
    <w:bookmarkStart w:id="27" w:name="page28"/>
    <w:bookmarkEnd w:id="27"/>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Towers Segment</w:t>
      </w:r>
      <w:r>
        <w:rPr>
          <w:rFonts w:ascii="Arial" w:cs="Arial" w:eastAsia="Arial" w:hAnsi="Arial"/>
          <w:sz w:val="12"/>
          <w:szCs w:val="12"/>
          <w:color w:val="auto"/>
        </w:rPr>
        <w:t>: Represents the operations of our towers business, Uniti Towers, through which we acquire and construct tower and tower-related real estate in the United States and Latin America.</w:t>
      </w:r>
    </w:p>
    <w:p>
      <w:pPr>
        <w:spacing w:after="0" w:line="150" w:lineRule="exact"/>
        <w:rPr>
          <w:sz w:val="20"/>
          <w:szCs w:val="20"/>
          <w:color w:val="auto"/>
        </w:rPr>
      </w:pPr>
    </w:p>
    <w:p>
      <w:pPr>
        <w:spacing w:after="0" w:line="276" w:lineRule="auto"/>
        <w:rPr>
          <w:sz w:val="20"/>
          <w:szCs w:val="20"/>
          <w:color w:val="auto"/>
        </w:rPr>
      </w:pPr>
      <w:r>
        <w:rPr>
          <w:rFonts w:ascii="Arial" w:cs="Arial" w:eastAsia="Arial" w:hAnsi="Arial"/>
          <w:sz w:val="12"/>
          <w:szCs w:val="12"/>
          <w:i w:val="1"/>
          <w:iCs w:val="1"/>
          <w:u w:val="single" w:color="auto"/>
          <w:color w:val="auto"/>
        </w:rPr>
        <w:t>Consumer CLEC Segment</w:t>
      </w:r>
      <w:r>
        <w:rPr>
          <w:rFonts w:ascii="Arial" w:cs="Arial" w:eastAsia="Arial" w:hAnsi="Arial"/>
          <w:sz w:val="12"/>
          <w:szCs w:val="12"/>
          <w:color w:val="auto"/>
        </w:rPr>
        <w:t>: Represents the operations of Talk America through which we operate the Consumer CLEC Business, that prior to the Spin-Off was reported as an integrated operation within Windstream. Talk America provides</w:t>
      </w:r>
      <w:r>
        <w:rPr>
          <w:rFonts w:ascii="Arial" w:cs="Arial" w:eastAsia="Arial" w:hAnsi="Arial"/>
          <w:sz w:val="12"/>
          <w:szCs w:val="12"/>
          <w:i w:val="1"/>
          <w:iCs w:val="1"/>
          <w:color w:val="auto"/>
        </w:rPr>
        <w:t xml:space="preserve"> </w:t>
      </w:r>
      <w:r>
        <w:rPr>
          <w:rFonts w:ascii="Arial" w:cs="Arial" w:eastAsia="Arial" w:hAnsi="Arial"/>
          <w:sz w:val="12"/>
          <w:szCs w:val="12"/>
          <w:color w:val="auto"/>
        </w:rPr>
        <w:t>local telephone, high-speed internet and long distance services to customers in the eastern and central United States.</w:t>
      </w:r>
    </w:p>
    <w:p>
      <w:pPr>
        <w:spacing w:after="0" w:line="115" w:lineRule="exact"/>
        <w:rPr>
          <w:sz w:val="20"/>
          <w:szCs w:val="20"/>
          <w:color w:val="auto"/>
        </w:rPr>
      </w:pPr>
    </w:p>
    <w:p>
      <w:pPr>
        <w:ind w:right="280"/>
        <w:spacing w:after="0" w:line="276" w:lineRule="auto"/>
        <w:rPr>
          <w:sz w:val="20"/>
          <w:szCs w:val="20"/>
          <w:color w:val="auto"/>
        </w:rPr>
      </w:pPr>
      <w:r>
        <w:rPr>
          <w:rFonts w:ascii="Arial" w:cs="Arial" w:eastAsia="Arial" w:hAnsi="Arial"/>
          <w:sz w:val="12"/>
          <w:szCs w:val="12"/>
          <w:i w:val="1"/>
          <w:iCs w:val="1"/>
          <w:u w:val="single" w:color="auto"/>
          <w:color w:val="auto"/>
        </w:rPr>
        <w:t>Corporate Operations</w:t>
      </w:r>
      <w:r>
        <w:rPr>
          <w:rFonts w:ascii="Arial" w:cs="Arial" w:eastAsia="Arial" w:hAnsi="Arial"/>
          <w:sz w:val="12"/>
          <w:szCs w:val="12"/>
          <w:color w:val="auto"/>
        </w:rPr>
        <w:t>: Represents our corporate and back office functions. Certain costs and expenses, primarily related to headcount, insurance, professional fees and similar charges, that are directly attributable to operations of our</w:t>
      </w:r>
      <w:r>
        <w:rPr>
          <w:rFonts w:ascii="Arial" w:cs="Arial" w:eastAsia="Arial" w:hAnsi="Arial"/>
          <w:sz w:val="12"/>
          <w:szCs w:val="12"/>
          <w:i w:val="1"/>
          <w:iCs w:val="1"/>
          <w:color w:val="auto"/>
        </w:rPr>
        <w:t xml:space="preserve"> </w:t>
      </w:r>
      <w:r>
        <w:rPr>
          <w:rFonts w:ascii="Arial" w:cs="Arial" w:eastAsia="Arial" w:hAnsi="Arial"/>
          <w:sz w:val="12"/>
          <w:szCs w:val="12"/>
          <w:color w:val="auto"/>
        </w:rPr>
        <w:t>business segments are allocated to the respective segments.</w:t>
      </w:r>
    </w:p>
    <w:p>
      <w:pPr>
        <w:spacing w:after="0" w:line="43" w:lineRule="exact"/>
        <w:rPr>
          <w:sz w:val="20"/>
          <w:szCs w:val="20"/>
          <w:color w:val="auto"/>
        </w:rPr>
      </w:pPr>
    </w:p>
    <w:p>
      <w:pPr>
        <w:jc w:val="both"/>
        <w:ind w:right="160"/>
        <w:spacing w:after="0" w:line="290" w:lineRule="auto"/>
        <w:rPr>
          <w:rFonts w:ascii="Arial" w:cs="Arial" w:eastAsia="Arial" w:hAnsi="Arial"/>
          <w:sz w:val="11"/>
          <w:szCs w:val="11"/>
          <w:color w:val="auto"/>
        </w:rPr>
      </w:pPr>
      <w:r>
        <w:rPr>
          <w:rFonts w:ascii="Arial" w:cs="Arial" w:eastAsia="Arial" w:hAnsi="Arial"/>
          <w:sz w:val="11"/>
          <w:szCs w:val="11"/>
          <w:color w:val="auto"/>
        </w:rPr>
        <w:t xml:space="preserve">We evaluate the performance of each segment based on Adjusted EBITDA, which is a segment performance measure we define as net income determined in accordance with GAAP, before interest expense, provision for income taxes, depreciation and amortization, stock-based compensation expense, the impact, which may be recurring in nature, of transaction and integration related expenses, the write off of unamortized deferred financing costs, costs incurred as a result of the early repayment of debt, changes in the fair value of contingent consideration and financial instruments, and other similar items. For more information on Adjusted EBITDA, see “Non-GAAP Financial Measures.” Detailed information about our segments can be found in </w:t>
      </w:r>
      <w:hyperlink w:anchor="page84">
        <w:r>
          <w:rPr>
            <w:rFonts w:ascii="Arial" w:cs="Arial" w:eastAsia="Arial" w:hAnsi="Arial"/>
            <w:sz w:val="11"/>
            <w:szCs w:val="11"/>
            <w:u w:val="single" w:color="auto"/>
            <w:color w:val="0000EE"/>
          </w:rPr>
          <w:t>Note 13</w:t>
        </w:r>
        <w:r>
          <w:rPr>
            <w:rFonts w:ascii="Arial" w:cs="Arial" w:eastAsia="Arial" w:hAnsi="Arial"/>
            <w:sz w:val="11"/>
            <w:szCs w:val="11"/>
            <w:u w:val="single" w:color="auto"/>
            <w:color w:val="auto"/>
          </w:rPr>
          <w:t xml:space="preserve"> </w:t>
        </w:r>
      </w:hyperlink>
      <w:r>
        <w:rPr>
          <w:rFonts w:ascii="Arial" w:cs="Arial" w:eastAsia="Arial" w:hAnsi="Arial"/>
          <w:sz w:val="11"/>
          <w:szCs w:val="11"/>
          <w:color w:val="auto"/>
        </w:rPr>
        <w:t xml:space="preserve">to our consolidated financial statements contained in Part II, Item 8 </w:t>
      </w:r>
      <w:r>
        <w:rPr>
          <w:rFonts w:ascii="Arial" w:cs="Arial" w:eastAsia="Arial" w:hAnsi="Arial"/>
          <w:sz w:val="11"/>
          <w:szCs w:val="11"/>
          <w:i w:val="1"/>
          <w:iCs w:val="1"/>
          <w:color w:val="auto"/>
        </w:rPr>
        <w:t>Financial Statements and Supplementary Data</w:t>
      </w:r>
      <w:r>
        <w:rPr>
          <w:rFonts w:ascii="Arial" w:cs="Arial" w:eastAsia="Arial" w:hAnsi="Arial"/>
          <w:sz w:val="11"/>
          <w:szCs w:val="11"/>
          <w:color w:val="auto"/>
        </w:rPr>
        <w:t>.</w:t>
      </w:r>
    </w:p>
    <w:p>
      <w:pPr>
        <w:spacing w:after="0" w:line="18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Significant Business Developments</w:t>
      </w:r>
    </w:p>
    <w:p>
      <w:pPr>
        <w:spacing w:after="0" w:line="150" w:lineRule="exact"/>
        <w:rPr>
          <w:sz w:val="20"/>
          <w:szCs w:val="20"/>
          <w:color w:val="auto"/>
        </w:rPr>
      </w:pPr>
    </w:p>
    <w:p>
      <w:pPr>
        <w:spacing w:after="0" w:line="257" w:lineRule="auto"/>
        <w:rPr>
          <w:sz w:val="20"/>
          <w:szCs w:val="20"/>
          <w:color w:val="auto"/>
        </w:rPr>
      </w:pPr>
      <w:r>
        <w:rPr>
          <w:rFonts w:ascii="Arial" w:cs="Arial" w:eastAsia="Arial" w:hAnsi="Arial"/>
          <w:sz w:val="12"/>
          <w:szCs w:val="12"/>
          <w:i w:val="1"/>
          <w:iCs w:val="1"/>
          <w:u w:val="single" w:color="auto"/>
          <w:color w:val="auto"/>
        </w:rPr>
        <w:t>Tax Reform.</w:t>
      </w:r>
      <w:r>
        <w:rPr>
          <w:rFonts w:ascii="Arial" w:cs="Arial" w:eastAsia="Arial" w:hAnsi="Arial"/>
          <w:sz w:val="12"/>
          <w:szCs w:val="12"/>
          <w:i w:val="1"/>
          <w:iCs w:val="1"/>
          <w:color w:val="auto"/>
        </w:rPr>
        <w:t xml:space="preserve"> </w:t>
      </w:r>
      <w:r>
        <w:rPr>
          <w:rFonts w:ascii="Arial" w:cs="Arial" w:eastAsia="Arial" w:hAnsi="Arial"/>
          <w:sz w:val="12"/>
          <w:szCs w:val="12"/>
          <w:color w:val="auto"/>
        </w:rPr>
        <w:t>On December 22, 2017, the Tax Cuts and Jobs Act of 2017 (the “Act”) was signed into law making significant changes to the Internal Revenue Code. Changes include, but are not limited to, a corporate tax rate decrease from</w:t>
      </w:r>
      <w:r>
        <w:rPr>
          <w:rFonts w:ascii="Arial" w:cs="Arial" w:eastAsia="Arial" w:hAnsi="Arial"/>
          <w:sz w:val="12"/>
          <w:szCs w:val="12"/>
          <w:i w:val="1"/>
          <w:iCs w:val="1"/>
          <w:color w:val="auto"/>
        </w:rPr>
        <w:t xml:space="preserve"> </w:t>
      </w:r>
      <w:r>
        <w:rPr>
          <w:rFonts w:ascii="Arial" w:cs="Arial" w:eastAsia="Arial" w:hAnsi="Arial"/>
          <w:sz w:val="12"/>
          <w:szCs w:val="12"/>
          <w:color w:val="auto"/>
        </w:rPr>
        <w:t>35% to 21% effective for tax years beginning after December 31, 2017, the transition of U.S international taxation from a worldwide tax system to a territorial system, and a one-time transition tax on the mandatory deemed repatriation of cumulative foreign earnings as of December 31, 2017. We have calculated our best estimate of the impact of the Act in our year end income tax provision in accordance with our understanding of the Act and guidance available as of the date of this filing and as a result have recorded $17.4 million as additional income tax benefit in the fourth quarter of 2017, the period in which the legislation was enacted. The provisional amount relates to the remeasurement of certain deferred tax assets and liabilities, based on the rates at which they are expected to reverse in the future.</w:t>
      </w:r>
    </w:p>
    <w:p>
      <w:pPr>
        <w:spacing w:after="0" w:line="126" w:lineRule="exact"/>
        <w:rPr>
          <w:sz w:val="20"/>
          <w:szCs w:val="20"/>
          <w:color w:val="auto"/>
        </w:rPr>
      </w:pPr>
    </w:p>
    <w:p>
      <w:pPr>
        <w:ind w:right="20"/>
        <w:spacing w:after="0" w:line="290" w:lineRule="auto"/>
        <w:rPr>
          <w:sz w:val="20"/>
          <w:szCs w:val="20"/>
          <w:color w:val="auto"/>
        </w:rPr>
      </w:pPr>
      <w:r>
        <w:rPr>
          <w:rFonts w:ascii="Arial" w:cs="Arial" w:eastAsia="Arial" w:hAnsi="Arial"/>
          <w:sz w:val="11"/>
          <w:szCs w:val="11"/>
          <w:i w:val="1"/>
          <w:iCs w:val="1"/>
          <w:u w:val="single" w:color="auto"/>
          <w:color w:val="auto"/>
        </w:rPr>
        <w:t>Acquisition of Southern Light, LLC.</w:t>
      </w:r>
      <w:r>
        <w:rPr>
          <w:rFonts w:ascii="Arial" w:cs="Arial" w:eastAsia="Arial" w:hAnsi="Arial"/>
          <w:sz w:val="11"/>
          <w:szCs w:val="11"/>
          <w:i w:val="1"/>
          <w:iCs w:val="1"/>
          <w:color w:val="auto"/>
        </w:rPr>
        <w:t xml:space="preserve"> </w:t>
      </w:r>
      <w:r>
        <w:rPr>
          <w:rFonts w:ascii="Arial" w:cs="Arial" w:eastAsia="Arial" w:hAnsi="Arial"/>
          <w:sz w:val="11"/>
          <w:szCs w:val="11"/>
          <w:color w:val="auto"/>
        </w:rPr>
        <w:t>On July 3, 2017, we completed the previously announced acquisition of Southern Light, LLC (“Southern Light”). We acquired all of the outstanding membership interests of Southern Light for</w:t>
      </w:r>
      <w:r>
        <w:rPr>
          <w:rFonts w:ascii="Arial" w:cs="Arial" w:eastAsia="Arial" w:hAnsi="Arial"/>
          <w:sz w:val="11"/>
          <w:szCs w:val="11"/>
          <w:i w:val="1"/>
          <w:iCs w:val="1"/>
          <w:color w:val="auto"/>
        </w:rPr>
        <w:t xml:space="preserve"> </w:t>
      </w:r>
      <w:r>
        <w:rPr>
          <w:rFonts w:ascii="Arial" w:cs="Arial" w:eastAsia="Arial" w:hAnsi="Arial"/>
          <w:sz w:val="11"/>
          <w:szCs w:val="11"/>
          <w:color w:val="auto"/>
        </w:rPr>
        <w:t>approximately $638 million in cash, including the payoff of existing indebtedness and unpaid transaction expenses, and the issuance of 2.5 million common units in the Operating Partnership with an acquisition date fair value of $64.3 million. Southern Light is a leading provider of data transport services along the Gulf Coast region serving twelve attractive Tier II and Tier III markets across Florida, Alabama, Louisiana, and Mississippi. Southern Light’s dense regional fiber network comprises nearly 540,000 fiber strand miles, 5,700 fiber route miles, and over 4,500 on-net locations. The results of operations of Southern Light are reflected in the Fiber Infrastructure segment beginning July 3, 2017.</w:t>
      </w:r>
    </w:p>
    <w:p>
      <w:pPr>
        <w:spacing w:after="0" w:line="109" w:lineRule="exact"/>
        <w:rPr>
          <w:sz w:val="20"/>
          <w:szCs w:val="20"/>
          <w:color w:val="auto"/>
        </w:rPr>
      </w:pPr>
    </w:p>
    <w:p>
      <w:pPr>
        <w:ind w:right="80"/>
        <w:spacing w:after="0" w:line="281" w:lineRule="auto"/>
        <w:rPr>
          <w:sz w:val="20"/>
          <w:szCs w:val="20"/>
          <w:color w:val="auto"/>
        </w:rPr>
      </w:pPr>
      <w:r>
        <w:rPr>
          <w:rFonts w:ascii="Arial" w:cs="Arial" w:eastAsia="Arial" w:hAnsi="Arial"/>
          <w:sz w:val="11"/>
          <w:szCs w:val="11"/>
          <w:i w:val="1"/>
          <w:iCs w:val="1"/>
          <w:u w:val="single" w:color="auto"/>
          <w:color w:val="auto"/>
        </w:rPr>
        <w:t>Acquisition of Hunt Telecommunications, LLC.</w:t>
      </w:r>
      <w:r>
        <w:rPr>
          <w:rFonts w:ascii="Arial" w:cs="Arial" w:eastAsia="Arial" w:hAnsi="Arial"/>
          <w:sz w:val="11"/>
          <w:szCs w:val="11"/>
          <w:i w:val="1"/>
          <w:iCs w:val="1"/>
          <w:color w:val="auto"/>
        </w:rPr>
        <w:t xml:space="preserve"> </w:t>
      </w:r>
      <w:r>
        <w:rPr>
          <w:rFonts w:ascii="Arial" w:cs="Arial" w:eastAsia="Arial" w:hAnsi="Arial"/>
          <w:sz w:val="11"/>
          <w:szCs w:val="11"/>
          <w:color w:val="auto"/>
        </w:rPr>
        <w:t>On July 3, 2017, we completed the previously announced acquisition of Hunt Telecommunications, LLC (“Hunt”). The Company acquired all of the outstanding equity interests of Hunt for</w:t>
      </w:r>
      <w:r>
        <w:rPr>
          <w:rFonts w:ascii="Arial" w:cs="Arial" w:eastAsia="Arial" w:hAnsi="Arial"/>
          <w:sz w:val="11"/>
          <w:szCs w:val="11"/>
          <w:i w:val="1"/>
          <w:iCs w:val="1"/>
          <w:color w:val="auto"/>
        </w:rPr>
        <w:t xml:space="preserve"> </w:t>
      </w:r>
      <w:r>
        <w:rPr>
          <w:rFonts w:ascii="Arial" w:cs="Arial" w:eastAsia="Arial" w:hAnsi="Arial"/>
          <w:sz w:val="11"/>
          <w:szCs w:val="11"/>
          <w:color w:val="auto"/>
        </w:rPr>
        <w:t>approximately $129 million in cash, including the payoff of existing indebtedness and unpaid transaction expenses, and approximately 1.6 million units in the Operating Partnership with an acquisition date fair value of $41.6</w:t>
      </w:r>
    </w:p>
    <w:p>
      <w:pPr>
        <w:spacing w:after="0" w:line="1" w:lineRule="exact"/>
        <w:rPr>
          <w:sz w:val="20"/>
          <w:szCs w:val="20"/>
          <w:color w:val="auto"/>
        </w:rPr>
      </w:pPr>
    </w:p>
    <w:p>
      <w:pPr>
        <w:ind w:right="180"/>
        <w:spacing w:after="0" w:line="306" w:lineRule="auto"/>
        <w:rPr>
          <w:sz w:val="20"/>
          <w:szCs w:val="20"/>
          <w:color w:val="auto"/>
        </w:rPr>
      </w:pPr>
      <w:r>
        <w:rPr>
          <w:rFonts w:ascii="Arial" w:cs="Arial" w:eastAsia="Arial" w:hAnsi="Arial"/>
          <w:sz w:val="11"/>
          <w:szCs w:val="11"/>
          <w:color w:val="auto"/>
        </w:rPr>
        <w:t>million. Additional contingent consideration of up to $17 million, with an acquisition date fair value of $16.4 million will be paid upon the achievement of certain defined financial revenue milestones. Hunt is a leading provider of data transport to K-12 schools and government agencies with a dense fiber network in Louisiana. The results of operations of Hunt are reflected in the Fiber Infrastructure segment beginning July 3, 2017.</w:t>
      </w:r>
    </w:p>
    <w:p>
      <w:pPr>
        <w:spacing w:after="0" w:line="101" w:lineRule="exact"/>
        <w:rPr>
          <w:sz w:val="20"/>
          <w:szCs w:val="20"/>
          <w:color w:val="auto"/>
        </w:rPr>
      </w:pPr>
    </w:p>
    <w:p>
      <w:pPr>
        <w:ind w:right="200"/>
        <w:spacing w:after="0" w:line="276" w:lineRule="auto"/>
        <w:rPr>
          <w:sz w:val="20"/>
          <w:szCs w:val="20"/>
          <w:color w:val="auto"/>
        </w:rPr>
      </w:pPr>
      <w:r>
        <w:rPr>
          <w:rFonts w:ascii="Arial" w:cs="Arial" w:eastAsia="Arial" w:hAnsi="Arial"/>
          <w:sz w:val="12"/>
          <w:szCs w:val="12"/>
          <w:i w:val="1"/>
          <w:iCs w:val="1"/>
          <w:u w:val="single" w:color="auto"/>
          <w:color w:val="auto"/>
        </w:rPr>
        <w:t>up-REIT Reorganization</w:t>
      </w:r>
      <w:r>
        <w:rPr>
          <w:rFonts w:ascii="Arial" w:cs="Arial" w:eastAsia="Arial" w:hAnsi="Arial"/>
          <w:sz w:val="12"/>
          <w:szCs w:val="12"/>
          <w:color w:val="auto"/>
        </w:rPr>
        <w:t>. On May 9, 2017, we completed our reorganization (the “up-REIT Reorganization”) to operate through a customary “up-REIT” structure. Under this structure, the Operating Partnership, which we control as a</w:t>
      </w:r>
      <w:r>
        <w:rPr>
          <w:rFonts w:ascii="Arial" w:cs="Arial" w:eastAsia="Arial" w:hAnsi="Arial"/>
          <w:sz w:val="12"/>
          <w:szCs w:val="12"/>
          <w:i w:val="1"/>
          <w:iCs w:val="1"/>
          <w:color w:val="auto"/>
        </w:rPr>
        <w:t xml:space="preserve"> </w:t>
      </w:r>
      <w:r>
        <w:rPr>
          <w:rFonts w:ascii="Arial" w:cs="Arial" w:eastAsia="Arial" w:hAnsi="Arial"/>
          <w:sz w:val="12"/>
          <w:szCs w:val="12"/>
          <w:color w:val="auto"/>
        </w:rPr>
        <w:t>general partner, holds substantially all of our assets. The financial position and results of operations of the</w:t>
      </w:r>
    </w:p>
    <w:p>
      <w:pPr>
        <w:spacing w:after="0" w:line="115"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20"/>
          </w:cols>
          <w:pgMar w:left="220" w:top="131" w:right="259" w:bottom="1440" w:gutter="0" w:footer="0" w:header="0"/>
        </w:sectPr>
      </w:pPr>
    </w:p>
    <w:bookmarkStart w:id="28" w:name="page29"/>
    <w:bookmarkEnd w:id="28"/>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jc w:val="both"/>
        <w:ind w:right="180"/>
        <w:spacing w:after="0" w:line="263" w:lineRule="auto"/>
        <w:rPr>
          <w:sz w:val="20"/>
          <w:szCs w:val="20"/>
          <w:color w:val="auto"/>
        </w:rPr>
      </w:pPr>
      <w:r>
        <w:rPr>
          <w:rFonts w:ascii="Arial" w:cs="Arial" w:eastAsia="Arial" w:hAnsi="Arial"/>
          <w:sz w:val="12"/>
          <w:szCs w:val="12"/>
          <w:color w:val="auto"/>
        </w:rPr>
        <w:t>Operating Partnership do not include the Consumer CLEC Business because Talk America is a direct, wholly-owned subsidiary of Uniti. This structure is intended to facilitate future acquisition opportunities by providing the Company with the ability to use common units of the Operating Partnership (the “OP Units”) as a tax-efficient acquisition currency for future acquisitions of assets or entities. Each OP Unit is exchangeable on a one-for-one basis for shares of our common stock or, at our election, cash of equivalent value.</w:t>
      </w:r>
    </w:p>
    <w:p>
      <w:pPr>
        <w:spacing w:after="0" w:line="123" w:lineRule="exact"/>
        <w:rPr>
          <w:sz w:val="20"/>
          <w:szCs w:val="20"/>
          <w:color w:val="auto"/>
        </w:rPr>
      </w:pPr>
    </w:p>
    <w:p>
      <w:pPr>
        <w:ind w:right="60"/>
        <w:spacing w:after="0" w:line="290" w:lineRule="auto"/>
        <w:rPr>
          <w:sz w:val="20"/>
          <w:szCs w:val="20"/>
          <w:color w:val="auto"/>
        </w:rPr>
      </w:pPr>
      <w:r>
        <w:rPr>
          <w:rFonts w:ascii="Arial" w:cs="Arial" w:eastAsia="Arial" w:hAnsi="Arial"/>
          <w:sz w:val="11"/>
          <w:szCs w:val="11"/>
          <w:i w:val="1"/>
          <w:iCs w:val="1"/>
          <w:u w:val="single" w:color="auto"/>
          <w:color w:val="auto"/>
        </w:rPr>
        <w:t>Issuance of Senior Unsecured Notes.</w:t>
      </w:r>
      <w:r>
        <w:rPr>
          <w:rFonts w:ascii="Arial" w:cs="Arial" w:eastAsia="Arial" w:hAnsi="Arial"/>
          <w:sz w:val="11"/>
          <w:szCs w:val="11"/>
          <w:i w:val="1"/>
          <w:iCs w:val="1"/>
          <w:color w:val="auto"/>
        </w:rPr>
        <w:t xml:space="preserve"> </w:t>
      </w:r>
      <w:r>
        <w:rPr>
          <w:rFonts w:ascii="Arial" w:cs="Arial" w:eastAsia="Arial" w:hAnsi="Arial"/>
          <w:sz w:val="11"/>
          <w:szCs w:val="11"/>
          <w:color w:val="auto"/>
        </w:rPr>
        <w:t>On May 8, 2017, the Company, CSL Capital, LLC and Uniti Fiber Holdings Inc. co-issued $200 million aggregate principal amount of 7.125% Senior Unsecured Notes due December 15, 2024 (the</w:t>
      </w:r>
      <w:r>
        <w:rPr>
          <w:rFonts w:ascii="Arial" w:cs="Arial" w:eastAsia="Arial" w:hAnsi="Arial"/>
          <w:sz w:val="11"/>
          <w:szCs w:val="11"/>
          <w:i w:val="1"/>
          <w:iCs w:val="1"/>
          <w:color w:val="auto"/>
        </w:rPr>
        <w:t xml:space="preserve"> </w:t>
      </w:r>
      <w:r>
        <w:rPr>
          <w:rFonts w:ascii="Arial" w:cs="Arial" w:eastAsia="Arial" w:hAnsi="Arial"/>
          <w:sz w:val="11"/>
          <w:szCs w:val="11"/>
          <w:color w:val="auto"/>
        </w:rPr>
        <w:t>“May 2017 Notes”). The proceeds from the offering were used to fund a portion of the cash consideration payable in connection with the acquisition of Southern Light. In connection with the up-REIT Reorganization on May 9, 2017, the Operating Partnership replaced the Company as a co-issuer of the May 2017 Notes, and the Company and Uniti Group Finance Inc. became guarantors of the May 2017 Notes. On August 11, 2017, the May 2017 Notes were mandatorily exchanged for notes issued as “additional notes” under the indenture governing our 7.125% Senior Unsecured Notes due December 15, 2024 (the “2024 Notes”).</w:t>
      </w:r>
    </w:p>
    <w:p>
      <w:pPr>
        <w:spacing w:after="0" w:line="109" w:lineRule="exact"/>
        <w:rPr>
          <w:sz w:val="20"/>
          <w:szCs w:val="20"/>
          <w:color w:val="auto"/>
        </w:rPr>
      </w:pPr>
    </w:p>
    <w:p>
      <w:pPr>
        <w:spacing w:after="0" w:line="276" w:lineRule="auto"/>
        <w:rPr>
          <w:sz w:val="20"/>
          <w:szCs w:val="20"/>
          <w:color w:val="auto"/>
        </w:rPr>
      </w:pPr>
      <w:r>
        <w:rPr>
          <w:rFonts w:ascii="Arial" w:cs="Arial" w:eastAsia="Arial" w:hAnsi="Arial"/>
          <w:sz w:val="12"/>
          <w:szCs w:val="12"/>
          <w:i w:val="1"/>
          <w:iCs w:val="1"/>
          <w:u w:val="single" w:color="auto"/>
          <w:color w:val="auto"/>
        </w:rPr>
        <w:t>Issuance of Common Stock.</w:t>
      </w:r>
      <w:r>
        <w:rPr>
          <w:rFonts w:ascii="Arial" w:cs="Arial" w:eastAsia="Arial" w:hAnsi="Arial"/>
          <w:sz w:val="12"/>
          <w:szCs w:val="12"/>
          <w:i w:val="1"/>
          <w:iCs w:val="1"/>
          <w:color w:val="auto"/>
        </w:rPr>
        <w:t xml:space="preserve"> </w:t>
      </w:r>
      <w:r>
        <w:rPr>
          <w:rFonts w:ascii="Arial" w:cs="Arial" w:eastAsia="Arial" w:hAnsi="Arial"/>
          <w:sz w:val="12"/>
          <w:szCs w:val="12"/>
          <w:color w:val="auto"/>
        </w:rPr>
        <w:t>On April 25, 2017, we issued 19.5 million shares of our common stock at a public offering price of $26.50, resulting in proceeds to the Company of $499 million, net of underwriting discounts and commissions,</w:t>
      </w:r>
      <w:r>
        <w:rPr>
          <w:rFonts w:ascii="Arial" w:cs="Arial" w:eastAsia="Arial" w:hAnsi="Arial"/>
          <w:sz w:val="12"/>
          <w:szCs w:val="12"/>
          <w:i w:val="1"/>
          <w:iCs w:val="1"/>
          <w:color w:val="auto"/>
        </w:rPr>
        <w:t xml:space="preserve"> </w:t>
      </w:r>
      <w:r>
        <w:rPr>
          <w:rFonts w:ascii="Arial" w:cs="Arial" w:eastAsia="Arial" w:hAnsi="Arial"/>
          <w:sz w:val="12"/>
          <w:szCs w:val="12"/>
          <w:color w:val="auto"/>
        </w:rPr>
        <w:t>which were used to fund a portion of the cash consideration payable in connection with the acquisitions of Southern Light and Hunt.</w:t>
      </w:r>
    </w:p>
    <w:p>
      <w:pPr>
        <w:spacing w:after="0" w:line="115" w:lineRule="exact"/>
        <w:rPr>
          <w:sz w:val="20"/>
          <w:szCs w:val="20"/>
          <w:color w:val="auto"/>
        </w:rPr>
      </w:pPr>
    </w:p>
    <w:p>
      <w:pPr>
        <w:ind w:right="20"/>
        <w:spacing w:after="0" w:line="257" w:lineRule="auto"/>
        <w:rPr>
          <w:sz w:val="20"/>
          <w:szCs w:val="20"/>
          <w:color w:val="auto"/>
        </w:rPr>
      </w:pPr>
      <w:r>
        <w:rPr>
          <w:rFonts w:ascii="Arial" w:cs="Arial" w:eastAsia="Arial" w:hAnsi="Arial"/>
          <w:sz w:val="12"/>
          <w:szCs w:val="12"/>
          <w:i w:val="1"/>
          <w:iCs w:val="1"/>
          <w:u w:val="single" w:color="auto"/>
          <w:color w:val="auto"/>
        </w:rPr>
        <w:t>Acquisition of NMS.</w:t>
      </w:r>
      <w:r>
        <w:rPr>
          <w:rFonts w:ascii="Arial" w:cs="Arial" w:eastAsia="Arial" w:hAnsi="Arial"/>
          <w:sz w:val="12"/>
          <w:szCs w:val="12"/>
          <w:i w:val="1"/>
          <w:iCs w:val="1"/>
          <w:color w:val="auto"/>
        </w:rPr>
        <w:t xml:space="preserve"> </w:t>
      </w:r>
      <w:r>
        <w:rPr>
          <w:rFonts w:ascii="Arial" w:cs="Arial" w:eastAsia="Arial" w:hAnsi="Arial"/>
          <w:sz w:val="12"/>
          <w:szCs w:val="12"/>
          <w:color w:val="auto"/>
        </w:rPr>
        <w:t>On January 31, 2017, we completed the previously announced acquisition of Network Management Holdings LTD (‘‘NMS’’). At close, NMS owned and operated 366 wireless communications towers in Latin America</w:t>
      </w:r>
      <w:r>
        <w:rPr>
          <w:rFonts w:ascii="Arial" w:cs="Arial" w:eastAsia="Arial" w:hAnsi="Arial"/>
          <w:sz w:val="12"/>
          <w:szCs w:val="12"/>
          <w:i w:val="1"/>
          <w:iCs w:val="1"/>
          <w:color w:val="auto"/>
        </w:rPr>
        <w:t xml:space="preserve"> </w:t>
      </w:r>
      <w:r>
        <w:rPr>
          <w:rFonts w:ascii="Arial" w:cs="Arial" w:eastAsia="Arial" w:hAnsi="Arial"/>
          <w:sz w:val="12"/>
          <w:szCs w:val="12"/>
          <w:color w:val="auto"/>
        </w:rPr>
        <w:t>with an additional 105 build-to-suit tower sites under development. The NMS portfolio spans three Latin America countries with 212 towers in Mexico, 54 in Nicaragua, and 100 in Colombia. The consideration for the 366 wireless towers currently in operation was $62.6 million, which was funded through cash on hand. Under the terms of the purchase agreement, we will acquire the towers under development when construction is completed. As of December 31, 2017, construction was completed on 50 of the 105 towers that were under development at the time of the NMS acquisition, and we acquired the completed towers pursuant to the purchase agreement for approximately $5.1 million. The results of operations of NMS are reflected in the Towers segment beginning January 31, 2017.</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Comparison of the years ended December 31, 2017 and 2016</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tables sets forth, for the periods indicated, our results of operations expressed as dollars and as a percentage of total revenues: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131" w:right="219" w:bottom="1440" w:gutter="0" w:footer="0" w:header="0"/>
        </w:sectPr>
      </w:pPr>
    </w:p>
    <w:bookmarkStart w:id="29" w:name="page30"/>
    <w:bookmarkEnd w:id="29"/>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44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tcPr>
          <w:p>
            <w:pPr>
              <w:jc w:val="right"/>
              <w:ind w:right="112"/>
              <w:spacing w:after="0"/>
              <w:rPr>
                <w:sz w:val="20"/>
                <w:szCs w:val="20"/>
                <w:color w:val="auto"/>
              </w:rPr>
            </w:pPr>
            <w:r>
              <w:rPr>
                <w:rFonts w:ascii="Arial" w:cs="Arial" w:eastAsia="Arial" w:hAnsi="Arial"/>
                <w:sz w:val="10"/>
                <w:szCs w:val="10"/>
                <w:b w:val="1"/>
                <w:bCs w:val="1"/>
                <w:color w:val="auto"/>
              </w:rPr>
              <w:t>Year Ended</w:t>
            </w: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jc w:val="center"/>
              <w:spacing w:after="0"/>
              <w:rPr>
                <w:sz w:val="20"/>
                <w:szCs w:val="20"/>
                <w:color w:val="auto"/>
              </w:rPr>
            </w:pPr>
            <w:r>
              <w:rPr>
                <w:rFonts w:ascii="Arial" w:cs="Arial" w:eastAsia="Arial" w:hAnsi="Arial"/>
                <w:sz w:val="10"/>
                <w:szCs w:val="10"/>
                <w:b w:val="1"/>
                <w:bCs w:val="1"/>
                <w:color w:val="auto"/>
                <w:w w:val="94"/>
              </w:rPr>
              <w:t>% of</w:t>
            </w: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20" w:type="dxa"/>
            <w:vAlign w:val="bottom"/>
            <w:gridSpan w:val="2"/>
          </w:tcPr>
          <w:p>
            <w:pPr>
              <w:jc w:val="right"/>
              <w:ind w:right="760"/>
              <w:spacing w:after="0"/>
              <w:rPr>
                <w:sz w:val="20"/>
                <w:szCs w:val="20"/>
                <w:color w:val="auto"/>
              </w:rPr>
            </w:pPr>
            <w:r>
              <w:rPr>
                <w:rFonts w:ascii="Arial" w:cs="Arial" w:eastAsia="Arial" w:hAnsi="Arial"/>
                <w:sz w:val="10"/>
                <w:szCs w:val="10"/>
                <w:b w:val="1"/>
                <w:bCs w:val="1"/>
                <w:color w:val="auto"/>
              </w:rPr>
              <w:t>Year Ended</w:t>
            </w:r>
          </w:p>
        </w:tc>
        <w:tc>
          <w:tcPr>
            <w:tcW w:w="86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94"/>
              </w:rPr>
              <w:t>% of</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4440" w:type="dxa"/>
            <w:vAlign w:val="bottom"/>
            <w:gridSpan w:val="2"/>
          </w:tcPr>
          <w:p>
            <w:pPr>
              <w:spacing w:after="0" w:line="114" w:lineRule="exact"/>
              <w:rPr>
                <w:sz w:val="20"/>
                <w:szCs w:val="20"/>
                <w:color w:val="auto"/>
              </w:rPr>
            </w:pPr>
            <w:r>
              <w:rPr>
                <w:rFonts w:ascii="Arial" w:cs="Arial" w:eastAsia="Arial" w:hAnsi="Arial"/>
                <w:sz w:val="10"/>
                <w:szCs w:val="10"/>
                <w:color w:val="auto"/>
              </w:rPr>
              <w:t>(Thousands)</w:t>
            </w:r>
          </w:p>
        </w:tc>
        <w:tc>
          <w:tcPr>
            <w:tcW w:w="1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0" w:type="dxa"/>
            <w:vAlign w:val="bottom"/>
          </w:tcPr>
          <w:p>
            <w:pPr>
              <w:jc w:val="right"/>
              <w:spacing w:after="0" w:line="114" w:lineRule="exact"/>
              <w:rPr>
                <w:sz w:val="20"/>
                <w:szCs w:val="20"/>
                <w:color w:val="auto"/>
              </w:rPr>
            </w:pPr>
            <w:r>
              <w:rPr>
                <w:rFonts w:ascii="Arial" w:cs="Arial" w:eastAsia="Arial" w:hAnsi="Arial"/>
                <w:sz w:val="10"/>
                <w:szCs w:val="10"/>
                <w:b w:val="1"/>
                <w:bCs w:val="1"/>
                <w:color w:val="auto"/>
              </w:rPr>
              <w:t>December 31, 2017</w:t>
            </w: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jc w:val="center"/>
              <w:spacing w:after="0" w:line="114" w:lineRule="exact"/>
              <w:rPr>
                <w:sz w:val="20"/>
                <w:szCs w:val="20"/>
                <w:color w:val="auto"/>
              </w:rPr>
            </w:pPr>
            <w:r>
              <w:rPr>
                <w:rFonts w:ascii="Arial" w:cs="Arial" w:eastAsia="Arial" w:hAnsi="Arial"/>
                <w:sz w:val="10"/>
                <w:szCs w:val="10"/>
                <w:b w:val="1"/>
                <w:bCs w:val="1"/>
                <w:color w:val="auto"/>
                <w:w w:val="80"/>
              </w:rPr>
              <w:t>Revenues</w:t>
            </w: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20" w:type="dxa"/>
            <w:vAlign w:val="bottom"/>
            <w:gridSpan w:val="2"/>
          </w:tcPr>
          <w:p>
            <w:pPr>
              <w:jc w:val="right"/>
              <w:ind w:right="620"/>
              <w:spacing w:after="0" w:line="114" w:lineRule="exact"/>
              <w:rPr>
                <w:sz w:val="20"/>
                <w:szCs w:val="20"/>
                <w:color w:val="auto"/>
              </w:rPr>
            </w:pPr>
            <w:r>
              <w:rPr>
                <w:rFonts w:ascii="Arial" w:cs="Arial" w:eastAsia="Arial" w:hAnsi="Arial"/>
                <w:sz w:val="10"/>
                <w:szCs w:val="10"/>
                <w:b w:val="1"/>
                <w:bCs w:val="1"/>
                <w:color w:val="auto"/>
              </w:rPr>
              <w:t>December 31, 2016</w:t>
            </w:r>
          </w:p>
        </w:tc>
        <w:tc>
          <w:tcPr>
            <w:tcW w:w="860" w:type="dxa"/>
            <w:vAlign w:val="bottom"/>
            <w:gridSpan w:val="2"/>
          </w:tcPr>
          <w:p>
            <w:pPr>
              <w:jc w:val="center"/>
              <w:ind w:right="120"/>
              <w:spacing w:after="0" w:line="114" w:lineRule="exact"/>
              <w:rPr>
                <w:sz w:val="20"/>
                <w:szCs w:val="20"/>
                <w:color w:val="auto"/>
              </w:rPr>
            </w:pPr>
            <w:r>
              <w:rPr>
                <w:rFonts w:ascii="Arial" w:cs="Arial" w:eastAsia="Arial" w:hAnsi="Arial"/>
                <w:sz w:val="10"/>
                <w:szCs w:val="10"/>
                <w:b w:val="1"/>
                <w:bCs w:val="1"/>
                <w:color w:val="auto"/>
                <w:w w:val="80"/>
              </w:rPr>
              <w:t>Revenues</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2"/>
                <w:szCs w:val="12"/>
                <w:b w:val="1"/>
                <w:bCs w:val="1"/>
                <w:color w:val="auto"/>
              </w:rPr>
              <w:t>Revenues:</w:t>
            </w:r>
          </w:p>
        </w:tc>
        <w:tc>
          <w:tcPr>
            <w:tcW w:w="136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1200" w:type="dxa"/>
            <w:vAlign w:val="bottom"/>
            <w:tcBorders>
              <w:top w:val="single" w:sz="8" w:color="auto"/>
            </w:tcBorders>
            <w:shd w:val="clear" w:color="auto" w:fill="CFF0FC"/>
          </w:tcPr>
          <w:p>
            <w:pPr>
              <w:spacing w:after="0"/>
              <w:rPr>
                <w:sz w:val="12"/>
                <w:szCs w:val="12"/>
                <w:color w:val="auto"/>
              </w:rPr>
            </w:pPr>
          </w:p>
        </w:tc>
        <w:tc>
          <w:tcPr>
            <w:tcW w:w="42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280" w:type="dxa"/>
            <w:vAlign w:val="bottom"/>
            <w:tcBorders>
              <w:top w:val="single" w:sz="8" w:color="CFF0FC"/>
            </w:tcBorders>
            <w:shd w:val="clear" w:color="auto" w:fill="CFF0FC"/>
          </w:tcPr>
          <w:p>
            <w:pPr>
              <w:spacing w:after="0"/>
              <w:rPr>
                <w:sz w:val="12"/>
                <w:szCs w:val="12"/>
                <w:color w:val="auto"/>
              </w:rPr>
            </w:pPr>
          </w:p>
        </w:tc>
        <w:tc>
          <w:tcPr>
            <w:tcW w:w="280" w:type="dxa"/>
            <w:vAlign w:val="bottom"/>
            <w:tcBorders>
              <w:top w:val="single" w:sz="8" w:color="auto"/>
            </w:tcBorders>
            <w:shd w:val="clear" w:color="auto" w:fill="CFF0FC"/>
          </w:tcPr>
          <w:p>
            <w:pPr>
              <w:spacing w:after="0"/>
              <w:rPr>
                <w:sz w:val="12"/>
                <w:szCs w:val="12"/>
                <w:color w:val="auto"/>
              </w:rPr>
            </w:pPr>
          </w:p>
        </w:tc>
        <w:tc>
          <w:tcPr>
            <w:tcW w:w="152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74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420" w:type="dxa"/>
            <w:vAlign w:val="bottom"/>
          </w:tcPr>
          <w:p>
            <w:pPr>
              <w:ind w:left="140"/>
              <w:spacing w:after="0"/>
              <w:rPr>
                <w:sz w:val="20"/>
                <w:szCs w:val="20"/>
                <w:color w:val="auto"/>
              </w:rPr>
            </w:pPr>
            <w:r>
              <w:rPr>
                <w:rFonts w:ascii="Arial" w:cs="Arial" w:eastAsia="Arial" w:hAnsi="Arial"/>
                <w:sz w:val="12"/>
                <w:szCs w:val="12"/>
                <w:color w:val="auto"/>
              </w:rPr>
              <w:t>Leasing</w:t>
            </w:r>
          </w:p>
        </w:tc>
        <w:tc>
          <w:tcPr>
            <w:tcW w:w="2740" w:type="dxa"/>
            <w:vAlign w:val="bottom"/>
            <w:gridSpan w:val="3"/>
          </w:tcPr>
          <w:p>
            <w:pPr>
              <w:jc w:val="right"/>
              <w:ind w:right="1092"/>
              <w:spacing w:after="0"/>
              <w:rPr>
                <w:sz w:val="20"/>
                <w:szCs w:val="20"/>
                <w:color w:val="auto"/>
              </w:rPr>
            </w:pPr>
            <w:r>
              <w:rPr>
                <w:rFonts w:ascii="Arial" w:cs="Arial" w:eastAsia="Arial" w:hAnsi="Arial"/>
                <w:sz w:val="12"/>
                <w:szCs w:val="12"/>
                <w:color w:val="auto"/>
              </w:rPr>
              <w:t>$</w:t>
            </w:r>
          </w:p>
        </w:tc>
        <w:tc>
          <w:tcPr>
            <w:tcW w:w="420" w:type="dxa"/>
            <w:vAlign w:val="bottom"/>
          </w:tcPr>
          <w:p>
            <w:pPr>
              <w:jc w:val="right"/>
              <w:spacing w:after="0"/>
              <w:rPr>
                <w:sz w:val="20"/>
                <w:szCs w:val="20"/>
                <w:color w:val="auto"/>
              </w:rPr>
            </w:pPr>
            <w:r>
              <w:rPr>
                <w:rFonts w:ascii="Arial" w:cs="Arial" w:eastAsia="Arial" w:hAnsi="Arial"/>
                <w:sz w:val="12"/>
                <w:szCs w:val="12"/>
                <w:color w:val="auto"/>
                <w:w w:val="92"/>
              </w:rPr>
              <w:t>685,099</w:t>
            </w:r>
          </w:p>
        </w:tc>
        <w:tc>
          <w:tcPr>
            <w:tcW w:w="12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Arial" w:cs="Arial" w:eastAsia="Arial" w:hAnsi="Arial"/>
                <w:sz w:val="12"/>
                <w:szCs w:val="12"/>
                <w:color w:val="auto"/>
                <w:w w:val="88"/>
              </w:rPr>
              <w:t>74.8%</w:t>
            </w:r>
          </w:p>
        </w:tc>
        <w:tc>
          <w:tcPr>
            <w:tcW w:w="5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520" w:type="dxa"/>
            <w:vAlign w:val="bottom"/>
          </w:tcPr>
          <w:p>
            <w:pPr>
              <w:jc w:val="right"/>
              <w:spacing w:after="0"/>
              <w:rPr>
                <w:sz w:val="20"/>
                <w:szCs w:val="20"/>
                <w:color w:val="auto"/>
              </w:rPr>
            </w:pPr>
            <w:r>
              <w:rPr>
                <w:rFonts w:ascii="Arial" w:cs="Arial" w:eastAsia="Arial" w:hAnsi="Arial"/>
                <w:sz w:val="12"/>
                <w:szCs w:val="12"/>
                <w:color w:val="auto"/>
              </w:rPr>
              <w:t>676,868</w:t>
            </w:r>
          </w:p>
        </w:tc>
        <w:tc>
          <w:tcPr>
            <w:tcW w:w="10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Arial" w:cs="Arial" w:eastAsia="Arial" w:hAnsi="Arial"/>
                <w:sz w:val="12"/>
                <w:szCs w:val="12"/>
                <w:color w:val="auto"/>
                <w:w w:val="88"/>
              </w:rPr>
              <w:t>87.8%</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420" w:type="dxa"/>
            <w:vAlign w:val="bottom"/>
            <w:shd w:val="clear" w:color="auto" w:fill="CFF0FC"/>
          </w:tcPr>
          <w:p>
            <w:pPr>
              <w:ind w:left="140"/>
              <w:spacing w:after="0"/>
              <w:rPr>
                <w:sz w:val="20"/>
                <w:szCs w:val="20"/>
                <w:color w:val="auto"/>
              </w:rPr>
            </w:pPr>
            <w:r>
              <w:rPr>
                <w:rFonts w:ascii="Arial" w:cs="Arial" w:eastAsia="Arial" w:hAnsi="Arial"/>
                <w:sz w:val="12"/>
                <w:szCs w:val="12"/>
                <w:color w:val="auto"/>
              </w:rPr>
              <w:t>Fiber Infrastructure</w:t>
            </w:r>
          </w:p>
        </w:tc>
        <w:tc>
          <w:tcPr>
            <w:tcW w:w="13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2"/>
              </w:rPr>
              <w:t>202,791</w:t>
            </w: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8"/>
              </w:rPr>
              <w:t>22.1%</w:t>
            </w:r>
          </w:p>
        </w:tc>
        <w:tc>
          <w:tcPr>
            <w:tcW w:w="2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70,568</w:t>
            </w:r>
          </w:p>
        </w:tc>
        <w:tc>
          <w:tcPr>
            <w:tcW w:w="100" w:type="dxa"/>
            <w:vAlign w:val="bottom"/>
            <w:shd w:val="clear" w:color="auto" w:fill="CFF0FC"/>
          </w:tcPr>
          <w:p>
            <w:pPr>
              <w:spacing w:after="0"/>
              <w:rPr>
                <w:sz w:val="13"/>
                <w:szCs w:val="13"/>
                <w:color w:val="auto"/>
              </w:rPr>
            </w:pPr>
          </w:p>
        </w:tc>
        <w:tc>
          <w:tcPr>
            <w:tcW w:w="74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94"/>
              </w:rPr>
              <w:t>9.2%</w:t>
            </w: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420" w:type="dxa"/>
            <w:vAlign w:val="bottom"/>
          </w:tcPr>
          <w:p>
            <w:pPr>
              <w:ind w:left="140"/>
              <w:spacing w:after="0"/>
              <w:rPr>
                <w:sz w:val="20"/>
                <w:szCs w:val="20"/>
                <w:color w:val="auto"/>
              </w:rPr>
            </w:pPr>
            <w:r>
              <w:rPr>
                <w:rFonts w:ascii="Arial" w:cs="Arial" w:eastAsia="Arial" w:hAnsi="Arial"/>
                <w:sz w:val="12"/>
                <w:szCs w:val="12"/>
                <w:color w:val="auto"/>
              </w:rPr>
              <w:t>Tower</w:t>
            </w:r>
          </w:p>
        </w:tc>
        <w:tc>
          <w:tcPr>
            <w:tcW w:w="1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10,055</w:t>
            </w:r>
          </w:p>
        </w:tc>
        <w:tc>
          <w:tcPr>
            <w:tcW w:w="12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Arial" w:cs="Arial" w:eastAsia="Arial" w:hAnsi="Arial"/>
                <w:sz w:val="12"/>
                <w:szCs w:val="12"/>
                <w:color w:val="auto"/>
                <w:w w:val="94"/>
              </w:rPr>
              <w:t>1.1%</w:t>
            </w: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500</w:t>
            </w:r>
          </w:p>
        </w:tc>
        <w:tc>
          <w:tcPr>
            <w:tcW w:w="10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Arial" w:cs="Arial" w:eastAsia="Arial" w:hAnsi="Arial"/>
                <w:sz w:val="12"/>
                <w:szCs w:val="12"/>
                <w:color w:val="auto"/>
                <w:w w:val="94"/>
              </w:rPr>
              <w:t>0.1%</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420" w:type="dxa"/>
            <w:vAlign w:val="bottom"/>
            <w:shd w:val="clear" w:color="auto" w:fill="CFF0FC"/>
          </w:tcPr>
          <w:p>
            <w:pPr>
              <w:ind w:left="140"/>
              <w:spacing w:after="0"/>
              <w:rPr>
                <w:sz w:val="20"/>
                <w:szCs w:val="20"/>
                <w:color w:val="auto"/>
              </w:rPr>
            </w:pPr>
            <w:r>
              <w:rPr>
                <w:rFonts w:ascii="Arial" w:cs="Arial" w:eastAsia="Arial" w:hAnsi="Arial"/>
                <w:sz w:val="12"/>
                <w:szCs w:val="12"/>
                <w:color w:val="auto"/>
              </w:rPr>
              <w:t>Consumer CLEC</w:t>
            </w:r>
          </w:p>
        </w:tc>
        <w:tc>
          <w:tcPr>
            <w:tcW w:w="13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0" w:type="dxa"/>
            <w:vAlign w:val="bottom"/>
            <w:tcBorders>
              <w:bottom w:val="single" w:sz="8" w:color="auto"/>
            </w:tcBorders>
            <w:shd w:val="clear" w:color="auto" w:fill="CFF0FC"/>
          </w:tcPr>
          <w:p>
            <w:pPr>
              <w:spacing w:after="0"/>
              <w:rPr>
                <w:sz w:val="13"/>
                <w:szCs w:val="13"/>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18,087</w:t>
            </w:r>
          </w:p>
        </w:tc>
        <w:tc>
          <w:tcPr>
            <w:tcW w:w="120" w:type="dxa"/>
            <w:vAlign w:val="bottom"/>
            <w:shd w:val="clear" w:color="auto" w:fill="CFF0FC"/>
          </w:tcPr>
          <w:p>
            <w:pPr>
              <w:spacing w:after="0"/>
              <w:rPr>
                <w:sz w:val="13"/>
                <w:szCs w:val="13"/>
                <w:color w:val="auto"/>
              </w:rPr>
            </w:pPr>
          </w:p>
        </w:tc>
        <w:tc>
          <w:tcPr>
            <w:tcW w:w="72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2"/>
                <w:szCs w:val="12"/>
                <w:color w:val="auto"/>
                <w:w w:val="94"/>
              </w:rPr>
              <w:t>2.0%</w:t>
            </w:r>
          </w:p>
        </w:tc>
        <w:tc>
          <w:tcPr>
            <w:tcW w:w="280" w:type="dxa"/>
            <w:vAlign w:val="bottom"/>
            <w:shd w:val="clear" w:color="auto" w:fill="CFF0FC"/>
          </w:tcPr>
          <w:p>
            <w:pPr>
              <w:spacing w:after="0"/>
              <w:rPr>
                <w:sz w:val="13"/>
                <w:szCs w:val="13"/>
                <w:color w:val="auto"/>
              </w:rPr>
            </w:pPr>
          </w:p>
        </w:tc>
        <w:tc>
          <w:tcPr>
            <w:tcW w:w="280" w:type="dxa"/>
            <w:vAlign w:val="bottom"/>
            <w:tcBorders>
              <w:bottom w:val="single" w:sz="8" w:color="auto"/>
            </w:tcBorders>
            <w:shd w:val="clear" w:color="auto" w:fill="CFF0FC"/>
          </w:tcPr>
          <w:p>
            <w:pPr>
              <w:spacing w:after="0"/>
              <w:rPr>
                <w:sz w:val="13"/>
                <w:szCs w:val="13"/>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22,472</w:t>
            </w:r>
          </w:p>
        </w:tc>
        <w:tc>
          <w:tcPr>
            <w:tcW w:w="100" w:type="dxa"/>
            <w:vAlign w:val="bottom"/>
            <w:shd w:val="clear" w:color="auto" w:fill="CFF0FC"/>
          </w:tcPr>
          <w:p>
            <w:pPr>
              <w:spacing w:after="0"/>
              <w:rPr>
                <w:sz w:val="13"/>
                <w:szCs w:val="13"/>
                <w:color w:val="auto"/>
              </w:rPr>
            </w:pPr>
          </w:p>
        </w:tc>
        <w:tc>
          <w:tcPr>
            <w:tcW w:w="74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2"/>
                <w:szCs w:val="12"/>
                <w:color w:val="auto"/>
                <w:w w:val="94"/>
              </w:rPr>
              <w:t>2.9%</w:t>
            </w: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20" w:type="dxa"/>
            <w:vAlign w:val="bottom"/>
          </w:tcPr>
          <w:p>
            <w:pPr>
              <w:ind w:left="300"/>
              <w:spacing w:after="0"/>
              <w:rPr>
                <w:sz w:val="20"/>
                <w:szCs w:val="20"/>
                <w:color w:val="auto"/>
              </w:rPr>
            </w:pPr>
            <w:r>
              <w:rPr>
                <w:rFonts w:ascii="Arial" w:cs="Arial" w:eastAsia="Arial" w:hAnsi="Arial"/>
                <w:sz w:val="12"/>
                <w:szCs w:val="12"/>
                <w:color w:val="auto"/>
              </w:rPr>
              <w:t>Total revenues</w:t>
            </w:r>
          </w:p>
        </w:tc>
        <w:tc>
          <w:tcPr>
            <w:tcW w:w="1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w w:val="92"/>
              </w:rPr>
              <w:t>916,032</w:t>
            </w:r>
          </w:p>
        </w:tc>
        <w:tc>
          <w:tcPr>
            <w:tcW w:w="12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2"/>
                <w:szCs w:val="12"/>
                <w:color w:val="auto"/>
                <w:w w:val="93"/>
              </w:rPr>
              <w:t>100.0%</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770,408</w:t>
            </w:r>
          </w:p>
        </w:tc>
        <w:tc>
          <w:tcPr>
            <w:tcW w:w="100" w:type="dxa"/>
            <w:vAlign w:val="bottom"/>
          </w:tcPr>
          <w:p>
            <w:pPr>
              <w:spacing w:after="0"/>
              <w:rPr>
                <w:sz w:val="12"/>
                <w:szCs w:val="12"/>
                <w:color w:val="auto"/>
              </w:rPr>
            </w:pPr>
          </w:p>
        </w:tc>
        <w:tc>
          <w:tcPr>
            <w:tcW w:w="740" w:type="dxa"/>
            <w:vAlign w:val="bottom"/>
          </w:tcPr>
          <w:p>
            <w:pPr>
              <w:jc w:val="center"/>
              <w:spacing w:after="0"/>
              <w:rPr>
                <w:sz w:val="20"/>
                <w:szCs w:val="20"/>
                <w:color w:val="auto"/>
              </w:rPr>
            </w:pPr>
            <w:r>
              <w:rPr>
                <w:rFonts w:ascii="Arial" w:cs="Arial" w:eastAsia="Arial" w:hAnsi="Arial"/>
                <w:sz w:val="12"/>
                <w:szCs w:val="12"/>
                <w:color w:val="auto"/>
                <w:w w:val="93"/>
              </w:rPr>
              <w:t>100.0%</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20" w:type="dxa"/>
            <w:vAlign w:val="bottom"/>
            <w:shd w:val="clear" w:color="auto" w:fill="CFF0FC"/>
          </w:tcPr>
          <w:p>
            <w:pPr>
              <w:spacing w:after="0"/>
              <w:rPr>
                <w:sz w:val="20"/>
                <w:szCs w:val="20"/>
                <w:color w:val="auto"/>
              </w:rPr>
            </w:pPr>
            <w:r>
              <w:rPr>
                <w:rFonts w:ascii="Arial" w:cs="Arial" w:eastAsia="Arial" w:hAnsi="Arial"/>
                <w:sz w:val="12"/>
                <w:szCs w:val="12"/>
                <w:b w:val="1"/>
                <w:bCs w:val="1"/>
                <w:color w:val="auto"/>
              </w:rPr>
              <w:t>Costs and Expenses:</w:t>
            </w:r>
          </w:p>
        </w:tc>
        <w:tc>
          <w:tcPr>
            <w:tcW w:w="13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420" w:type="dxa"/>
            <w:vAlign w:val="bottom"/>
          </w:tcPr>
          <w:p>
            <w:pPr>
              <w:ind w:left="140"/>
              <w:spacing w:after="0"/>
              <w:rPr>
                <w:sz w:val="20"/>
                <w:szCs w:val="20"/>
                <w:color w:val="auto"/>
              </w:rPr>
            </w:pPr>
            <w:r>
              <w:rPr>
                <w:rFonts w:ascii="Arial" w:cs="Arial" w:eastAsia="Arial" w:hAnsi="Arial"/>
                <w:sz w:val="12"/>
                <w:szCs w:val="12"/>
                <w:color w:val="auto"/>
              </w:rPr>
              <w:t>Interest expense</w:t>
            </w:r>
          </w:p>
        </w:tc>
        <w:tc>
          <w:tcPr>
            <w:tcW w:w="1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w w:val="92"/>
              </w:rPr>
              <w:t>305,994</w:t>
            </w:r>
          </w:p>
        </w:tc>
        <w:tc>
          <w:tcPr>
            <w:tcW w:w="12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Arial" w:cs="Arial" w:eastAsia="Arial" w:hAnsi="Arial"/>
                <w:sz w:val="12"/>
                <w:szCs w:val="12"/>
                <w:color w:val="auto"/>
                <w:w w:val="88"/>
              </w:rPr>
              <w:t>33.4%</w:t>
            </w: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275,394</w:t>
            </w:r>
          </w:p>
        </w:tc>
        <w:tc>
          <w:tcPr>
            <w:tcW w:w="10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Arial" w:cs="Arial" w:eastAsia="Arial" w:hAnsi="Arial"/>
                <w:sz w:val="12"/>
                <w:szCs w:val="12"/>
                <w:color w:val="auto"/>
                <w:w w:val="88"/>
              </w:rPr>
              <w:t>35.7%</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420" w:type="dxa"/>
            <w:vAlign w:val="bottom"/>
            <w:shd w:val="clear" w:color="auto" w:fill="CFF0FC"/>
          </w:tcPr>
          <w:p>
            <w:pPr>
              <w:ind w:left="140"/>
              <w:spacing w:after="0"/>
              <w:rPr>
                <w:sz w:val="20"/>
                <w:szCs w:val="20"/>
                <w:color w:val="auto"/>
              </w:rPr>
            </w:pPr>
            <w:r>
              <w:rPr>
                <w:rFonts w:ascii="Arial" w:cs="Arial" w:eastAsia="Arial" w:hAnsi="Arial"/>
                <w:sz w:val="12"/>
                <w:szCs w:val="12"/>
                <w:color w:val="auto"/>
              </w:rPr>
              <w:t>Depreciation and amortization</w:t>
            </w:r>
          </w:p>
        </w:tc>
        <w:tc>
          <w:tcPr>
            <w:tcW w:w="13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2"/>
              </w:rPr>
              <w:t>434,205</w:t>
            </w: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8"/>
              </w:rPr>
              <w:t>47.4%</w:t>
            </w:r>
          </w:p>
        </w:tc>
        <w:tc>
          <w:tcPr>
            <w:tcW w:w="2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375,970</w:t>
            </w:r>
          </w:p>
        </w:tc>
        <w:tc>
          <w:tcPr>
            <w:tcW w:w="100" w:type="dxa"/>
            <w:vAlign w:val="bottom"/>
            <w:shd w:val="clear" w:color="auto" w:fill="CFF0FC"/>
          </w:tcPr>
          <w:p>
            <w:pPr>
              <w:spacing w:after="0"/>
              <w:rPr>
                <w:sz w:val="13"/>
                <w:szCs w:val="13"/>
                <w:color w:val="auto"/>
              </w:rPr>
            </w:pPr>
          </w:p>
        </w:tc>
        <w:tc>
          <w:tcPr>
            <w:tcW w:w="74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8"/>
              </w:rPr>
              <w:t>48.8%</w:t>
            </w: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420" w:type="dxa"/>
            <w:vAlign w:val="bottom"/>
          </w:tcPr>
          <w:p>
            <w:pPr>
              <w:ind w:left="140"/>
              <w:spacing w:after="0"/>
              <w:rPr>
                <w:sz w:val="20"/>
                <w:szCs w:val="20"/>
                <w:color w:val="auto"/>
              </w:rPr>
            </w:pPr>
            <w:r>
              <w:rPr>
                <w:rFonts w:ascii="Arial" w:cs="Arial" w:eastAsia="Arial" w:hAnsi="Arial"/>
                <w:sz w:val="12"/>
                <w:szCs w:val="12"/>
                <w:color w:val="auto"/>
              </w:rPr>
              <w:t>General and administrative expense</w:t>
            </w:r>
          </w:p>
        </w:tc>
        <w:tc>
          <w:tcPr>
            <w:tcW w:w="1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72,045</w:t>
            </w:r>
          </w:p>
        </w:tc>
        <w:tc>
          <w:tcPr>
            <w:tcW w:w="12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Arial" w:cs="Arial" w:eastAsia="Arial" w:hAnsi="Arial"/>
                <w:sz w:val="12"/>
                <w:szCs w:val="12"/>
                <w:color w:val="auto"/>
                <w:w w:val="94"/>
              </w:rPr>
              <w:t>7.9%</w:t>
            </w: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35,402</w:t>
            </w:r>
          </w:p>
        </w:tc>
        <w:tc>
          <w:tcPr>
            <w:tcW w:w="10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Arial" w:cs="Arial" w:eastAsia="Arial" w:hAnsi="Arial"/>
                <w:sz w:val="12"/>
                <w:szCs w:val="12"/>
                <w:color w:val="auto"/>
                <w:w w:val="94"/>
              </w:rPr>
              <w:t>4.6%</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420" w:type="dxa"/>
            <w:vAlign w:val="bottom"/>
            <w:shd w:val="clear" w:color="auto" w:fill="CFF0FC"/>
          </w:tcPr>
          <w:p>
            <w:pPr>
              <w:ind w:left="140"/>
              <w:spacing w:after="0"/>
              <w:rPr>
                <w:sz w:val="20"/>
                <w:szCs w:val="20"/>
                <w:color w:val="auto"/>
              </w:rPr>
            </w:pPr>
            <w:r>
              <w:rPr>
                <w:rFonts w:ascii="Arial" w:cs="Arial" w:eastAsia="Arial" w:hAnsi="Arial"/>
                <w:sz w:val="12"/>
                <w:szCs w:val="12"/>
                <w:color w:val="auto"/>
              </w:rPr>
              <w:t>Operating expense (exclusive of depreciation and amortization)</w:t>
            </w:r>
          </w:p>
        </w:tc>
        <w:tc>
          <w:tcPr>
            <w:tcW w:w="13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2"/>
              </w:rPr>
              <w:t>102,176</w:t>
            </w: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8"/>
              </w:rPr>
              <w:t>11.2%</w:t>
            </w:r>
          </w:p>
        </w:tc>
        <w:tc>
          <w:tcPr>
            <w:tcW w:w="2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49,668</w:t>
            </w:r>
          </w:p>
        </w:tc>
        <w:tc>
          <w:tcPr>
            <w:tcW w:w="100" w:type="dxa"/>
            <w:vAlign w:val="bottom"/>
            <w:shd w:val="clear" w:color="auto" w:fill="CFF0FC"/>
          </w:tcPr>
          <w:p>
            <w:pPr>
              <w:spacing w:after="0"/>
              <w:rPr>
                <w:sz w:val="13"/>
                <w:szCs w:val="13"/>
                <w:color w:val="auto"/>
              </w:rPr>
            </w:pPr>
          </w:p>
        </w:tc>
        <w:tc>
          <w:tcPr>
            <w:tcW w:w="74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94"/>
              </w:rPr>
              <w:t>6.4%</w:t>
            </w: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420" w:type="dxa"/>
            <w:vAlign w:val="bottom"/>
          </w:tcPr>
          <w:p>
            <w:pPr>
              <w:ind w:left="140"/>
              <w:spacing w:after="0"/>
              <w:rPr>
                <w:sz w:val="20"/>
                <w:szCs w:val="20"/>
                <w:color w:val="auto"/>
              </w:rPr>
            </w:pPr>
            <w:r>
              <w:rPr>
                <w:rFonts w:ascii="Arial" w:cs="Arial" w:eastAsia="Arial" w:hAnsi="Arial"/>
                <w:sz w:val="12"/>
                <w:szCs w:val="12"/>
                <w:color w:val="auto"/>
              </w:rPr>
              <w:t>Transaction related costs</w:t>
            </w:r>
          </w:p>
        </w:tc>
        <w:tc>
          <w:tcPr>
            <w:tcW w:w="1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38,005</w:t>
            </w:r>
          </w:p>
        </w:tc>
        <w:tc>
          <w:tcPr>
            <w:tcW w:w="12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Arial" w:cs="Arial" w:eastAsia="Arial" w:hAnsi="Arial"/>
                <w:sz w:val="12"/>
                <w:szCs w:val="12"/>
                <w:color w:val="auto"/>
                <w:w w:val="94"/>
              </w:rPr>
              <w:t>4.1%</w:t>
            </w: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33,669</w:t>
            </w:r>
          </w:p>
        </w:tc>
        <w:tc>
          <w:tcPr>
            <w:tcW w:w="10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Arial" w:cs="Arial" w:eastAsia="Arial" w:hAnsi="Arial"/>
                <w:sz w:val="12"/>
                <w:szCs w:val="12"/>
                <w:color w:val="auto"/>
                <w:w w:val="94"/>
              </w:rPr>
              <w:t>4.4%</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420" w:type="dxa"/>
            <w:vAlign w:val="bottom"/>
            <w:shd w:val="clear" w:color="auto" w:fill="CFF0FC"/>
          </w:tcPr>
          <w:p>
            <w:pPr>
              <w:ind w:left="140"/>
              <w:spacing w:after="0"/>
              <w:rPr>
                <w:sz w:val="20"/>
                <w:szCs w:val="20"/>
                <w:color w:val="auto"/>
              </w:rPr>
            </w:pPr>
            <w:r>
              <w:rPr>
                <w:rFonts w:ascii="Arial" w:cs="Arial" w:eastAsia="Arial" w:hAnsi="Arial"/>
                <w:sz w:val="12"/>
                <w:szCs w:val="12"/>
                <w:color w:val="auto"/>
              </w:rPr>
              <w:t>Other expense</w:t>
            </w:r>
          </w:p>
        </w:tc>
        <w:tc>
          <w:tcPr>
            <w:tcW w:w="13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0" w:type="dxa"/>
            <w:vAlign w:val="bottom"/>
            <w:tcBorders>
              <w:bottom w:val="single" w:sz="8" w:color="auto"/>
            </w:tcBorders>
            <w:shd w:val="clear" w:color="auto" w:fill="CFF0FC"/>
          </w:tcPr>
          <w:p>
            <w:pPr>
              <w:spacing w:after="0"/>
              <w:rPr>
                <w:sz w:val="13"/>
                <w:szCs w:val="13"/>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11,284</w:t>
            </w:r>
          </w:p>
        </w:tc>
        <w:tc>
          <w:tcPr>
            <w:tcW w:w="120" w:type="dxa"/>
            <w:vAlign w:val="bottom"/>
            <w:shd w:val="clear" w:color="auto" w:fill="CFF0FC"/>
          </w:tcPr>
          <w:p>
            <w:pPr>
              <w:spacing w:after="0"/>
              <w:rPr>
                <w:sz w:val="13"/>
                <w:szCs w:val="13"/>
                <w:color w:val="auto"/>
              </w:rPr>
            </w:pPr>
          </w:p>
        </w:tc>
        <w:tc>
          <w:tcPr>
            <w:tcW w:w="72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2"/>
                <w:szCs w:val="12"/>
                <w:color w:val="auto"/>
                <w:w w:val="94"/>
              </w:rPr>
              <w:t>1.2%</w:t>
            </w:r>
          </w:p>
        </w:tc>
        <w:tc>
          <w:tcPr>
            <w:tcW w:w="280" w:type="dxa"/>
            <w:vAlign w:val="bottom"/>
            <w:shd w:val="clear" w:color="auto" w:fill="CFF0FC"/>
          </w:tcPr>
          <w:p>
            <w:pPr>
              <w:spacing w:after="0"/>
              <w:rPr>
                <w:sz w:val="13"/>
                <w:szCs w:val="13"/>
                <w:color w:val="auto"/>
              </w:rPr>
            </w:pPr>
          </w:p>
        </w:tc>
        <w:tc>
          <w:tcPr>
            <w:tcW w:w="280" w:type="dxa"/>
            <w:vAlign w:val="bottom"/>
            <w:tcBorders>
              <w:bottom w:val="single" w:sz="8" w:color="auto"/>
            </w:tcBorders>
            <w:shd w:val="clear" w:color="auto" w:fill="CFF0FC"/>
          </w:tcPr>
          <w:p>
            <w:pPr>
              <w:spacing w:after="0"/>
              <w:rPr>
                <w:sz w:val="13"/>
                <w:szCs w:val="13"/>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3"/>
                <w:szCs w:val="13"/>
                <w:color w:val="auto"/>
              </w:rPr>
            </w:pPr>
          </w:p>
        </w:tc>
        <w:tc>
          <w:tcPr>
            <w:tcW w:w="74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2"/>
                <w:szCs w:val="12"/>
                <w:color w:val="auto"/>
                <w:w w:val="94"/>
              </w:rPr>
              <w:t>0.0%</w:t>
            </w: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20" w:type="dxa"/>
            <w:vAlign w:val="bottom"/>
            <w:tcBorders>
              <w:bottom w:val="single" w:sz="8" w:color="CFF0FC"/>
            </w:tcBorders>
          </w:tcPr>
          <w:p>
            <w:pPr>
              <w:ind w:left="300"/>
              <w:spacing w:after="0"/>
              <w:rPr>
                <w:sz w:val="20"/>
                <w:szCs w:val="20"/>
                <w:color w:val="auto"/>
              </w:rPr>
            </w:pPr>
            <w:r>
              <w:rPr>
                <w:rFonts w:ascii="Arial" w:cs="Arial" w:eastAsia="Arial" w:hAnsi="Arial"/>
                <w:sz w:val="12"/>
                <w:szCs w:val="12"/>
                <w:color w:val="auto"/>
              </w:rPr>
              <w:t>Total costs and expenses</w:t>
            </w:r>
          </w:p>
        </w:tc>
        <w:tc>
          <w:tcPr>
            <w:tcW w:w="1360" w:type="dxa"/>
            <w:vAlign w:val="bottom"/>
            <w:tcBorders>
              <w:bottom w:val="single" w:sz="8" w:color="CFF0FC"/>
            </w:tcBorders>
          </w:tcPr>
          <w:p>
            <w:pPr>
              <w:spacing w:after="0"/>
              <w:rPr>
                <w:sz w:val="12"/>
                <w:szCs w:val="12"/>
                <w:color w:val="auto"/>
              </w:rPr>
            </w:pPr>
          </w:p>
        </w:tc>
        <w:tc>
          <w:tcPr>
            <w:tcW w:w="180" w:type="dxa"/>
            <w:vAlign w:val="bottom"/>
            <w:tcBorders>
              <w:bottom w:val="single" w:sz="8" w:color="CFF0FC"/>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2"/>
              </w:rPr>
              <w:t>963,709</w:t>
            </w:r>
          </w:p>
        </w:tc>
        <w:tc>
          <w:tcPr>
            <w:tcW w:w="120" w:type="dxa"/>
            <w:vAlign w:val="bottom"/>
            <w:tcBorders>
              <w:bottom w:val="single" w:sz="8" w:color="CFF0FC"/>
            </w:tcBorders>
          </w:tcPr>
          <w:p>
            <w:pPr>
              <w:spacing w:after="0"/>
              <w:rPr>
                <w:sz w:val="12"/>
                <w:szCs w:val="12"/>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3"/>
              </w:rPr>
              <w:t>105.2%</w:t>
            </w:r>
          </w:p>
        </w:tc>
        <w:tc>
          <w:tcPr>
            <w:tcW w:w="280" w:type="dxa"/>
            <w:vAlign w:val="bottom"/>
            <w:tcBorders>
              <w:bottom w:val="single" w:sz="8" w:color="CFF0FC"/>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770,103</w:t>
            </w:r>
          </w:p>
        </w:tc>
        <w:tc>
          <w:tcPr>
            <w:tcW w:w="100" w:type="dxa"/>
            <w:vAlign w:val="bottom"/>
            <w:tcBorders>
              <w:bottom w:val="single" w:sz="8" w:color="CFF0FC"/>
            </w:tcBorders>
          </w:tcPr>
          <w:p>
            <w:pPr>
              <w:spacing w:after="0"/>
              <w:rPr>
                <w:sz w:val="12"/>
                <w:szCs w:val="12"/>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3"/>
              </w:rPr>
              <w:t>100.0%</w:t>
            </w:r>
          </w:p>
        </w:tc>
        <w:tc>
          <w:tcPr>
            <w:tcW w:w="120" w:type="dxa"/>
            <w:vAlign w:val="bottom"/>
            <w:tcBorders>
              <w:bottom w:val="single" w:sz="8" w:color="CFF0F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42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5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4420" w:type="dxa"/>
            <w:vAlign w:val="bottom"/>
          </w:tcPr>
          <w:p>
            <w:pPr>
              <w:spacing w:after="0"/>
              <w:rPr>
                <w:sz w:val="20"/>
                <w:szCs w:val="20"/>
                <w:color w:val="auto"/>
              </w:rPr>
            </w:pPr>
            <w:r>
              <w:rPr>
                <w:rFonts w:ascii="Arial" w:cs="Arial" w:eastAsia="Arial" w:hAnsi="Arial"/>
                <w:sz w:val="12"/>
                <w:szCs w:val="12"/>
                <w:b w:val="1"/>
                <w:bCs w:val="1"/>
                <w:color w:val="auto"/>
              </w:rPr>
              <w:t>(Loss) income before income taxes</w:t>
            </w:r>
          </w:p>
        </w:tc>
        <w:tc>
          <w:tcPr>
            <w:tcW w:w="1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2"/>
                <w:szCs w:val="12"/>
                <w:color w:val="auto"/>
                <w:w w:val="98"/>
              </w:rPr>
              <w:t>(47,677)</w:t>
            </w:r>
          </w:p>
        </w:tc>
        <w:tc>
          <w:tcPr>
            <w:tcW w:w="720" w:type="dxa"/>
            <w:vAlign w:val="bottom"/>
          </w:tcPr>
          <w:p>
            <w:pPr>
              <w:jc w:val="center"/>
              <w:spacing w:after="0"/>
              <w:rPr>
                <w:sz w:val="20"/>
                <w:szCs w:val="20"/>
                <w:color w:val="auto"/>
              </w:rPr>
            </w:pPr>
            <w:r>
              <w:rPr>
                <w:rFonts w:ascii="Arial" w:cs="Arial" w:eastAsia="Arial" w:hAnsi="Arial"/>
                <w:sz w:val="12"/>
                <w:szCs w:val="12"/>
                <w:color w:val="auto"/>
                <w:w w:val="96"/>
              </w:rPr>
              <w:t>(5.2%)</w:t>
            </w: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305</w:t>
            </w:r>
          </w:p>
        </w:tc>
        <w:tc>
          <w:tcPr>
            <w:tcW w:w="10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Arial" w:cs="Arial" w:eastAsia="Arial" w:hAnsi="Arial"/>
                <w:sz w:val="12"/>
                <w:szCs w:val="12"/>
                <w:color w:val="auto"/>
                <w:w w:val="94"/>
              </w:rPr>
              <w:t>0.0%</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420" w:type="dxa"/>
            <w:vAlign w:val="bottom"/>
            <w:shd w:val="clear" w:color="auto" w:fill="CFF0FC"/>
          </w:tcPr>
          <w:p>
            <w:pPr>
              <w:ind w:left="140"/>
              <w:spacing w:after="0"/>
              <w:rPr>
                <w:sz w:val="20"/>
                <w:szCs w:val="20"/>
                <w:color w:val="auto"/>
              </w:rPr>
            </w:pPr>
            <w:r>
              <w:rPr>
                <w:rFonts w:ascii="Arial" w:cs="Arial" w:eastAsia="Arial" w:hAnsi="Arial"/>
                <w:sz w:val="12"/>
                <w:szCs w:val="12"/>
                <w:color w:val="auto"/>
              </w:rPr>
              <w:t>Income tax (benefit) expense</w:t>
            </w:r>
          </w:p>
        </w:tc>
        <w:tc>
          <w:tcPr>
            <w:tcW w:w="13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5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w w:val="98"/>
              </w:rPr>
              <w:t>(38,849)</w:t>
            </w:r>
          </w:p>
        </w:tc>
        <w:tc>
          <w:tcPr>
            <w:tcW w:w="72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96"/>
              </w:rPr>
              <w:t>(4.2%)</w:t>
            </w:r>
          </w:p>
        </w:tc>
        <w:tc>
          <w:tcPr>
            <w:tcW w:w="2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517</w:t>
            </w:r>
          </w:p>
        </w:tc>
        <w:tc>
          <w:tcPr>
            <w:tcW w:w="100" w:type="dxa"/>
            <w:vAlign w:val="bottom"/>
            <w:shd w:val="clear" w:color="auto" w:fill="CFF0FC"/>
          </w:tcPr>
          <w:p>
            <w:pPr>
              <w:spacing w:after="0"/>
              <w:rPr>
                <w:sz w:val="13"/>
                <w:szCs w:val="13"/>
                <w:color w:val="auto"/>
              </w:rPr>
            </w:pPr>
          </w:p>
        </w:tc>
        <w:tc>
          <w:tcPr>
            <w:tcW w:w="74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94"/>
              </w:rPr>
              <w:t>0.1%</w:t>
            </w: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Net (loss)</w:t>
            </w:r>
          </w:p>
        </w:tc>
        <w:tc>
          <w:tcPr>
            <w:tcW w:w="1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440" w:type="dxa"/>
            <w:vAlign w:val="bottom"/>
            <w:gridSpan w:val="2"/>
            <w:vMerge w:val="continue"/>
          </w:tcPr>
          <w:p>
            <w:pPr>
              <w:spacing w:after="0"/>
              <w:rPr>
                <w:sz w:val="12"/>
                <w:szCs w:val="12"/>
                <w:color w:val="auto"/>
              </w:rPr>
            </w:pPr>
          </w:p>
        </w:tc>
        <w:tc>
          <w:tcPr>
            <w:tcW w:w="1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2"/>
                <w:szCs w:val="12"/>
                <w:color w:val="auto"/>
              </w:rPr>
              <w:t>(8,828)</w:t>
            </w:r>
          </w:p>
        </w:tc>
        <w:tc>
          <w:tcPr>
            <w:tcW w:w="720" w:type="dxa"/>
            <w:vAlign w:val="bottom"/>
          </w:tcPr>
          <w:p>
            <w:pPr>
              <w:jc w:val="center"/>
              <w:spacing w:after="0"/>
              <w:rPr>
                <w:sz w:val="20"/>
                <w:szCs w:val="20"/>
                <w:color w:val="auto"/>
              </w:rPr>
            </w:pPr>
            <w:r>
              <w:rPr>
                <w:rFonts w:ascii="Arial" w:cs="Arial" w:eastAsia="Arial" w:hAnsi="Arial"/>
                <w:sz w:val="12"/>
                <w:szCs w:val="12"/>
                <w:color w:val="auto"/>
                <w:w w:val="96"/>
              </w:rPr>
              <w:t>(1.0%)</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20" w:type="dxa"/>
            <w:vAlign w:val="bottom"/>
            <w:gridSpan w:val="2"/>
          </w:tcPr>
          <w:p>
            <w:pPr>
              <w:jc w:val="right"/>
              <w:ind w:right="60"/>
              <w:spacing w:after="0"/>
              <w:rPr>
                <w:sz w:val="20"/>
                <w:szCs w:val="20"/>
                <w:color w:val="auto"/>
              </w:rPr>
            </w:pPr>
            <w:r>
              <w:rPr>
                <w:rFonts w:ascii="Arial" w:cs="Arial" w:eastAsia="Arial" w:hAnsi="Arial"/>
                <w:sz w:val="12"/>
                <w:szCs w:val="12"/>
                <w:color w:val="auto"/>
              </w:rPr>
              <w:t>(212)</w:t>
            </w:r>
          </w:p>
        </w:tc>
        <w:tc>
          <w:tcPr>
            <w:tcW w:w="740" w:type="dxa"/>
            <w:vAlign w:val="bottom"/>
          </w:tcPr>
          <w:p>
            <w:pPr>
              <w:jc w:val="center"/>
              <w:spacing w:after="0"/>
              <w:rPr>
                <w:sz w:val="20"/>
                <w:szCs w:val="20"/>
                <w:color w:val="auto"/>
              </w:rPr>
            </w:pPr>
            <w:r>
              <w:rPr>
                <w:rFonts w:ascii="Arial" w:cs="Arial" w:eastAsia="Arial" w:hAnsi="Arial"/>
                <w:sz w:val="12"/>
                <w:szCs w:val="12"/>
                <w:color w:val="auto"/>
                <w:w w:val="96"/>
              </w:rPr>
              <w:t>(0.0%)</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420" w:type="dxa"/>
            <w:vAlign w:val="bottom"/>
            <w:shd w:val="clear" w:color="auto" w:fill="CFF0FC"/>
          </w:tcPr>
          <w:p>
            <w:pPr>
              <w:spacing w:after="0"/>
              <w:rPr>
                <w:sz w:val="20"/>
                <w:szCs w:val="20"/>
                <w:color w:val="auto"/>
              </w:rPr>
            </w:pPr>
            <w:r>
              <w:rPr>
                <w:rFonts w:ascii="Arial" w:cs="Arial" w:eastAsia="Arial" w:hAnsi="Arial"/>
                <w:sz w:val="12"/>
                <w:szCs w:val="12"/>
                <w:color w:val="auto"/>
              </w:rPr>
              <w:t>Net income attributable to noncontrolling interests</w:t>
            </w:r>
          </w:p>
        </w:tc>
        <w:tc>
          <w:tcPr>
            <w:tcW w:w="13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0" w:type="dxa"/>
            <w:vAlign w:val="bottom"/>
            <w:tcBorders>
              <w:bottom w:val="single" w:sz="8" w:color="auto"/>
            </w:tcBorders>
            <w:shd w:val="clear" w:color="auto" w:fill="CFF0FC"/>
          </w:tcPr>
          <w:p>
            <w:pPr>
              <w:spacing w:after="0"/>
              <w:rPr>
                <w:sz w:val="13"/>
                <w:szCs w:val="13"/>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611</w:t>
            </w:r>
          </w:p>
        </w:tc>
        <w:tc>
          <w:tcPr>
            <w:tcW w:w="120" w:type="dxa"/>
            <w:vAlign w:val="bottom"/>
            <w:shd w:val="clear" w:color="auto" w:fill="CFF0FC"/>
          </w:tcPr>
          <w:p>
            <w:pPr>
              <w:spacing w:after="0"/>
              <w:rPr>
                <w:sz w:val="13"/>
                <w:szCs w:val="13"/>
                <w:color w:val="auto"/>
              </w:rPr>
            </w:pPr>
          </w:p>
        </w:tc>
        <w:tc>
          <w:tcPr>
            <w:tcW w:w="72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2"/>
                <w:szCs w:val="12"/>
                <w:color w:val="auto"/>
                <w:w w:val="94"/>
              </w:rPr>
              <w:t>0.1%</w:t>
            </w:r>
          </w:p>
        </w:tc>
        <w:tc>
          <w:tcPr>
            <w:tcW w:w="280" w:type="dxa"/>
            <w:vAlign w:val="bottom"/>
            <w:shd w:val="clear" w:color="auto" w:fill="CFF0FC"/>
          </w:tcPr>
          <w:p>
            <w:pPr>
              <w:spacing w:after="0"/>
              <w:rPr>
                <w:sz w:val="13"/>
                <w:szCs w:val="13"/>
                <w:color w:val="auto"/>
              </w:rPr>
            </w:pPr>
          </w:p>
        </w:tc>
        <w:tc>
          <w:tcPr>
            <w:tcW w:w="280" w:type="dxa"/>
            <w:vAlign w:val="bottom"/>
            <w:tcBorders>
              <w:bottom w:val="single" w:sz="8" w:color="auto"/>
            </w:tcBorders>
            <w:shd w:val="clear" w:color="auto" w:fill="CFF0FC"/>
          </w:tcPr>
          <w:p>
            <w:pPr>
              <w:spacing w:after="0"/>
              <w:rPr>
                <w:sz w:val="13"/>
                <w:szCs w:val="13"/>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3"/>
                <w:szCs w:val="13"/>
                <w:color w:val="auto"/>
              </w:rPr>
            </w:pPr>
          </w:p>
        </w:tc>
        <w:tc>
          <w:tcPr>
            <w:tcW w:w="74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2"/>
                <w:szCs w:val="12"/>
                <w:color w:val="auto"/>
                <w:w w:val="94"/>
              </w:rPr>
              <w:t>0.0%</w:t>
            </w: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440" w:type="dxa"/>
            <w:vAlign w:val="bottom"/>
            <w:gridSpan w:val="2"/>
          </w:tcPr>
          <w:p>
            <w:pPr>
              <w:spacing w:after="0"/>
              <w:rPr>
                <w:sz w:val="20"/>
                <w:szCs w:val="20"/>
                <w:color w:val="auto"/>
              </w:rPr>
            </w:pPr>
            <w:r>
              <w:rPr>
                <w:rFonts w:ascii="Arial" w:cs="Arial" w:eastAsia="Arial" w:hAnsi="Arial"/>
                <w:sz w:val="12"/>
                <w:szCs w:val="12"/>
                <w:b w:val="1"/>
                <w:bCs w:val="1"/>
                <w:color w:val="auto"/>
              </w:rPr>
              <w:t>Net (loss) attributable to shareholders</w:t>
            </w:r>
          </w:p>
        </w:tc>
        <w:tc>
          <w:tcPr>
            <w:tcW w:w="1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2"/>
                <w:szCs w:val="12"/>
                <w:color w:val="auto"/>
              </w:rPr>
              <w:t>(9,439)</w:t>
            </w:r>
          </w:p>
        </w:tc>
        <w:tc>
          <w:tcPr>
            <w:tcW w:w="720" w:type="dxa"/>
            <w:vAlign w:val="bottom"/>
          </w:tcPr>
          <w:p>
            <w:pPr>
              <w:jc w:val="center"/>
              <w:spacing w:after="0"/>
              <w:rPr>
                <w:sz w:val="20"/>
                <w:szCs w:val="20"/>
                <w:color w:val="auto"/>
              </w:rPr>
            </w:pPr>
            <w:r>
              <w:rPr>
                <w:rFonts w:ascii="Arial" w:cs="Arial" w:eastAsia="Arial" w:hAnsi="Arial"/>
                <w:sz w:val="12"/>
                <w:szCs w:val="12"/>
                <w:color w:val="auto"/>
                <w:w w:val="96"/>
              </w:rPr>
              <w:t>(1.0%)</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20" w:type="dxa"/>
            <w:vAlign w:val="bottom"/>
            <w:gridSpan w:val="2"/>
          </w:tcPr>
          <w:p>
            <w:pPr>
              <w:jc w:val="right"/>
              <w:ind w:right="60"/>
              <w:spacing w:after="0"/>
              <w:rPr>
                <w:sz w:val="20"/>
                <w:szCs w:val="20"/>
                <w:color w:val="auto"/>
              </w:rPr>
            </w:pPr>
            <w:r>
              <w:rPr>
                <w:rFonts w:ascii="Arial" w:cs="Arial" w:eastAsia="Arial" w:hAnsi="Arial"/>
                <w:sz w:val="12"/>
                <w:szCs w:val="12"/>
                <w:color w:val="auto"/>
              </w:rPr>
              <w:t>(212)</w:t>
            </w:r>
          </w:p>
        </w:tc>
        <w:tc>
          <w:tcPr>
            <w:tcW w:w="740" w:type="dxa"/>
            <w:vAlign w:val="bottom"/>
          </w:tcPr>
          <w:p>
            <w:pPr>
              <w:jc w:val="center"/>
              <w:spacing w:after="0"/>
              <w:rPr>
                <w:sz w:val="20"/>
                <w:szCs w:val="20"/>
                <w:color w:val="auto"/>
              </w:rPr>
            </w:pPr>
            <w:r>
              <w:rPr>
                <w:rFonts w:ascii="Arial" w:cs="Arial" w:eastAsia="Arial" w:hAnsi="Arial"/>
                <w:sz w:val="12"/>
                <w:szCs w:val="12"/>
                <w:color w:val="auto"/>
                <w:w w:val="96"/>
              </w:rPr>
              <w:t>(0.0%)</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420" w:type="dxa"/>
            <w:vAlign w:val="bottom"/>
            <w:shd w:val="clear" w:color="auto" w:fill="CFF0FC"/>
          </w:tcPr>
          <w:p>
            <w:pPr>
              <w:ind w:left="140"/>
              <w:spacing w:after="0"/>
              <w:rPr>
                <w:sz w:val="20"/>
                <w:szCs w:val="20"/>
                <w:color w:val="auto"/>
              </w:rPr>
            </w:pPr>
            <w:r>
              <w:rPr>
                <w:rFonts w:ascii="Arial" w:cs="Arial" w:eastAsia="Arial" w:hAnsi="Arial"/>
                <w:sz w:val="12"/>
                <w:szCs w:val="12"/>
                <w:color w:val="auto"/>
              </w:rPr>
              <w:t>Participating securities' share in earnings</w:t>
            </w:r>
          </w:p>
        </w:tc>
        <w:tc>
          <w:tcPr>
            <w:tcW w:w="13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5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(1,509)</w:t>
            </w:r>
          </w:p>
        </w:tc>
        <w:tc>
          <w:tcPr>
            <w:tcW w:w="72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96"/>
              </w:rPr>
              <w:t>(0.2%)</w:t>
            </w:r>
          </w:p>
        </w:tc>
        <w:tc>
          <w:tcPr>
            <w:tcW w:w="2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62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(1,557)</w:t>
            </w:r>
          </w:p>
        </w:tc>
        <w:tc>
          <w:tcPr>
            <w:tcW w:w="74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96"/>
              </w:rPr>
              <w:t>(0.2%)</w:t>
            </w: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420" w:type="dxa"/>
            <w:vAlign w:val="bottom"/>
          </w:tcPr>
          <w:p>
            <w:pPr>
              <w:ind w:left="140"/>
              <w:spacing w:after="0"/>
              <w:rPr>
                <w:sz w:val="20"/>
                <w:szCs w:val="20"/>
                <w:color w:val="auto"/>
              </w:rPr>
            </w:pPr>
            <w:r>
              <w:rPr>
                <w:rFonts w:ascii="Arial" w:cs="Arial" w:eastAsia="Arial" w:hAnsi="Arial"/>
                <w:sz w:val="12"/>
                <w:szCs w:val="12"/>
                <w:color w:val="auto"/>
              </w:rPr>
              <w:t>Dividends declared on convertible preferred stock</w:t>
            </w:r>
          </w:p>
        </w:tc>
        <w:tc>
          <w:tcPr>
            <w:tcW w:w="1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2"/>
                <w:szCs w:val="12"/>
                <w:color w:val="auto"/>
              </w:rPr>
              <w:t>(2,624)</w:t>
            </w:r>
          </w:p>
        </w:tc>
        <w:tc>
          <w:tcPr>
            <w:tcW w:w="720" w:type="dxa"/>
            <w:vAlign w:val="bottom"/>
          </w:tcPr>
          <w:p>
            <w:pPr>
              <w:jc w:val="center"/>
              <w:spacing w:after="0"/>
              <w:rPr>
                <w:sz w:val="20"/>
                <w:szCs w:val="20"/>
                <w:color w:val="auto"/>
              </w:rPr>
            </w:pPr>
            <w:r>
              <w:rPr>
                <w:rFonts w:ascii="Arial" w:cs="Arial" w:eastAsia="Arial" w:hAnsi="Arial"/>
                <w:sz w:val="12"/>
                <w:szCs w:val="12"/>
                <w:color w:val="auto"/>
                <w:w w:val="96"/>
              </w:rPr>
              <w:t>(0.3%)</w:t>
            </w: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20" w:type="dxa"/>
            <w:vAlign w:val="bottom"/>
            <w:gridSpan w:val="2"/>
          </w:tcPr>
          <w:p>
            <w:pPr>
              <w:jc w:val="right"/>
              <w:ind w:right="60"/>
              <w:spacing w:after="0"/>
              <w:rPr>
                <w:sz w:val="20"/>
                <w:szCs w:val="20"/>
                <w:color w:val="auto"/>
              </w:rPr>
            </w:pPr>
            <w:r>
              <w:rPr>
                <w:rFonts w:ascii="Arial" w:cs="Arial" w:eastAsia="Arial" w:hAnsi="Arial"/>
                <w:sz w:val="12"/>
                <w:szCs w:val="12"/>
                <w:color w:val="auto"/>
              </w:rPr>
              <w:t>(1,743)</w:t>
            </w:r>
          </w:p>
        </w:tc>
        <w:tc>
          <w:tcPr>
            <w:tcW w:w="740" w:type="dxa"/>
            <w:vAlign w:val="bottom"/>
          </w:tcPr>
          <w:p>
            <w:pPr>
              <w:jc w:val="center"/>
              <w:spacing w:after="0"/>
              <w:rPr>
                <w:sz w:val="20"/>
                <w:szCs w:val="20"/>
                <w:color w:val="auto"/>
              </w:rPr>
            </w:pPr>
            <w:r>
              <w:rPr>
                <w:rFonts w:ascii="Arial" w:cs="Arial" w:eastAsia="Arial" w:hAnsi="Arial"/>
                <w:sz w:val="12"/>
                <w:szCs w:val="12"/>
                <w:color w:val="auto"/>
                <w:w w:val="96"/>
              </w:rPr>
              <w:t>(0.2%)</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420" w:type="dxa"/>
            <w:vAlign w:val="bottom"/>
            <w:shd w:val="clear" w:color="auto" w:fill="CFF0FC"/>
          </w:tcPr>
          <w:p>
            <w:pPr>
              <w:ind w:left="140"/>
              <w:spacing w:after="0"/>
              <w:rPr>
                <w:sz w:val="20"/>
                <w:szCs w:val="20"/>
                <w:color w:val="auto"/>
              </w:rPr>
            </w:pPr>
            <w:r>
              <w:rPr>
                <w:rFonts w:ascii="Arial" w:cs="Arial" w:eastAsia="Arial" w:hAnsi="Arial"/>
                <w:sz w:val="12"/>
                <w:szCs w:val="12"/>
                <w:color w:val="auto"/>
              </w:rPr>
              <w:t>Amortization of discount on convertible preferred stock</w:t>
            </w:r>
          </w:p>
        </w:tc>
        <w:tc>
          <w:tcPr>
            <w:tcW w:w="13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5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(2,980)</w:t>
            </w:r>
          </w:p>
        </w:tc>
        <w:tc>
          <w:tcPr>
            <w:tcW w:w="72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96"/>
              </w:rPr>
              <w:t>(0.3%)</w:t>
            </w:r>
          </w:p>
        </w:tc>
        <w:tc>
          <w:tcPr>
            <w:tcW w:w="2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62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(1,985)</w:t>
            </w:r>
          </w:p>
        </w:tc>
        <w:tc>
          <w:tcPr>
            <w:tcW w:w="74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96"/>
              </w:rPr>
              <w:t>(0.3%)</w:t>
            </w: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Net (loss) attributable to common shareholders</w:t>
            </w:r>
          </w:p>
        </w:tc>
        <w:tc>
          <w:tcPr>
            <w:tcW w:w="1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440" w:type="dxa"/>
            <w:vAlign w:val="bottom"/>
            <w:gridSpan w:val="2"/>
            <w:vMerge w:val="continue"/>
          </w:tcPr>
          <w:p>
            <w:pPr>
              <w:spacing w:after="0"/>
              <w:rPr>
                <w:sz w:val="12"/>
                <w:szCs w:val="12"/>
                <w:color w:val="auto"/>
              </w:rPr>
            </w:pPr>
          </w:p>
        </w:tc>
        <w:tc>
          <w:tcPr>
            <w:tcW w:w="2740" w:type="dxa"/>
            <w:vAlign w:val="bottom"/>
            <w:gridSpan w:val="3"/>
          </w:tcPr>
          <w:p>
            <w:pPr>
              <w:jc w:val="right"/>
              <w:ind w:right="1092"/>
              <w:spacing w:after="0"/>
              <w:rPr>
                <w:sz w:val="20"/>
                <w:szCs w:val="20"/>
                <w:color w:val="auto"/>
              </w:rPr>
            </w:pPr>
            <w:r>
              <w:rPr>
                <w:rFonts w:ascii="Arial" w:cs="Arial" w:eastAsia="Arial" w:hAnsi="Arial"/>
                <w:sz w:val="12"/>
                <w:szCs w:val="12"/>
                <w:color w:val="auto"/>
              </w:rPr>
              <w:t>$</w:t>
            </w:r>
          </w:p>
        </w:tc>
        <w:tc>
          <w:tcPr>
            <w:tcW w:w="540" w:type="dxa"/>
            <w:vAlign w:val="bottom"/>
            <w:gridSpan w:val="2"/>
          </w:tcPr>
          <w:p>
            <w:pPr>
              <w:jc w:val="right"/>
              <w:ind w:right="80"/>
              <w:spacing w:after="0"/>
              <w:rPr>
                <w:sz w:val="20"/>
                <w:szCs w:val="20"/>
                <w:color w:val="auto"/>
              </w:rPr>
            </w:pPr>
            <w:r>
              <w:rPr>
                <w:rFonts w:ascii="Arial" w:cs="Arial" w:eastAsia="Arial" w:hAnsi="Arial"/>
                <w:sz w:val="12"/>
                <w:szCs w:val="12"/>
                <w:color w:val="auto"/>
                <w:w w:val="98"/>
              </w:rPr>
              <w:t>(16,552)</w:t>
            </w:r>
          </w:p>
        </w:tc>
        <w:tc>
          <w:tcPr>
            <w:tcW w:w="720" w:type="dxa"/>
            <w:vAlign w:val="bottom"/>
          </w:tcPr>
          <w:p>
            <w:pPr>
              <w:jc w:val="center"/>
              <w:spacing w:after="0"/>
              <w:rPr>
                <w:sz w:val="20"/>
                <w:szCs w:val="20"/>
                <w:color w:val="auto"/>
              </w:rPr>
            </w:pPr>
            <w:r>
              <w:rPr>
                <w:rFonts w:ascii="Arial" w:cs="Arial" w:eastAsia="Arial" w:hAnsi="Arial"/>
                <w:sz w:val="12"/>
                <w:szCs w:val="12"/>
                <w:color w:val="auto"/>
                <w:w w:val="96"/>
              </w:rPr>
              <w:t>(1.8%)</w:t>
            </w:r>
          </w:p>
        </w:tc>
        <w:tc>
          <w:tcPr>
            <w:tcW w:w="5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20" w:type="dxa"/>
            <w:vAlign w:val="bottom"/>
            <w:gridSpan w:val="2"/>
          </w:tcPr>
          <w:p>
            <w:pPr>
              <w:jc w:val="right"/>
              <w:ind w:right="60"/>
              <w:spacing w:after="0"/>
              <w:rPr>
                <w:sz w:val="20"/>
                <w:szCs w:val="20"/>
                <w:color w:val="auto"/>
              </w:rPr>
            </w:pPr>
            <w:r>
              <w:rPr>
                <w:rFonts w:ascii="Arial" w:cs="Arial" w:eastAsia="Arial" w:hAnsi="Arial"/>
                <w:sz w:val="12"/>
                <w:szCs w:val="12"/>
                <w:color w:val="auto"/>
              </w:rPr>
              <w:t>(5,497)</w:t>
            </w:r>
          </w:p>
        </w:tc>
        <w:tc>
          <w:tcPr>
            <w:tcW w:w="740" w:type="dxa"/>
            <w:vAlign w:val="bottom"/>
          </w:tcPr>
          <w:p>
            <w:pPr>
              <w:jc w:val="center"/>
              <w:spacing w:after="0"/>
              <w:rPr>
                <w:sz w:val="20"/>
                <w:szCs w:val="20"/>
                <w:color w:val="auto"/>
              </w:rPr>
            </w:pPr>
            <w:r>
              <w:rPr>
                <w:rFonts w:ascii="Arial" w:cs="Arial" w:eastAsia="Arial" w:hAnsi="Arial"/>
                <w:sz w:val="12"/>
                <w:szCs w:val="12"/>
                <w:color w:val="auto"/>
                <w:w w:val="96"/>
              </w:rPr>
              <w:t>(0.7%)</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30</w:t>
            </w:r>
          </w:p>
        </w:tc>
        <w:tc>
          <w:tcPr>
            <w:tcW w:w="180" w:type="dxa"/>
            <w:vAlign w:val="bottom"/>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4420" w:type="dxa"/>
            <w:vAlign w:val="bottom"/>
            <w:tcBorders>
              <w:bottom w:val="single" w:sz="8" w:color="9A9A9A"/>
            </w:tcBorders>
          </w:tcPr>
          <w:p>
            <w:pPr>
              <w:spacing w:after="0"/>
              <w:rPr>
                <w:sz w:val="6"/>
                <w:szCs w:val="6"/>
                <w:color w:val="auto"/>
              </w:rPr>
            </w:pPr>
          </w:p>
        </w:tc>
        <w:tc>
          <w:tcPr>
            <w:tcW w:w="136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1200" w:type="dxa"/>
            <w:vAlign w:val="bottom"/>
            <w:tcBorders>
              <w:bottom w:val="single" w:sz="8" w:color="9A9A9A"/>
            </w:tcBorders>
          </w:tcPr>
          <w:p>
            <w:pPr>
              <w:spacing w:after="0"/>
              <w:rPr>
                <w:sz w:val="6"/>
                <w:szCs w:val="6"/>
                <w:color w:val="auto"/>
              </w:rPr>
            </w:pPr>
          </w:p>
        </w:tc>
        <w:tc>
          <w:tcPr>
            <w:tcW w:w="42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72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15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74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7280275</wp:posOffset>
            </wp:positionH>
            <wp:positionV relativeFrom="paragraph">
              <wp:posOffset>-23495</wp:posOffset>
            </wp:positionV>
            <wp:extent cx="31115" cy="368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0"/>
          </w:cols>
          <w:pgMar w:left="220" w:top="131" w:right="179" w:bottom="1440" w:gutter="0" w:footer="0" w:header="0"/>
        </w:sectPr>
      </w:pPr>
    </w:p>
    <w:bookmarkStart w:id="30" w:name="page31"/>
    <w:bookmarkEnd w:id="30"/>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4"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sets forth, for the years ended December 31, 2017 and 2016, revenues and Adjusted EBITDA of our reportable segments: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960" w:type="dxa"/>
            <w:vAlign w:val="bottom"/>
            <w:tcBorders>
              <w:bottom w:val="single" w:sz="8" w:color="auto"/>
            </w:tcBorders>
            <w:gridSpan w:val="4"/>
          </w:tcPr>
          <w:p>
            <w:pPr>
              <w:jc w:val="right"/>
              <w:ind w:right="602"/>
              <w:spacing w:after="0"/>
              <w:rPr>
                <w:sz w:val="20"/>
                <w:szCs w:val="20"/>
                <w:color w:val="auto"/>
              </w:rPr>
            </w:pPr>
            <w:r>
              <w:rPr>
                <w:rFonts w:ascii="Arial" w:cs="Arial" w:eastAsia="Arial" w:hAnsi="Arial"/>
                <w:sz w:val="10"/>
                <w:szCs w:val="10"/>
                <w:b w:val="1"/>
                <w:bCs w:val="1"/>
                <w:color w:val="auto"/>
                <w:w w:val="86"/>
              </w:rPr>
              <w:t>Year Ended December 31, 2017</w:t>
            </w:r>
          </w:p>
        </w:tc>
        <w:tc>
          <w:tcPr>
            <w:tcW w:w="2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410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8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880" w:type="dxa"/>
            <w:vAlign w:val="bottom"/>
          </w:tcPr>
          <w:p>
            <w:pPr>
              <w:jc w:val="center"/>
              <w:ind w:right="22"/>
              <w:spacing w:after="0" w:line="83" w:lineRule="exact"/>
              <w:rPr>
                <w:sz w:val="20"/>
                <w:szCs w:val="20"/>
                <w:color w:val="auto"/>
              </w:rPr>
            </w:pPr>
            <w:r>
              <w:rPr>
                <w:rFonts w:ascii="Arial" w:cs="Arial" w:eastAsia="Arial" w:hAnsi="Arial"/>
                <w:sz w:val="8"/>
                <w:szCs w:val="8"/>
                <w:b w:val="1"/>
                <w:bCs w:val="1"/>
                <w:color w:val="auto"/>
              </w:rPr>
              <w:t>Total of Reportable</w:t>
            </w: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4100" w:type="dxa"/>
            <w:vAlign w:val="bottom"/>
            <w:tcBorders>
              <w:bottom w:val="single" w:sz="8" w:color="auto"/>
            </w:tcBorders>
          </w:tcPr>
          <w:p>
            <w:pPr>
              <w:spacing w:after="0" w:line="114" w:lineRule="exact"/>
              <w:rPr>
                <w:sz w:val="20"/>
                <w:szCs w:val="20"/>
                <w:color w:val="auto"/>
              </w:rPr>
            </w:pPr>
            <w:r>
              <w:rPr>
                <w:rFonts w:ascii="Arial" w:cs="Arial" w:eastAsia="Arial" w:hAnsi="Arial"/>
                <w:sz w:val="10"/>
                <w:szCs w:val="10"/>
                <w:color w:val="auto"/>
              </w:rPr>
              <w:t>(Thousands)</w:t>
            </w:r>
          </w:p>
        </w:tc>
        <w:tc>
          <w:tcPr>
            <w:tcW w:w="40" w:type="dxa"/>
            <w:vAlign w:val="bottom"/>
            <w:tcBorders>
              <w:bottom w:val="single" w:sz="8" w:color="CFF0FC"/>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jc w:val="right"/>
              <w:ind w:right="262"/>
              <w:spacing w:after="0" w:line="114" w:lineRule="exact"/>
              <w:rPr>
                <w:sz w:val="20"/>
                <w:szCs w:val="20"/>
                <w:color w:val="auto"/>
              </w:rPr>
            </w:pPr>
            <w:r>
              <w:rPr>
                <w:rFonts w:ascii="Arial" w:cs="Arial" w:eastAsia="Arial" w:hAnsi="Arial"/>
                <w:sz w:val="10"/>
                <w:szCs w:val="10"/>
                <w:b w:val="1"/>
                <w:bCs w:val="1"/>
                <w:color w:val="auto"/>
                <w:w w:val="95"/>
              </w:rPr>
              <w:t>Leasing</w:t>
            </w:r>
          </w:p>
        </w:tc>
        <w:tc>
          <w:tcPr>
            <w:tcW w:w="260" w:type="dxa"/>
            <w:vAlign w:val="bottom"/>
            <w:tcBorders>
              <w:bottom w:val="single" w:sz="8" w:color="CFF0FC"/>
            </w:tcBorders>
            <w:gridSpan w:val="2"/>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jc w:val="right"/>
              <w:ind w:right="142"/>
              <w:spacing w:after="0" w:line="114" w:lineRule="exact"/>
              <w:rPr>
                <w:sz w:val="20"/>
                <w:szCs w:val="20"/>
                <w:color w:val="auto"/>
              </w:rPr>
            </w:pPr>
            <w:r>
              <w:rPr>
                <w:rFonts w:ascii="Arial" w:cs="Arial" w:eastAsia="Arial" w:hAnsi="Arial"/>
                <w:sz w:val="10"/>
                <w:szCs w:val="10"/>
                <w:b w:val="1"/>
                <w:bCs w:val="1"/>
                <w:color w:val="auto"/>
                <w:w w:val="88"/>
              </w:rPr>
              <w:t>Fiber Infrastructure</w:t>
            </w:r>
          </w:p>
        </w:tc>
        <w:tc>
          <w:tcPr>
            <w:tcW w:w="260" w:type="dxa"/>
            <w:vAlign w:val="bottom"/>
            <w:tcBorders>
              <w:bottom w:val="single" w:sz="8" w:color="CFF0FC"/>
            </w:tcBorders>
            <w:gridSpan w:val="2"/>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jc w:val="right"/>
              <w:ind w:right="284"/>
              <w:spacing w:after="0" w:line="114" w:lineRule="exact"/>
              <w:rPr>
                <w:sz w:val="20"/>
                <w:szCs w:val="20"/>
                <w:color w:val="auto"/>
              </w:rPr>
            </w:pPr>
            <w:r>
              <w:rPr>
                <w:rFonts w:ascii="Arial" w:cs="Arial" w:eastAsia="Arial" w:hAnsi="Arial"/>
                <w:sz w:val="10"/>
                <w:szCs w:val="10"/>
                <w:b w:val="1"/>
                <w:bCs w:val="1"/>
                <w:color w:val="auto"/>
              </w:rPr>
              <w:t>Towers</w:t>
            </w:r>
          </w:p>
        </w:tc>
        <w:tc>
          <w:tcPr>
            <w:tcW w:w="340" w:type="dxa"/>
            <w:vAlign w:val="bottom"/>
            <w:tcBorders>
              <w:bottom w:val="single" w:sz="8" w:color="CFF0FC"/>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jc w:val="right"/>
              <w:ind w:right="22"/>
              <w:spacing w:after="0" w:line="114" w:lineRule="exact"/>
              <w:rPr>
                <w:sz w:val="20"/>
                <w:szCs w:val="20"/>
                <w:color w:val="auto"/>
              </w:rPr>
            </w:pPr>
            <w:r>
              <w:rPr>
                <w:rFonts w:ascii="Arial" w:cs="Arial" w:eastAsia="Arial" w:hAnsi="Arial"/>
                <w:sz w:val="10"/>
                <w:szCs w:val="10"/>
                <w:b w:val="1"/>
                <w:bCs w:val="1"/>
                <w:color w:val="auto"/>
                <w:w w:val="90"/>
              </w:rPr>
              <w:t>Consumer CLEC</w:t>
            </w:r>
          </w:p>
        </w:tc>
        <w:tc>
          <w:tcPr>
            <w:tcW w:w="260" w:type="dxa"/>
            <w:vAlign w:val="bottom"/>
            <w:tcBorders>
              <w:bottom w:val="single" w:sz="8" w:color="CFF0FC"/>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jc w:val="right"/>
              <w:ind w:right="182"/>
              <w:spacing w:after="0" w:line="114" w:lineRule="exact"/>
              <w:rPr>
                <w:sz w:val="20"/>
                <w:szCs w:val="20"/>
                <w:color w:val="auto"/>
              </w:rPr>
            </w:pPr>
            <w:r>
              <w:rPr>
                <w:rFonts w:ascii="Arial" w:cs="Arial" w:eastAsia="Arial" w:hAnsi="Arial"/>
                <w:sz w:val="10"/>
                <w:szCs w:val="10"/>
                <w:b w:val="1"/>
                <w:bCs w:val="1"/>
                <w:color w:val="auto"/>
              </w:rPr>
              <w:t>Corporate</w:t>
            </w:r>
          </w:p>
        </w:tc>
        <w:tc>
          <w:tcPr>
            <w:tcW w:w="160" w:type="dxa"/>
            <w:vAlign w:val="bottom"/>
            <w:tcBorders>
              <w:bottom w:val="single" w:sz="8" w:color="CFF0FC"/>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jc w:val="center"/>
              <w:ind w:right="22"/>
              <w:spacing w:after="0" w:line="114" w:lineRule="exact"/>
              <w:rPr>
                <w:sz w:val="20"/>
                <w:szCs w:val="20"/>
                <w:color w:val="auto"/>
              </w:rPr>
            </w:pPr>
            <w:r>
              <w:rPr>
                <w:rFonts w:ascii="Arial" w:cs="Arial" w:eastAsia="Arial" w:hAnsi="Arial"/>
                <w:sz w:val="10"/>
                <w:szCs w:val="10"/>
                <w:b w:val="1"/>
                <w:bCs w:val="1"/>
                <w:color w:val="auto"/>
                <w:w w:val="83"/>
              </w:rPr>
              <w:t>Segments</w:t>
            </w:r>
          </w:p>
        </w:tc>
        <w:tc>
          <w:tcPr>
            <w:tcW w:w="220" w:type="dxa"/>
            <w:vAlign w:val="bottom"/>
            <w:tcBorders>
              <w:bottom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4100" w:type="dxa"/>
            <w:vAlign w:val="bottom"/>
            <w:shd w:val="clear" w:color="auto" w:fill="CFF0FC"/>
          </w:tcPr>
          <w:p>
            <w:pPr>
              <w:spacing w:after="0"/>
              <w:rPr>
                <w:sz w:val="20"/>
                <w:szCs w:val="20"/>
                <w:color w:val="auto"/>
              </w:rPr>
            </w:pPr>
            <w:r>
              <w:rPr>
                <w:rFonts w:ascii="Arial" w:cs="Arial" w:eastAsia="Arial" w:hAnsi="Arial"/>
                <w:sz w:val="12"/>
                <w:szCs w:val="12"/>
                <w:color w:val="auto"/>
              </w:rPr>
              <w:t>Revenues</w:t>
            </w:r>
          </w:p>
        </w:tc>
        <w:tc>
          <w:tcPr>
            <w:tcW w:w="12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w:t>
            </w: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685,099</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jc w:val="right"/>
              <w:ind w:right="5"/>
              <w:spacing w:after="0"/>
              <w:rPr>
                <w:sz w:val="20"/>
                <w:szCs w:val="20"/>
                <w:color w:val="auto"/>
              </w:rPr>
            </w:pPr>
            <w:r>
              <w:rPr>
                <w:rFonts w:ascii="Arial" w:cs="Arial" w:eastAsia="Arial" w:hAnsi="Arial"/>
                <w:sz w:val="10"/>
                <w:szCs w:val="10"/>
                <w:color w:val="auto"/>
                <w:w w:val="71"/>
              </w:rPr>
              <w:t>$</w:t>
            </w:r>
          </w:p>
        </w:tc>
        <w:tc>
          <w:tcPr>
            <w:tcW w:w="6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202,791</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jc w:val="right"/>
              <w:ind w:right="25"/>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10,055</w:t>
            </w:r>
          </w:p>
        </w:tc>
        <w:tc>
          <w:tcPr>
            <w:tcW w:w="340" w:type="dxa"/>
            <w:vAlign w:val="bottom"/>
            <w:shd w:val="clear" w:color="auto" w:fill="CFF0FC"/>
          </w:tcPr>
          <w:p>
            <w:pPr>
              <w:spacing w:after="0"/>
              <w:rPr>
                <w:sz w:val="12"/>
                <w:szCs w:val="12"/>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18,087</w:t>
            </w: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916,032</w:t>
            </w:r>
          </w:p>
        </w:tc>
        <w:tc>
          <w:tcPr>
            <w:tcW w:w="2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100" w:type="dxa"/>
            <w:vAlign w:val="bottom"/>
            <w:shd w:val="clear" w:color="auto" w:fill="CFF0FC"/>
          </w:tcPr>
          <w:p>
            <w:pPr>
              <w:spacing w:after="0"/>
              <w:rPr>
                <w:sz w:val="20"/>
                <w:szCs w:val="20"/>
                <w:color w:val="auto"/>
              </w:rPr>
            </w:pPr>
            <w:r>
              <w:rPr>
                <w:rFonts w:ascii="Arial" w:cs="Arial" w:eastAsia="Arial" w:hAnsi="Arial"/>
                <w:sz w:val="12"/>
                <w:szCs w:val="12"/>
                <w:color w:val="auto"/>
              </w:rPr>
              <w:t>Adjusted EBITDA</w:t>
            </w:r>
          </w:p>
        </w:tc>
        <w:tc>
          <w:tcPr>
            <w:tcW w:w="12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w:t>
            </w:r>
          </w:p>
        </w:tc>
        <w:tc>
          <w:tcPr>
            <w:tcW w:w="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683,651</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jc w:val="right"/>
              <w:ind w:right="5"/>
              <w:spacing w:after="0"/>
              <w:rPr>
                <w:sz w:val="20"/>
                <w:szCs w:val="20"/>
                <w:color w:val="auto"/>
              </w:rPr>
            </w:pPr>
            <w:r>
              <w:rPr>
                <w:rFonts w:ascii="Arial" w:cs="Arial" w:eastAsia="Arial" w:hAnsi="Arial"/>
                <w:sz w:val="10"/>
                <w:szCs w:val="10"/>
                <w:color w:val="auto"/>
                <w:w w:val="71"/>
              </w:rPr>
              <w:t>$</w:t>
            </w:r>
          </w:p>
        </w:tc>
        <w:tc>
          <w:tcPr>
            <w:tcW w:w="6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83,987</w:t>
            </w: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jc w:val="right"/>
              <w:ind w:right="25"/>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300"/>
              <w:spacing w:after="0"/>
              <w:rPr>
                <w:sz w:val="20"/>
                <w:szCs w:val="20"/>
                <w:color w:val="auto"/>
              </w:rPr>
            </w:pPr>
            <w:r>
              <w:rPr>
                <w:rFonts w:ascii="Arial" w:cs="Arial" w:eastAsia="Arial" w:hAnsi="Arial"/>
                <w:sz w:val="12"/>
                <w:szCs w:val="12"/>
                <w:color w:val="auto"/>
              </w:rPr>
              <w:t>(831)</w:t>
            </w: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4,556</w:t>
            </w: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(21,839)</w:t>
            </w: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749,524</w:t>
            </w:r>
          </w:p>
        </w:tc>
        <w:tc>
          <w:tcPr>
            <w:tcW w:w="2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100" w:type="dxa"/>
            <w:vAlign w:val="bottom"/>
          </w:tcPr>
          <w:p>
            <w:pPr>
              <w:spacing w:after="0"/>
              <w:rPr>
                <w:sz w:val="20"/>
                <w:szCs w:val="20"/>
                <w:color w:val="auto"/>
              </w:rPr>
            </w:pPr>
            <w:r>
              <w:rPr>
                <w:rFonts w:ascii="Arial" w:cs="Arial" w:eastAsia="Arial" w:hAnsi="Arial"/>
                <w:sz w:val="12"/>
                <w:szCs w:val="12"/>
                <w:color w:val="auto"/>
              </w:rPr>
              <w:t>Adjusted EBITDA margin</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99.8%</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41.4%</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(8.3%)</w:t>
            </w: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25.2%</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81.8%</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100" w:type="dxa"/>
            <w:vAlign w:val="bottom"/>
            <w:shd w:val="clear" w:color="auto" w:fill="CFF0FC"/>
          </w:tcPr>
          <w:p>
            <w:pPr>
              <w:spacing w:after="0"/>
              <w:rPr>
                <w:sz w:val="20"/>
                <w:szCs w:val="20"/>
                <w:color w:val="auto"/>
              </w:rPr>
            </w:pPr>
            <w:r>
              <w:rPr>
                <w:rFonts w:ascii="Arial" w:cs="Arial" w:eastAsia="Arial" w:hAnsi="Arial"/>
                <w:sz w:val="12"/>
                <w:szCs w:val="12"/>
                <w:color w:val="auto"/>
              </w:rPr>
              <w:t>Less:</w:t>
            </w:r>
          </w:p>
        </w:tc>
        <w:tc>
          <w:tcPr>
            <w:tcW w:w="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100" w:type="dxa"/>
            <w:vAlign w:val="bottom"/>
          </w:tcPr>
          <w:p>
            <w:pPr>
              <w:ind w:left="80"/>
              <w:spacing w:after="0"/>
              <w:rPr>
                <w:sz w:val="20"/>
                <w:szCs w:val="20"/>
                <w:color w:val="auto"/>
              </w:rPr>
            </w:pPr>
            <w:r>
              <w:rPr>
                <w:rFonts w:ascii="Arial" w:cs="Arial" w:eastAsia="Arial" w:hAnsi="Arial"/>
                <w:sz w:val="12"/>
                <w:szCs w:val="12"/>
                <w:color w:val="auto"/>
              </w:rPr>
              <w:t>Interest expense</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305,994</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100" w:type="dxa"/>
            <w:vAlign w:val="bottom"/>
            <w:shd w:val="clear" w:color="auto" w:fill="CFF0FC"/>
          </w:tcPr>
          <w:p>
            <w:pPr>
              <w:ind w:left="80"/>
              <w:spacing w:after="0"/>
              <w:rPr>
                <w:sz w:val="20"/>
                <w:szCs w:val="20"/>
                <w:color w:val="auto"/>
              </w:rPr>
            </w:pPr>
            <w:r>
              <w:rPr>
                <w:rFonts w:ascii="Arial" w:cs="Arial" w:eastAsia="Arial" w:hAnsi="Arial"/>
                <w:sz w:val="12"/>
                <w:szCs w:val="12"/>
                <w:color w:val="auto"/>
              </w:rPr>
              <w:t>Depreciation and amortization</w:t>
            </w:r>
          </w:p>
        </w:tc>
        <w:tc>
          <w:tcPr>
            <w:tcW w:w="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347,999</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78,307</w:t>
            </w: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4,907</w:t>
            </w:r>
          </w:p>
        </w:tc>
        <w:tc>
          <w:tcPr>
            <w:tcW w:w="3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2,607</w:t>
            </w: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385</w:t>
            </w:r>
          </w:p>
        </w:tc>
        <w:tc>
          <w:tcPr>
            <w:tcW w:w="1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434,205</w:t>
            </w:r>
          </w:p>
        </w:tc>
        <w:tc>
          <w:tcPr>
            <w:tcW w:w="2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100" w:type="dxa"/>
            <w:vAlign w:val="bottom"/>
          </w:tcPr>
          <w:p>
            <w:pPr>
              <w:ind w:left="80"/>
              <w:spacing w:after="0"/>
              <w:rPr>
                <w:sz w:val="20"/>
                <w:szCs w:val="20"/>
                <w:color w:val="auto"/>
              </w:rPr>
            </w:pPr>
            <w:r>
              <w:rPr>
                <w:rFonts w:ascii="Arial" w:cs="Arial" w:eastAsia="Arial" w:hAnsi="Arial"/>
                <w:sz w:val="12"/>
                <w:szCs w:val="12"/>
                <w:color w:val="auto"/>
              </w:rPr>
              <w:t>Other expense</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11,284</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100" w:type="dxa"/>
            <w:vAlign w:val="bottom"/>
            <w:shd w:val="clear" w:color="auto" w:fill="CFF0FC"/>
          </w:tcPr>
          <w:p>
            <w:pPr>
              <w:ind w:left="80"/>
              <w:spacing w:after="0"/>
              <w:rPr>
                <w:sz w:val="20"/>
                <w:szCs w:val="20"/>
                <w:color w:val="auto"/>
              </w:rPr>
            </w:pPr>
            <w:r>
              <w:rPr>
                <w:rFonts w:ascii="Arial" w:cs="Arial" w:eastAsia="Arial" w:hAnsi="Arial"/>
                <w:sz w:val="12"/>
                <w:szCs w:val="12"/>
                <w:color w:val="auto"/>
              </w:rPr>
              <w:t>Transaction related costs</w:t>
            </w:r>
          </w:p>
        </w:tc>
        <w:tc>
          <w:tcPr>
            <w:tcW w:w="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38,005</w:t>
            </w:r>
          </w:p>
        </w:tc>
        <w:tc>
          <w:tcPr>
            <w:tcW w:w="2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100" w:type="dxa"/>
            <w:vAlign w:val="bottom"/>
          </w:tcPr>
          <w:p>
            <w:pPr>
              <w:ind w:left="80"/>
              <w:spacing w:after="0"/>
              <w:rPr>
                <w:sz w:val="20"/>
                <w:szCs w:val="20"/>
                <w:color w:val="auto"/>
              </w:rPr>
            </w:pPr>
            <w:r>
              <w:rPr>
                <w:rFonts w:ascii="Arial" w:cs="Arial" w:eastAsia="Arial" w:hAnsi="Arial"/>
                <w:sz w:val="12"/>
                <w:szCs w:val="12"/>
                <w:color w:val="auto"/>
              </w:rPr>
              <w:t>Stock-based compensation</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7,713</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100" w:type="dxa"/>
            <w:vAlign w:val="bottom"/>
            <w:shd w:val="clear" w:color="auto" w:fill="CFF0FC"/>
          </w:tcPr>
          <w:p>
            <w:pPr>
              <w:ind w:left="80"/>
              <w:spacing w:after="0"/>
              <w:rPr>
                <w:sz w:val="20"/>
                <w:szCs w:val="20"/>
                <w:color w:val="auto"/>
              </w:rPr>
            </w:pPr>
            <w:r>
              <w:rPr>
                <w:rFonts w:ascii="Arial" w:cs="Arial" w:eastAsia="Arial" w:hAnsi="Arial"/>
                <w:sz w:val="12"/>
                <w:szCs w:val="12"/>
                <w:color w:val="auto"/>
              </w:rPr>
              <w:t>Income tax benefit</w:t>
            </w:r>
          </w:p>
        </w:tc>
        <w:tc>
          <w:tcPr>
            <w:tcW w:w="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(38,849)</w:t>
            </w:r>
          </w:p>
        </w:tc>
        <w:tc>
          <w:tcPr>
            <w:tcW w:w="0" w:type="dxa"/>
            <w:vAlign w:val="bottom"/>
          </w:tcPr>
          <w:p>
            <w:pPr>
              <w:spacing w:after="0"/>
              <w:rPr>
                <w:sz w:val="1"/>
                <w:szCs w:val="1"/>
                <w:color w:val="auto"/>
              </w:rPr>
            </w:pPr>
          </w:p>
        </w:tc>
      </w:tr>
      <w:tr>
        <w:trPr>
          <w:trHeight w:val="20"/>
        </w:trPr>
        <w:tc>
          <w:tcPr>
            <w:tcW w:w="4100" w:type="dxa"/>
            <w:vAlign w:val="bottom"/>
            <w:vMerge w:val="restart"/>
          </w:tcPr>
          <w:p>
            <w:pPr>
              <w:spacing w:after="0"/>
              <w:rPr>
                <w:sz w:val="20"/>
                <w:szCs w:val="20"/>
                <w:color w:val="auto"/>
              </w:rPr>
            </w:pPr>
            <w:r>
              <w:rPr>
                <w:rFonts w:ascii="Arial" w:cs="Arial" w:eastAsia="Arial" w:hAnsi="Arial"/>
                <w:sz w:val="12"/>
                <w:szCs w:val="12"/>
                <w:color w:val="auto"/>
              </w:rPr>
              <w:t>Net loss</w:t>
            </w: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1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180"/>
              <w:spacing w:after="0"/>
              <w:rPr>
                <w:sz w:val="20"/>
                <w:szCs w:val="20"/>
                <w:color w:val="auto"/>
              </w:rPr>
            </w:pPr>
            <w:r>
              <w:rPr>
                <w:rFonts w:ascii="Arial" w:cs="Arial" w:eastAsia="Arial" w:hAnsi="Arial"/>
                <w:sz w:val="12"/>
                <w:szCs w:val="12"/>
                <w:color w:val="auto"/>
              </w:rPr>
              <w:t>(8,828)</w:t>
            </w:r>
          </w:p>
        </w:tc>
        <w:tc>
          <w:tcPr>
            <w:tcW w:w="0" w:type="dxa"/>
            <w:vAlign w:val="bottom"/>
          </w:tcPr>
          <w:p>
            <w:pPr>
              <w:spacing w:after="0"/>
              <w:rPr>
                <w:sz w:val="1"/>
                <w:szCs w:val="1"/>
                <w:color w:val="auto"/>
              </w:rPr>
            </w:pPr>
          </w:p>
        </w:tc>
      </w:tr>
      <w:tr>
        <w:trPr>
          <w:trHeight w:val="378"/>
        </w:trPr>
        <w:tc>
          <w:tcPr>
            <w:tcW w:w="4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4"/>
          </w:tcPr>
          <w:p>
            <w:pPr>
              <w:jc w:val="right"/>
              <w:ind w:right="542"/>
              <w:spacing w:after="0"/>
              <w:rPr>
                <w:sz w:val="20"/>
                <w:szCs w:val="20"/>
                <w:color w:val="auto"/>
              </w:rPr>
            </w:pPr>
            <w:r>
              <w:rPr>
                <w:rFonts w:ascii="Arial" w:cs="Arial" w:eastAsia="Arial" w:hAnsi="Arial"/>
                <w:sz w:val="10"/>
                <w:szCs w:val="10"/>
                <w:b w:val="1"/>
                <w:bCs w:val="1"/>
                <w:color w:val="auto"/>
                <w:w w:val="90"/>
              </w:rPr>
              <w:t>Year Ended December 31, 2016</w:t>
            </w: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410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8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880" w:type="dxa"/>
            <w:vAlign w:val="bottom"/>
          </w:tcPr>
          <w:p>
            <w:pPr>
              <w:jc w:val="center"/>
              <w:ind w:right="22"/>
              <w:spacing w:after="0" w:line="83" w:lineRule="exact"/>
              <w:rPr>
                <w:sz w:val="20"/>
                <w:szCs w:val="20"/>
                <w:color w:val="auto"/>
              </w:rPr>
            </w:pPr>
            <w:r>
              <w:rPr>
                <w:rFonts w:ascii="Arial" w:cs="Arial" w:eastAsia="Arial" w:hAnsi="Arial"/>
                <w:sz w:val="8"/>
                <w:szCs w:val="8"/>
                <w:b w:val="1"/>
                <w:bCs w:val="1"/>
                <w:color w:val="auto"/>
              </w:rPr>
              <w:t>Total of Reportable</w:t>
            </w: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4100" w:type="dxa"/>
            <w:vAlign w:val="bottom"/>
            <w:tcBorders>
              <w:bottom w:val="single" w:sz="8" w:color="auto"/>
            </w:tcBorders>
          </w:tcPr>
          <w:p>
            <w:pPr>
              <w:spacing w:after="0" w:line="114" w:lineRule="exact"/>
              <w:rPr>
                <w:sz w:val="20"/>
                <w:szCs w:val="20"/>
                <w:color w:val="auto"/>
              </w:rPr>
            </w:pPr>
            <w:r>
              <w:rPr>
                <w:rFonts w:ascii="Arial" w:cs="Arial" w:eastAsia="Arial" w:hAnsi="Arial"/>
                <w:sz w:val="10"/>
                <w:szCs w:val="10"/>
                <w:color w:val="auto"/>
              </w:rPr>
              <w:t>(Thousands)</w:t>
            </w:r>
          </w:p>
        </w:tc>
        <w:tc>
          <w:tcPr>
            <w:tcW w:w="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CFF0FC"/>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gridSpan w:val="2"/>
          </w:tcPr>
          <w:p>
            <w:pPr>
              <w:jc w:val="right"/>
              <w:ind w:right="320"/>
              <w:spacing w:after="0" w:line="114" w:lineRule="exact"/>
              <w:rPr>
                <w:sz w:val="20"/>
                <w:szCs w:val="20"/>
                <w:color w:val="auto"/>
              </w:rPr>
            </w:pPr>
            <w:r>
              <w:rPr>
                <w:rFonts w:ascii="Arial" w:cs="Arial" w:eastAsia="Arial" w:hAnsi="Arial"/>
                <w:sz w:val="10"/>
                <w:szCs w:val="10"/>
                <w:b w:val="1"/>
                <w:bCs w:val="1"/>
                <w:color w:val="auto"/>
              </w:rPr>
              <w:t>Leasing</w:t>
            </w:r>
          </w:p>
        </w:tc>
        <w:tc>
          <w:tcPr>
            <w:tcW w:w="140" w:type="dxa"/>
            <w:vAlign w:val="bottom"/>
            <w:tcBorders>
              <w:bottom w:val="single" w:sz="8" w:color="CFF0FC"/>
            </w:tcBorders>
          </w:tcPr>
          <w:p>
            <w:pPr>
              <w:spacing w:after="0"/>
              <w:rPr>
                <w:sz w:val="9"/>
                <w:szCs w:val="9"/>
                <w:color w:val="auto"/>
              </w:rPr>
            </w:pPr>
          </w:p>
        </w:tc>
        <w:tc>
          <w:tcPr>
            <w:tcW w:w="120" w:type="dxa"/>
            <w:vAlign w:val="bottom"/>
            <w:tcBorders>
              <w:bottom w:val="single" w:sz="8" w:color="CFF0FC"/>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gridSpan w:val="2"/>
          </w:tcPr>
          <w:p>
            <w:pPr>
              <w:jc w:val="right"/>
              <w:ind w:right="200"/>
              <w:spacing w:after="0" w:line="114" w:lineRule="exact"/>
              <w:rPr>
                <w:sz w:val="20"/>
                <w:szCs w:val="20"/>
                <w:color w:val="auto"/>
              </w:rPr>
            </w:pPr>
            <w:r>
              <w:rPr>
                <w:rFonts w:ascii="Arial" w:cs="Arial" w:eastAsia="Arial" w:hAnsi="Arial"/>
                <w:sz w:val="10"/>
                <w:szCs w:val="10"/>
                <w:b w:val="1"/>
                <w:bCs w:val="1"/>
                <w:color w:val="auto"/>
              </w:rPr>
              <w:t>Fiber Infrastructure</w:t>
            </w:r>
          </w:p>
        </w:tc>
        <w:tc>
          <w:tcPr>
            <w:tcW w:w="120" w:type="dxa"/>
            <w:vAlign w:val="bottom"/>
            <w:tcBorders>
              <w:bottom w:val="single" w:sz="8" w:color="CFF0FC"/>
            </w:tcBorders>
          </w:tcPr>
          <w:p>
            <w:pPr>
              <w:spacing w:after="0"/>
              <w:rPr>
                <w:sz w:val="9"/>
                <w:szCs w:val="9"/>
                <w:color w:val="auto"/>
              </w:rPr>
            </w:pPr>
          </w:p>
        </w:tc>
        <w:tc>
          <w:tcPr>
            <w:tcW w:w="140" w:type="dxa"/>
            <w:vAlign w:val="bottom"/>
            <w:tcBorders>
              <w:bottom w:val="single" w:sz="8" w:color="CFF0FC"/>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jc w:val="right"/>
              <w:ind w:right="224"/>
              <w:spacing w:after="0" w:line="114" w:lineRule="exact"/>
              <w:rPr>
                <w:sz w:val="20"/>
                <w:szCs w:val="20"/>
                <w:color w:val="auto"/>
              </w:rPr>
            </w:pPr>
            <w:r>
              <w:rPr>
                <w:rFonts w:ascii="Arial" w:cs="Arial" w:eastAsia="Arial" w:hAnsi="Arial"/>
                <w:sz w:val="10"/>
                <w:szCs w:val="10"/>
                <w:b w:val="1"/>
                <w:bCs w:val="1"/>
                <w:color w:val="auto"/>
              </w:rPr>
              <w:t>Towers</w:t>
            </w:r>
          </w:p>
        </w:tc>
        <w:tc>
          <w:tcPr>
            <w:tcW w:w="340" w:type="dxa"/>
            <w:vAlign w:val="bottom"/>
            <w:tcBorders>
              <w:bottom w:val="single" w:sz="8" w:color="CFF0FC"/>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jc w:val="right"/>
              <w:ind w:right="22"/>
              <w:spacing w:after="0" w:line="114" w:lineRule="exact"/>
              <w:rPr>
                <w:sz w:val="20"/>
                <w:szCs w:val="20"/>
                <w:color w:val="auto"/>
              </w:rPr>
            </w:pPr>
            <w:r>
              <w:rPr>
                <w:rFonts w:ascii="Arial" w:cs="Arial" w:eastAsia="Arial" w:hAnsi="Arial"/>
                <w:sz w:val="10"/>
                <w:szCs w:val="10"/>
                <w:b w:val="1"/>
                <w:bCs w:val="1"/>
                <w:color w:val="auto"/>
                <w:w w:val="90"/>
              </w:rPr>
              <w:t>Consumer CLEC</w:t>
            </w:r>
          </w:p>
        </w:tc>
        <w:tc>
          <w:tcPr>
            <w:tcW w:w="260" w:type="dxa"/>
            <w:vAlign w:val="bottom"/>
            <w:tcBorders>
              <w:bottom w:val="single" w:sz="8" w:color="CFF0FC"/>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jc w:val="right"/>
              <w:ind w:right="182"/>
              <w:spacing w:after="0" w:line="114" w:lineRule="exact"/>
              <w:rPr>
                <w:sz w:val="20"/>
                <w:szCs w:val="20"/>
                <w:color w:val="auto"/>
              </w:rPr>
            </w:pPr>
            <w:r>
              <w:rPr>
                <w:rFonts w:ascii="Arial" w:cs="Arial" w:eastAsia="Arial" w:hAnsi="Arial"/>
                <w:sz w:val="10"/>
                <w:szCs w:val="10"/>
                <w:b w:val="1"/>
                <w:bCs w:val="1"/>
                <w:color w:val="auto"/>
              </w:rPr>
              <w:t>Corporate</w:t>
            </w:r>
          </w:p>
        </w:tc>
        <w:tc>
          <w:tcPr>
            <w:tcW w:w="160" w:type="dxa"/>
            <w:vAlign w:val="bottom"/>
            <w:tcBorders>
              <w:bottom w:val="single" w:sz="8" w:color="CFF0FC"/>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jc w:val="center"/>
              <w:ind w:right="22"/>
              <w:spacing w:after="0" w:line="114" w:lineRule="exact"/>
              <w:rPr>
                <w:sz w:val="20"/>
                <w:szCs w:val="20"/>
                <w:color w:val="auto"/>
              </w:rPr>
            </w:pPr>
            <w:r>
              <w:rPr>
                <w:rFonts w:ascii="Arial" w:cs="Arial" w:eastAsia="Arial" w:hAnsi="Arial"/>
                <w:sz w:val="10"/>
                <w:szCs w:val="10"/>
                <w:b w:val="1"/>
                <w:bCs w:val="1"/>
                <w:color w:val="auto"/>
                <w:w w:val="83"/>
              </w:rPr>
              <w:t>Segments</w:t>
            </w:r>
          </w:p>
        </w:tc>
        <w:tc>
          <w:tcPr>
            <w:tcW w:w="220" w:type="dxa"/>
            <w:vAlign w:val="bottom"/>
            <w:tcBorders>
              <w:bottom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4100" w:type="dxa"/>
            <w:vAlign w:val="bottom"/>
            <w:shd w:val="clear" w:color="auto" w:fill="CFF0FC"/>
          </w:tcPr>
          <w:p>
            <w:pPr>
              <w:spacing w:after="0"/>
              <w:rPr>
                <w:sz w:val="20"/>
                <w:szCs w:val="20"/>
                <w:color w:val="auto"/>
              </w:rPr>
            </w:pPr>
            <w:r>
              <w:rPr>
                <w:rFonts w:ascii="Arial" w:cs="Arial" w:eastAsia="Arial" w:hAnsi="Arial"/>
                <w:sz w:val="12"/>
                <w:szCs w:val="12"/>
                <w:color w:val="auto"/>
              </w:rPr>
              <w:t>Revenues</w:t>
            </w:r>
          </w:p>
        </w:tc>
        <w:tc>
          <w:tcPr>
            <w:tcW w:w="280" w:type="dxa"/>
            <w:vAlign w:val="bottom"/>
            <w:gridSpan w:val="4"/>
            <w:shd w:val="clear" w:color="auto" w:fill="CFF0FC"/>
          </w:tcPr>
          <w:p>
            <w:pPr>
              <w:jc w:val="right"/>
              <w:ind w:right="6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676,868</w:t>
            </w:r>
          </w:p>
        </w:tc>
        <w:tc>
          <w:tcPr>
            <w:tcW w:w="140" w:type="dxa"/>
            <w:vAlign w:val="bottom"/>
            <w:shd w:val="clear" w:color="auto" w:fill="CFF0FC"/>
          </w:tcPr>
          <w:p>
            <w:pPr>
              <w:spacing w:after="0"/>
              <w:rPr>
                <w:sz w:val="12"/>
                <w:szCs w:val="12"/>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70,568</w:t>
            </w:r>
          </w:p>
        </w:tc>
        <w:tc>
          <w:tcPr>
            <w:tcW w:w="120" w:type="dxa"/>
            <w:vAlign w:val="bottom"/>
            <w:shd w:val="clear" w:color="auto" w:fill="CFF0FC"/>
          </w:tcPr>
          <w:p>
            <w:pPr>
              <w:spacing w:after="0"/>
              <w:rPr>
                <w:sz w:val="12"/>
                <w:szCs w:val="12"/>
                <w:color w:val="auto"/>
              </w:rPr>
            </w:pP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500</w:t>
            </w:r>
          </w:p>
        </w:tc>
        <w:tc>
          <w:tcPr>
            <w:tcW w:w="340" w:type="dxa"/>
            <w:vAlign w:val="bottom"/>
            <w:shd w:val="clear" w:color="auto" w:fill="CFF0FC"/>
          </w:tcPr>
          <w:p>
            <w:pPr>
              <w:spacing w:after="0"/>
              <w:rPr>
                <w:sz w:val="12"/>
                <w:szCs w:val="12"/>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22,472</w:t>
            </w: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770,408</w:t>
            </w:r>
          </w:p>
        </w:tc>
        <w:tc>
          <w:tcPr>
            <w:tcW w:w="2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10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8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20" w:type="dxa"/>
            <w:vAlign w:val="bottom"/>
            <w:gridSpan w:val="2"/>
          </w:tcPr>
          <w:p>
            <w:pPr>
              <w:spacing w:after="0"/>
              <w:rPr>
                <w:sz w:val="13"/>
                <w:szCs w:val="13"/>
                <w:color w:val="auto"/>
              </w:rPr>
            </w:pPr>
          </w:p>
        </w:tc>
        <w:tc>
          <w:tcPr>
            <w:tcW w:w="90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100" w:type="dxa"/>
            <w:vAlign w:val="bottom"/>
            <w:shd w:val="clear" w:color="auto" w:fill="CFF0FC"/>
          </w:tcPr>
          <w:p>
            <w:pPr>
              <w:spacing w:after="0"/>
              <w:rPr>
                <w:sz w:val="20"/>
                <w:szCs w:val="20"/>
                <w:color w:val="auto"/>
              </w:rPr>
            </w:pPr>
            <w:r>
              <w:rPr>
                <w:rFonts w:ascii="Arial" w:cs="Arial" w:eastAsia="Arial" w:hAnsi="Arial"/>
                <w:sz w:val="12"/>
                <w:szCs w:val="12"/>
                <w:color w:val="auto"/>
              </w:rPr>
              <w:t>Adjusted EBITDA</w:t>
            </w:r>
          </w:p>
        </w:tc>
        <w:tc>
          <w:tcPr>
            <w:tcW w:w="280" w:type="dxa"/>
            <w:vAlign w:val="bottom"/>
            <w:gridSpan w:val="4"/>
            <w:shd w:val="clear" w:color="auto" w:fill="CFF0FC"/>
          </w:tcPr>
          <w:p>
            <w:pPr>
              <w:jc w:val="right"/>
              <w:ind w:right="6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675,114</w:t>
            </w:r>
          </w:p>
        </w:tc>
        <w:tc>
          <w:tcPr>
            <w:tcW w:w="140" w:type="dxa"/>
            <w:vAlign w:val="bottom"/>
            <w:shd w:val="clear" w:color="auto" w:fill="CFF0FC"/>
          </w:tcPr>
          <w:p>
            <w:pPr>
              <w:spacing w:after="0"/>
              <w:rPr>
                <w:sz w:val="13"/>
                <w:szCs w:val="13"/>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25,912</w:t>
            </w:r>
          </w:p>
        </w:tc>
        <w:tc>
          <w:tcPr>
            <w:tcW w:w="120" w:type="dxa"/>
            <w:vAlign w:val="bottom"/>
            <w:shd w:val="clear" w:color="auto" w:fill="CFF0FC"/>
          </w:tcPr>
          <w:p>
            <w:pPr>
              <w:spacing w:after="0"/>
              <w:rPr>
                <w:sz w:val="13"/>
                <w:szCs w:val="13"/>
                <w:color w:val="auto"/>
              </w:rPr>
            </w:pP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w:t>
            </w:r>
          </w:p>
        </w:tc>
        <w:tc>
          <w:tcPr>
            <w:tcW w:w="1080" w:type="dxa"/>
            <w:vAlign w:val="bottom"/>
            <w:gridSpan w:val="2"/>
            <w:shd w:val="clear" w:color="auto" w:fill="CFF0FC"/>
          </w:tcPr>
          <w:p>
            <w:pPr>
              <w:jc w:val="right"/>
              <w:ind w:right="300"/>
              <w:spacing w:after="0"/>
              <w:rPr>
                <w:sz w:val="20"/>
                <w:szCs w:val="20"/>
                <w:color w:val="auto"/>
              </w:rPr>
            </w:pPr>
            <w:r>
              <w:rPr>
                <w:rFonts w:ascii="Arial" w:cs="Arial" w:eastAsia="Arial" w:hAnsi="Arial"/>
                <w:sz w:val="12"/>
                <w:szCs w:val="12"/>
                <w:color w:val="auto"/>
              </w:rPr>
              <w:t>(1,123)</w:t>
            </w: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5,074</w:t>
            </w: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(14,793)</w:t>
            </w: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690,184</w:t>
            </w:r>
          </w:p>
        </w:tc>
        <w:tc>
          <w:tcPr>
            <w:tcW w:w="2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100" w:type="dxa"/>
            <w:vAlign w:val="bottom"/>
          </w:tcPr>
          <w:p>
            <w:pPr>
              <w:spacing w:after="0"/>
              <w:rPr>
                <w:sz w:val="20"/>
                <w:szCs w:val="20"/>
                <w:color w:val="auto"/>
              </w:rPr>
            </w:pPr>
            <w:r>
              <w:rPr>
                <w:rFonts w:ascii="Arial" w:cs="Arial" w:eastAsia="Arial" w:hAnsi="Arial"/>
                <w:sz w:val="12"/>
                <w:szCs w:val="12"/>
                <w:color w:val="auto"/>
              </w:rPr>
              <w:t>Adjusted EBITDA margin</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right"/>
              <w:spacing w:after="0"/>
              <w:rPr>
                <w:sz w:val="20"/>
                <w:szCs w:val="20"/>
                <w:color w:val="auto"/>
              </w:rPr>
            </w:pPr>
            <w:r>
              <w:rPr>
                <w:rFonts w:ascii="Arial" w:cs="Arial" w:eastAsia="Arial" w:hAnsi="Arial"/>
                <w:sz w:val="12"/>
                <w:szCs w:val="12"/>
                <w:color w:val="auto"/>
              </w:rPr>
              <w:t>99.7%</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2"/>
                <w:szCs w:val="12"/>
                <w:color w:val="auto"/>
              </w:rPr>
              <w:t>36.7%</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(224.6%)</w:t>
            </w: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22.6%</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89.6%</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100" w:type="dxa"/>
            <w:vAlign w:val="bottom"/>
            <w:shd w:val="clear" w:color="auto" w:fill="CFF0FC"/>
          </w:tcPr>
          <w:p>
            <w:pPr>
              <w:spacing w:after="0"/>
              <w:rPr>
                <w:sz w:val="20"/>
                <w:szCs w:val="20"/>
                <w:color w:val="auto"/>
              </w:rPr>
            </w:pPr>
            <w:r>
              <w:rPr>
                <w:rFonts w:ascii="Arial" w:cs="Arial" w:eastAsia="Arial" w:hAnsi="Arial"/>
                <w:sz w:val="12"/>
                <w:szCs w:val="12"/>
                <w:color w:val="auto"/>
              </w:rPr>
              <w:t>Less:</w:t>
            </w:r>
          </w:p>
        </w:tc>
        <w:tc>
          <w:tcPr>
            <w:tcW w:w="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100" w:type="dxa"/>
            <w:vAlign w:val="bottom"/>
          </w:tcPr>
          <w:p>
            <w:pPr>
              <w:ind w:left="80"/>
              <w:spacing w:after="0"/>
              <w:rPr>
                <w:sz w:val="20"/>
                <w:szCs w:val="20"/>
                <w:color w:val="auto"/>
              </w:rPr>
            </w:pPr>
            <w:r>
              <w:rPr>
                <w:rFonts w:ascii="Arial" w:cs="Arial" w:eastAsia="Arial" w:hAnsi="Arial"/>
                <w:sz w:val="12"/>
                <w:szCs w:val="12"/>
                <w:color w:val="auto"/>
              </w:rPr>
              <w:t>Interest expense</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275,394</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100" w:type="dxa"/>
            <w:vAlign w:val="bottom"/>
            <w:shd w:val="clear" w:color="auto" w:fill="CFF0FC"/>
          </w:tcPr>
          <w:p>
            <w:pPr>
              <w:ind w:left="80"/>
              <w:spacing w:after="0"/>
              <w:rPr>
                <w:sz w:val="20"/>
                <w:szCs w:val="20"/>
                <w:color w:val="auto"/>
              </w:rPr>
            </w:pPr>
            <w:r>
              <w:rPr>
                <w:rFonts w:ascii="Arial" w:cs="Arial" w:eastAsia="Arial" w:hAnsi="Arial"/>
                <w:sz w:val="12"/>
                <w:szCs w:val="12"/>
                <w:color w:val="auto"/>
              </w:rPr>
              <w:t>Depreciation and amortization</w:t>
            </w:r>
          </w:p>
        </w:tc>
        <w:tc>
          <w:tcPr>
            <w:tcW w:w="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343,368</w:t>
            </w: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28,629</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337</w:t>
            </w:r>
          </w:p>
        </w:tc>
        <w:tc>
          <w:tcPr>
            <w:tcW w:w="3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3,258</w:t>
            </w: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378</w:t>
            </w:r>
          </w:p>
        </w:tc>
        <w:tc>
          <w:tcPr>
            <w:tcW w:w="1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375,970</w:t>
            </w:r>
          </w:p>
        </w:tc>
        <w:tc>
          <w:tcPr>
            <w:tcW w:w="2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100" w:type="dxa"/>
            <w:vAlign w:val="bottom"/>
          </w:tcPr>
          <w:p>
            <w:pPr>
              <w:ind w:left="80"/>
              <w:spacing w:after="0"/>
              <w:rPr>
                <w:sz w:val="20"/>
                <w:szCs w:val="20"/>
                <w:color w:val="auto"/>
              </w:rPr>
            </w:pPr>
            <w:r>
              <w:rPr>
                <w:rFonts w:ascii="Arial" w:cs="Arial" w:eastAsia="Arial" w:hAnsi="Arial"/>
                <w:sz w:val="12"/>
                <w:szCs w:val="12"/>
                <w:color w:val="auto"/>
              </w:rPr>
              <w:t>Other expense</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100" w:type="dxa"/>
            <w:vAlign w:val="bottom"/>
            <w:shd w:val="clear" w:color="auto" w:fill="CFF0FC"/>
          </w:tcPr>
          <w:p>
            <w:pPr>
              <w:ind w:left="80"/>
              <w:spacing w:after="0"/>
              <w:rPr>
                <w:sz w:val="20"/>
                <w:szCs w:val="20"/>
                <w:color w:val="auto"/>
              </w:rPr>
            </w:pPr>
            <w:r>
              <w:rPr>
                <w:rFonts w:ascii="Arial" w:cs="Arial" w:eastAsia="Arial" w:hAnsi="Arial"/>
                <w:sz w:val="12"/>
                <w:szCs w:val="12"/>
                <w:color w:val="auto"/>
              </w:rPr>
              <w:t>Transaction related costs</w:t>
            </w:r>
          </w:p>
        </w:tc>
        <w:tc>
          <w:tcPr>
            <w:tcW w:w="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33,669</w:t>
            </w:r>
          </w:p>
        </w:tc>
        <w:tc>
          <w:tcPr>
            <w:tcW w:w="2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100" w:type="dxa"/>
            <w:vAlign w:val="bottom"/>
          </w:tcPr>
          <w:p>
            <w:pPr>
              <w:ind w:left="80"/>
              <w:spacing w:after="0"/>
              <w:rPr>
                <w:sz w:val="20"/>
                <w:szCs w:val="20"/>
                <w:color w:val="auto"/>
              </w:rPr>
            </w:pPr>
            <w:r>
              <w:rPr>
                <w:rFonts w:ascii="Arial" w:cs="Arial" w:eastAsia="Arial" w:hAnsi="Arial"/>
                <w:sz w:val="12"/>
                <w:szCs w:val="12"/>
                <w:color w:val="auto"/>
              </w:rPr>
              <w:t>Stock-based compensation</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4,846</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100" w:type="dxa"/>
            <w:vAlign w:val="bottom"/>
            <w:shd w:val="clear" w:color="auto" w:fill="CFF0FC"/>
          </w:tcPr>
          <w:p>
            <w:pPr>
              <w:ind w:left="80"/>
              <w:spacing w:after="0"/>
              <w:rPr>
                <w:sz w:val="20"/>
                <w:szCs w:val="20"/>
                <w:color w:val="auto"/>
              </w:rPr>
            </w:pPr>
            <w:r>
              <w:rPr>
                <w:rFonts w:ascii="Arial" w:cs="Arial" w:eastAsia="Arial" w:hAnsi="Arial"/>
                <w:sz w:val="12"/>
                <w:szCs w:val="12"/>
                <w:color w:val="auto"/>
              </w:rPr>
              <w:t>Income tax expense</w:t>
            </w:r>
          </w:p>
        </w:tc>
        <w:tc>
          <w:tcPr>
            <w:tcW w:w="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0" w:type="dxa"/>
            <w:vAlign w:val="bottom"/>
            <w:tcBorders>
              <w:bottom w:val="single" w:sz="8" w:color="auto"/>
            </w:tcBorders>
            <w:shd w:val="clear" w:color="auto" w:fill="CFF0FC"/>
          </w:tcPr>
          <w:p>
            <w:pPr>
              <w:spacing w:after="0"/>
              <w:rPr>
                <w:sz w:val="13"/>
                <w:szCs w:val="13"/>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517</w:t>
            </w:r>
          </w:p>
        </w:tc>
        <w:tc>
          <w:tcPr>
            <w:tcW w:w="2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100" w:type="dxa"/>
            <w:vAlign w:val="bottom"/>
          </w:tcPr>
          <w:p>
            <w:pPr>
              <w:spacing w:after="0"/>
              <w:rPr>
                <w:sz w:val="20"/>
                <w:szCs w:val="20"/>
                <w:color w:val="auto"/>
              </w:rPr>
            </w:pPr>
            <w:r>
              <w:rPr>
                <w:rFonts w:ascii="Arial" w:cs="Arial" w:eastAsia="Arial" w:hAnsi="Arial"/>
                <w:sz w:val="12"/>
                <w:szCs w:val="12"/>
                <w:color w:val="auto"/>
              </w:rPr>
              <w:t>Net loss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180"/>
              <w:spacing w:after="0"/>
              <w:rPr>
                <w:sz w:val="20"/>
                <w:szCs w:val="20"/>
                <w:color w:val="auto"/>
              </w:rPr>
            </w:pPr>
            <w:r>
              <w:rPr>
                <w:rFonts w:ascii="Arial" w:cs="Arial" w:eastAsia="Arial" w:hAnsi="Arial"/>
                <w:sz w:val="12"/>
                <w:szCs w:val="12"/>
                <w:color w:val="auto"/>
              </w:rPr>
              <w:t>(212)</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Revenues</w:t>
      </w:r>
    </w:p>
    <w:p>
      <w:pPr>
        <w:spacing w:after="0" w:line="78" w:lineRule="exact"/>
        <w:rPr>
          <w:sz w:val="20"/>
          <w:szCs w:val="20"/>
          <w:color w:val="auto"/>
        </w:rPr>
      </w:pPr>
    </w:p>
    <w:p>
      <w:pPr>
        <w:ind w:right="200"/>
        <w:spacing w:after="0" w:line="257" w:lineRule="auto"/>
        <w:rPr>
          <w:sz w:val="20"/>
          <w:szCs w:val="20"/>
          <w:color w:val="auto"/>
        </w:rPr>
      </w:pPr>
      <w:r>
        <w:rPr>
          <w:rFonts w:ascii="Arial" w:cs="Arial" w:eastAsia="Arial" w:hAnsi="Arial"/>
          <w:sz w:val="12"/>
          <w:szCs w:val="12"/>
          <w:i w:val="1"/>
          <w:iCs w:val="1"/>
          <w:u w:val="single" w:color="auto"/>
          <w:color w:val="auto"/>
        </w:rPr>
        <w:t>Leasing</w:t>
      </w:r>
      <w:r>
        <w:rPr>
          <w:rFonts w:ascii="Arial" w:cs="Arial" w:eastAsia="Arial" w:hAnsi="Arial"/>
          <w:sz w:val="12"/>
          <w:szCs w:val="12"/>
          <w:i w:val="1"/>
          <w:iCs w:val="1"/>
          <w:color w:val="auto"/>
        </w:rPr>
        <w:t xml:space="preserve"> </w:t>
      </w:r>
      <w:r>
        <w:rPr>
          <w:rFonts w:ascii="Arial" w:cs="Arial" w:eastAsia="Arial" w:hAnsi="Arial"/>
          <w:sz w:val="12"/>
          <w:szCs w:val="12"/>
          <w:color w:val="auto"/>
        </w:rPr>
        <w:t>– Leasing revenues are primarily attributable to rental revenue from leasing our Distribution Systems to Windstream Holdings pursuant to the Master Lease. Under the Master Lease, Windstream Holdings is responsible for the</w:t>
      </w:r>
      <w:r>
        <w:rPr>
          <w:rFonts w:ascii="Arial" w:cs="Arial" w:eastAsia="Arial" w:hAnsi="Arial"/>
          <w:sz w:val="12"/>
          <w:szCs w:val="12"/>
          <w:i w:val="1"/>
          <w:iCs w:val="1"/>
          <w:color w:val="auto"/>
        </w:rPr>
        <w:t xml:space="preserve"> </w:t>
      </w:r>
      <w:r>
        <w:rPr>
          <w:rFonts w:ascii="Arial" w:cs="Arial" w:eastAsia="Arial" w:hAnsi="Arial"/>
          <w:sz w:val="12"/>
          <w:szCs w:val="12"/>
          <w:color w:val="auto"/>
        </w:rPr>
        <w:t>costs related to operating the Distribution Systems, including property taxes, insurance, and maintenance and repair costs. As a result, we do not record an obligation related to the payment of property taxes, as Windstream makes direct payments to the taxing authorities. The Master Lease has an initial term of 15 years with four five-year renewal options and encompasses properties located in 29 states. Rent under the Master Lease is an annual fixed amount of approximately $654 million. Beginning May 2018 and continuing for the remainder of the initial term, rent under the Master Lease is subject to an annual escalation of 0.5%. Rental revenues over the initial term of the Master Lease are recognized in the financial statements on a straight-line basis, representing approximately $670.8 million per year.</w:t>
      </w:r>
    </w:p>
    <w:p>
      <w:pPr>
        <w:spacing w:after="0" w:line="126" w:lineRule="exact"/>
        <w:rPr>
          <w:sz w:val="20"/>
          <w:szCs w:val="20"/>
          <w:color w:val="auto"/>
        </w:rPr>
      </w:pPr>
    </w:p>
    <w:p>
      <w:pPr>
        <w:spacing w:after="0"/>
        <w:rPr>
          <w:sz w:val="20"/>
          <w:szCs w:val="20"/>
          <w:color w:val="auto"/>
        </w:rPr>
      </w:pPr>
      <w:r>
        <w:rPr>
          <w:rFonts w:ascii="Arial" w:cs="Arial" w:eastAsia="Arial" w:hAnsi="Arial"/>
          <w:sz w:val="11"/>
          <w:szCs w:val="11"/>
          <w:color w:val="auto"/>
        </w:rPr>
        <w:t>The Master Lease provides that tenant funded capital improvements (“TCIs”), defined as maintenance, repair, overbuild, upgrade or replacement to leased network, including without limitation, the replacement of copper</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31" w:name="page32"/>
    <w:bookmarkEnd w:id="31"/>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ind w:right="20"/>
        <w:spacing w:after="0" w:line="263" w:lineRule="auto"/>
        <w:rPr>
          <w:sz w:val="20"/>
          <w:szCs w:val="20"/>
          <w:color w:val="auto"/>
        </w:rPr>
      </w:pPr>
      <w:r>
        <w:rPr>
          <w:rFonts w:ascii="Arial" w:cs="Arial" w:eastAsia="Arial" w:hAnsi="Arial"/>
          <w:sz w:val="12"/>
          <w:szCs w:val="12"/>
          <w:color w:val="auto"/>
        </w:rPr>
        <w:t>distribution systems with fiber distribution systems, automatically become property of Uniti upon their construction by Windstream. We receive non-monetary consideration related to TCIs as they automatically become our property, and we recognize the cost basis of TCIs that are capital in nature as real estate investments and deferred revenue. We depreciate the real estate investments over their estimated useful lives and amortize the deferred revenue as additional leasing revenues over the same depreciable life of the TCI assets.</w:t>
      </w:r>
    </w:p>
    <w:p>
      <w:pPr>
        <w:spacing w:after="0" w:line="123" w:lineRule="exact"/>
        <w:rPr>
          <w:sz w:val="20"/>
          <w:szCs w:val="20"/>
          <w:color w:val="auto"/>
        </w:rPr>
      </w:pPr>
    </w:p>
    <w:p>
      <w:pPr>
        <w:ind w:right="40"/>
        <w:spacing w:after="0" w:line="298" w:lineRule="auto"/>
        <w:rPr>
          <w:sz w:val="20"/>
          <w:szCs w:val="20"/>
          <w:color w:val="auto"/>
        </w:rPr>
      </w:pPr>
      <w:r>
        <w:rPr>
          <w:rFonts w:ascii="Arial" w:cs="Arial" w:eastAsia="Arial" w:hAnsi="Arial"/>
          <w:sz w:val="11"/>
          <w:szCs w:val="11"/>
          <w:color w:val="auto"/>
        </w:rPr>
        <w:t>For the year ended December 31, 2017, we recognized $685.1 million of revenue under the Master Lease, which included $14.3 million of TCI revenue. For the year ended December 31, 2016, we recognized $677.4 million of revenue under the Master Lease, which included $6.1 million of TCI revenue. The increase in TCI revenue is attributable to increased investment by Windstream in TCIs. Windstream invested $228 million in TCIs during the year ended December 31, 2017, an increase from $157 million it invested in TCIs during the year ended December 31, 2016. Since the inception of the Master Lease, Windstream has invested a total of $453.5 million in such improvements.</w:t>
      </w:r>
    </w:p>
    <w:p>
      <w:pPr>
        <w:spacing w:after="0" w:line="105" w:lineRule="exact"/>
        <w:rPr>
          <w:sz w:val="20"/>
          <w:szCs w:val="20"/>
          <w:color w:val="auto"/>
        </w:rPr>
      </w:pPr>
    </w:p>
    <w:p>
      <w:pPr>
        <w:ind w:right="20"/>
        <w:spacing w:after="0" w:line="280" w:lineRule="auto"/>
        <w:rPr>
          <w:sz w:val="20"/>
          <w:szCs w:val="20"/>
          <w:color w:val="auto"/>
        </w:rPr>
      </w:pPr>
      <w:r>
        <w:rPr>
          <w:rFonts w:ascii="Arial" w:cs="Arial" w:eastAsia="Arial" w:hAnsi="Arial"/>
          <w:sz w:val="11"/>
          <w:szCs w:val="11"/>
          <w:color w:val="auto"/>
        </w:rPr>
        <w:t>Because a substantial portion of our revenue is derived from lease payments by Windstream pursuant to the Master Lease, there could be a material adverse impact on our consolidated results of operations, liquidity and/or financial condition if Windstream were to default under the Master Lease or otherwise experience operating difficulties and becomes unable to generate sufficient cash to make payments to us. In recent years, Windstream has experienced annual declines in its total revenue and sales. Most recently, Windstream has endured a challenge from an entity who acquired certain Windstream debt securities for the purpose of seeking an “event of default” under such securities relating to the Spin-Off. An actual “event of default” would permit the trustee or holders of at least 25% in aggregate principal amount of outstanding of such Windstream debt securities to declare the principal amount of all outstanding Windstream debt to be immediately due and payable. Such an outcome would trigger cross-default provisions in Windstream’s other debt instruments, including Windstream Services’ existing credit facility, which, in turn, would trigger a default under the Master Lease. Accordingly, we monitor the credit quality of Windstream through numerous methods, including by (i) reviewing the credit ratings of Windstream by nationally recognized credit rating agencies, (ii) reviewing the financial statements of Windstream that are publicly available and that are required to be delivered to us pursuant to the Master Lease, (iii) monitoring ongoing litigation and news reports regarding Windstream and its businesses, (iv) conducting research to ascertain industry trends potentially affecting Windstream, and (v) monitoring the timeliness of its lease payments.</w:t>
      </w:r>
    </w:p>
    <w:p>
      <w:pPr>
        <w:spacing w:after="0" w:line="116" w:lineRule="exact"/>
        <w:rPr>
          <w:sz w:val="20"/>
          <w:szCs w:val="20"/>
          <w:color w:val="auto"/>
        </w:rPr>
      </w:pPr>
    </w:p>
    <w:p>
      <w:pPr>
        <w:ind w:right="40"/>
        <w:spacing w:after="0" w:line="257" w:lineRule="auto"/>
        <w:rPr>
          <w:sz w:val="20"/>
          <w:szCs w:val="20"/>
          <w:color w:val="auto"/>
        </w:rPr>
      </w:pPr>
      <w:r>
        <w:rPr>
          <w:rFonts w:ascii="Arial" w:cs="Arial" w:eastAsia="Arial" w:hAnsi="Arial"/>
          <w:sz w:val="12"/>
          <w:szCs w:val="12"/>
          <w:color w:val="auto"/>
        </w:rPr>
        <w:t>In addition to periodic financial statements, Windstream is obligated under the Master Lease to provide us (i) a detailed consolidated budget on an annual basis and any significant revisions approved by Windstream’s board of directors, (ii) prompt notice of any adverse action or investigation by a governmental authority relating to Windstream’s licenses affecting the leased property, and (iii) any information we require to comply with our reporting and filing obligations with the SEC. Furthermore, pursuant to the Master Lease, we may inspect the properties leased to Windstream upon reasonable advance notice, and, no more than twice per year, we may require Windstream to deliver an officer’s certificate certifying, among other things, its material compliance with the covenants under the Master Lease, the amount of rent and additional charges payable thereunder, the dates the same were paid, and any other questions or statements of fact we reasonably request.</w:t>
      </w:r>
    </w:p>
    <w:p>
      <w:pPr>
        <w:spacing w:after="0" w:line="126" w:lineRule="exact"/>
        <w:rPr>
          <w:sz w:val="20"/>
          <w:szCs w:val="20"/>
          <w:color w:val="auto"/>
        </w:rPr>
      </w:pPr>
    </w:p>
    <w:p>
      <w:pPr>
        <w:spacing w:after="0" w:line="257" w:lineRule="auto"/>
        <w:rPr>
          <w:sz w:val="20"/>
          <w:szCs w:val="20"/>
          <w:color w:val="auto"/>
        </w:rPr>
      </w:pPr>
      <w:r>
        <w:rPr>
          <w:rFonts w:ascii="Arial" w:cs="Arial" w:eastAsia="Arial" w:hAnsi="Arial"/>
          <w:sz w:val="12"/>
          <w:szCs w:val="12"/>
          <w:i w:val="1"/>
          <w:iCs w:val="1"/>
          <w:u w:val="single" w:color="auto"/>
          <w:color w:val="auto"/>
        </w:rPr>
        <w:t>Fiber Infrastructure</w:t>
      </w:r>
      <w:r>
        <w:rPr>
          <w:rFonts w:ascii="Arial" w:cs="Arial" w:eastAsia="Arial" w:hAnsi="Arial"/>
          <w:sz w:val="12"/>
          <w:szCs w:val="12"/>
          <w:i w:val="1"/>
          <w:iCs w:val="1"/>
          <w:color w:val="auto"/>
        </w:rPr>
        <w:t xml:space="preserve"> </w:t>
      </w:r>
      <w:r>
        <w:rPr>
          <w:rFonts w:ascii="Arial" w:cs="Arial" w:eastAsia="Arial" w:hAnsi="Arial"/>
          <w:sz w:val="12"/>
          <w:szCs w:val="12"/>
          <w:color w:val="auto"/>
        </w:rPr>
        <w:t>– In our Fiber Infrastructure segment, we recognized $202.8 million of revenue for the year ended December 31, 2017, of which approximately 55.1% was derived from lit backhaul services, approximately 20.6% was</w:t>
      </w:r>
      <w:r>
        <w:rPr>
          <w:rFonts w:ascii="Arial" w:cs="Arial" w:eastAsia="Arial" w:hAnsi="Arial"/>
          <w:sz w:val="12"/>
          <w:szCs w:val="12"/>
          <w:i w:val="1"/>
          <w:iCs w:val="1"/>
          <w:color w:val="auto"/>
        </w:rPr>
        <w:t xml:space="preserve"> </w:t>
      </w:r>
      <w:r>
        <w:rPr>
          <w:rFonts w:ascii="Arial" w:cs="Arial" w:eastAsia="Arial" w:hAnsi="Arial"/>
          <w:sz w:val="12"/>
          <w:szCs w:val="12"/>
          <w:color w:val="auto"/>
        </w:rPr>
        <w:t>derived from internet and voice revenue, approximately 11.3% was derived from construction revenue and approximately 13.0% was derived from other services. For the year ended December 31, 2016, we recognized $70.6 million of revenue Fiber Infrastructure segment, approximately 78% of which was derived from lit backhaul services. The revenue increase is primarily driven by the timing of the acquisitions of PEG Bandwidth, LLC (“PEG” or “PEG Bandwidth”), Tower Cloud, Southern Light and Hunt. At December 31, 2017, we had approximately 16,750 customer connections, up from 5,450 customer connections at December 31, 2016. The increase is primarily attributable to the July 3, 2017 acquisitions of Southern Light and Hunt.</w:t>
      </w:r>
    </w:p>
    <w:p>
      <w:pPr>
        <w:spacing w:after="0" w:line="126" w:lineRule="exact"/>
        <w:rPr>
          <w:sz w:val="20"/>
          <w:szCs w:val="20"/>
          <w:color w:val="auto"/>
        </w:rPr>
      </w:pPr>
    </w:p>
    <w:p>
      <w:pPr>
        <w:ind w:right="180"/>
        <w:spacing w:after="0" w:line="276" w:lineRule="auto"/>
        <w:rPr>
          <w:sz w:val="20"/>
          <w:szCs w:val="20"/>
          <w:color w:val="auto"/>
        </w:rPr>
      </w:pPr>
      <w:r>
        <w:rPr>
          <w:rFonts w:ascii="Arial" w:cs="Arial" w:eastAsia="Arial" w:hAnsi="Arial"/>
          <w:sz w:val="12"/>
          <w:szCs w:val="12"/>
          <w:i w:val="1"/>
          <w:iCs w:val="1"/>
          <w:u w:val="single" w:color="auto"/>
          <w:color w:val="auto"/>
        </w:rPr>
        <w:t>Towers</w:t>
      </w:r>
      <w:r>
        <w:rPr>
          <w:rFonts w:ascii="Arial" w:cs="Arial" w:eastAsia="Arial" w:hAnsi="Arial"/>
          <w:sz w:val="12"/>
          <w:szCs w:val="12"/>
          <w:i w:val="1"/>
          <w:iCs w:val="1"/>
          <w:color w:val="auto"/>
        </w:rPr>
        <w:t xml:space="preserve"> </w:t>
      </w:r>
      <w:r>
        <w:rPr>
          <w:rFonts w:ascii="Arial" w:cs="Arial" w:eastAsia="Arial" w:hAnsi="Arial"/>
          <w:sz w:val="12"/>
          <w:szCs w:val="12"/>
          <w:color w:val="auto"/>
        </w:rPr>
        <w:t>– For the year ended December 31, 2017, we recognized $10.1 million of revenue in our Towers segment, of which $7.5 million relates to our Latin American operations, primarily driven by revenues associated with our January</w:t>
      </w:r>
      <w:r>
        <w:rPr>
          <w:rFonts w:ascii="Arial" w:cs="Arial" w:eastAsia="Arial" w:hAnsi="Arial"/>
          <w:sz w:val="12"/>
          <w:szCs w:val="12"/>
          <w:i w:val="1"/>
          <w:iCs w:val="1"/>
          <w:color w:val="auto"/>
        </w:rPr>
        <w:t xml:space="preserve"> </w:t>
      </w:r>
      <w:r>
        <w:rPr>
          <w:rFonts w:ascii="Arial" w:cs="Arial" w:eastAsia="Arial" w:hAnsi="Arial"/>
          <w:sz w:val="12"/>
          <w:szCs w:val="12"/>
          <w:color w:val="auto"/>
        </w:rPr>
        <w:t>2017 acquisition of NMS.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32" w:name="page33"/>
    <w:bookmarkEnd w:id="32"/>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ind w:right="300"/>
        <w:spacing w:after="0" w:line="276" w:lineRule="auto"/>
        <w:rPr>
          <w:sz w:val="20"/>
          <w:szCs w:val="20"/>
          <w:color w:val="auto"/>
        </w:rPr>
      </w:pPr>
      <w:r>
        <w:rPr>
          <w:rFonts w:ascii="Arial" w:cs="Arial" w:eastAsia="Arial" w:hAnsi="Arial"/>
          <w:sz w:val="12"/>
          <w:szCs w:val="12"/>
          <w:color w:val="auto"/>
        </w:rPr>
        <w:t>At December 31, 2017, the Uniti Towers’ portfolio consisted of 227 wireless communications towers located on 20 states across the Eastern and Central regions in the United States, and 440 wireless communications towers in Latin America.</w:t>
      </w:r>
    </w:p>
    <w:p>
      <w:pPr>
        <w:spacing w:after="0" w:line="115" w:lineRule="exact"/>
        <w:rPr>
          <w:sz w:val="20"/>
          <w:szCs w:val="20"/>
          <w:color w:val="auto"/>
        </w:rPr>
      </w:pPr>
    </w:p>
    <w:p>
      <w:pPr>
        <w:jc w:val="both"/>
        <w:ind w:right="140"/>
        <w:spacing w:after="0" w:line="263" w:lineRule="auto"/>
        <w:rPr>
          <w:sz w:val="20"/>
          <w:szCs w:val="20"/>
          <w:color w:val="auto"/>
        </w:rPr>
      </w:pPr>
      <w:r>
        <w:rPr>
          <w:rFonts w:ascii="Arial" w:cs="Arial" w:eastAsia="Arial" w:hAnsi="Arial"/>
          <w:sz w:val="12"/>
          <w:szCs w:val="12"/>
          <w:i w:val="1"/>
          <w:iCs w:val="1"/>
          <w:u w:val="single" w:color="auto"/>
          <w:color w:val="auto"/>
        </w:rPr>
        <w:t>Consumer CLEC</w:t>
      </w:r>
      <w:r>
        <w:rPr>
          <w:rFonts w:ascii="Arial" w:cs="Arial" w:eastAsia="Arial" w:hAnsi="Arial"/>
          <w:sz w:val="12"/>
          <w:szCs w:val="12"/>
          <w:i w:val="1"/>
          <w:iCs w:val="1"/>
          <w:color w:val="auto"/>
        </w:rPr>
        <w:t xml:space="preserve"> </w:t>
      </w:r>
      <w:r>
        <w:rPr>
          <w:rFonts w:ascii="Arial" w:cs="Arial" w:eastAsia="Arial" w:hAnsi="Arial"/>
          <w:sz w:val="12"/>
          <w:szCs w:val="12"/>
          <w:color w:val="auto"/>
        </w:rPr>
        <w:t>– For the year ended December 31, 2017, we recognized $18.1 million of revenue from the Consumer CLEC Business, compared to $22.5 million for the period for the year ended December 31, 2016. The decrease is</w:t>
      </w:r>
      <w:r>
        <w:rPr>
          <w:rFonts w:ascii="Arial" w:cs="Arial" w:eastAsia="Arial" w:hAnsi="Arial"/>
          <w:sz w:val="12"/>
          <w:szCs w:val="12"/>
          <w:i w:val="1"/>
          <w:iCs w:val="1"/>
          <w:color w:val="auto"/>
        </w:rPr>
        <w:t xml:space="preserve"> </w:t>
      </w:r>
      <w:r>
        <w:rPr>
          <w:rFonts w:ascii="Arial" w:cs="Arial" w:eastAsia="Arial" w:hAnsi="Arial"/>
          <w:sz w:val="12"/>
          <w:szCs w:val="12"/>
          <w:color w:val="auto"/>
        </w:rPr>
        <w:t>primarily attributable to a loss of customers during the period. We served approximately 28,500 customers as of December 31, 2017, a 23% decrease from 37,000 at December 31, 2016. The decrease in customers is due to the effects of competition and customer attrition.</w:t>
      </w:r>
    </w:p>
    <w:p>
      <w:pPr>
        <w:spacing w:after="0" w:line="19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Interest Expense</w:t>
      </w:r>
    </w:p>
    <w:p>
      <w:pPr>
        <w:spacing w:after="0" w:line="78" w:lineRule="exact"/>
        <w:rPr>
          <w:sz w:val="20"/>
          <w:szCs w:val="20"/>
          <w:color w:val="auto"/>
        </w:rPr>
      </w:pPr>
    </w:p>
    <w:p>
      <w:pPr>
        <w:ind w:right="80"/>
        <w:spacing w:after="0" w:line="320" w:lineRule="auto"/>
        <w:rPr>
          <w:sz w:val="20"/>
          <w:szCs w:val="20"/>
          <w:color w:val="auto"/>
        </w:rPr>
      </w:pPr>
      <w:r>
        <w:rPr>
          <w:rFonts w:ascii="Arial" w:cs="Arial" w:eastAsia="Arial" w:hAnsi="Arial"/>
          <w:sz w:val="10"/>
          <w:szCs w:val="10"/>
          <w:color w:val="auto"/>
        </w:rPr>
        <w:t>Interest expense for the year ended December 31, 2017, totaled $306.0 million, which includes non-cash interest expense of $23.1 million resulting from the amortization of our debt discounts and debt issuance costs. Interest expense for the year ended December 31, 2016, totaled $275.4 million, which includes non-cash interest expense of $16.0 million resulting from the amortization of our debt discounts and debt issuance costs. The increase is primarily related to interest expense on the additional $150 million aggregate principal amount of 6.00% Senior Secured Notes issued on June 16, 2016 as an add-on to the Company’s existing senior secured notes (the “add-on Secured Notes”) and the 2024 Notes of $41 million. This increase was partially offset by approximately $19 million of interest savings related to the repricing of $2.1 billion of term loans outstanding under our senior secured credit agreement. Effective February 9, 2017, interest on the term loans was LIBOR plus 3.00% per annum (with a minimum LIBOR rate of 1.0%), compared to LIBOR plus 4.0% per annum (with a minimum LIBOR rate of 1.0%) for the year ended December 31, 2016.</w:t>
      </w:r>
    </w:p>
    <w:p>
      <w:pPr>
        <w:spacing w:after="0" w:line="17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Depreciation and Amortization Expense</w:t>
      </w:r>
    </w:p>
    <w:p>
      <w:pPr>
        <w:spacing w:after="0" w:line="78" w:lineRule="exact"/>
        <w:rPr>
          <w:sz w:val="20"/>
          <w:szCs w:val="20"/>
          <w:color w:val="auto"/>
        </w:rPr>
      </w:pPr>
    </w:p>
    <w:p>
      <w:pPr>
        <w:spacing w:after="0" w:line="259" w:lineRule="auto"/>
        <w:rPr>
          <w:sz w:val="20"/>
          <w:szCs w:val="20"/>
          <w:color w:val="auto"/>
        </w:rPr>
      </w:pPr>
      <w:r>
        <w:rPr>
          <w:rFonts w:ascii="Arial" w:cs="Arial" w:eastAsia="Arial" w:hAnsi="Arial"/>
          <w:sz w:val="12"/>
          <w:szCs w:val="12"/>
          <w:color w:val="auto"/>
        </w:rPr>
        <w:t>We incur depreciation and amortization expense related to our property, plant and equipment, corporate assets and intangible assets. Charges for depreciation and amortization for the year ended December 31, 2017 totaled $434.2 million (47.4% of revenue), which included property, plant and equipment depreciation of $415.9 million and intangible asset amortization of $18.3 million. Charges for depreciation and amortization for the year ended December 31, 2016 totaled $376.0 million (48.8% of revenue), which included property, plant and equipment depreciation of $369.9 million and intangible asset amortization of $6.1 million. The increase is primarily driven by the timing of the acquisitions of PEG, Tower Cloud, Southern Light and Hunt.</w:t>
      </w:r>
    </w:p>
    <w:p>
      <w:pPr>
        <w:spacing w:after="0" w:line="19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General and Administrative Expense</w:t>
      </w:r>
    </w:p>
    <w:p>
      <w:pPr>
        <w:spacing w:after="0" w:line="78" w:lineRule="exact"/>
        <w:rPr>
          <w:sz w:val="20"/>
          <w:szCs w:val="20"/>
          <w:color w:val="auto"/>
        </w:rPr>
      </w:pPr>
    </w:p>
    <w:p>
      <w:pPr>
        <w:jc w:val="both"/>
        <w:ind w:right="260"/>
        <w:spacing w:after="0" w:line="290" w:lineRule="auto"/>
        <w:rPr>
          <w:sz w:val="20"/>
          <w:szCs w:val="20"/>
          <w:color w:val="auto"/>
        </w:rPr>
      </w:pPr>
      <w:r>
        <w:rPr>
          <w:rFonts w:ascii="Arial" w:cs="Arial" w:eastAsia="Arial" w:hAnsi="Arial"/>
          <w:sz w:val="11"/>
          <w:szCs w:val="11"/>
          <w:color w:val="auto"/>
        </w:rPr>
        <w:t>General and administrative expenses include compensation costs (including stock-based compensation awards), professional and legal services, corporate office costs and other costs associated with the administrative activities of our segments. For the year ended December 31, 2017, general and administrative costs totaled $72.0 million (7.9% of revenue), which includes $7.7 million of stock-based compensation expense. For the year ended December 31, 2016, general and administrative costs totaled $35.4 million (4.6% of revenue), which includes $4.8 million of stock-based compensation expense. The increase is primarily driven by the timing of the acquisitions of PEG and Tower Cloud, which closed on May 2, 2016 and August 31, 2016, respectively, as well as the acquisition of Southern Light and Hunt that closed on July 3, 2017.</w:t>
      </w:r>
    </w:p>
    <w:p>
      <w:pPr>
        <w:spacing w:after="0" w:line="18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Operating Expense</w:t>
      </w:r>
    </w:p>
    <w:p>
      <w:pPr>
        <w:spacing w:after="0" w:line="150" w:lineRule="exact"/>
        <w:rPr>
          <w:sz w:val="20"/>
          <w:szCs w:val="20"/>
          <w:color w:val="auto"/>
        </w:rPr>
      </w:pPr>
    </w:p>
    <w:p>
      <w:pPr>
        <w:spacing w:after="0"/>
        <w:rPr>
          <w:sz w:val="20"/>
          <w:szCs w:val="20"/>
          <w:color w:val="auto"/>
        </w:rPr>
      </w:pPr>
      <w:r>
        <w:rPr>
          <w:rFonts w:ascii="Arial" w:cs="Arial" w:eastAsia="Arial" w:hAnsi="Arial"/>
          <w:sz w:val="10"/>
          <w:szCs w:val="10"/>
          <w:color w:val="auto"/>
        </w:rPr>
        <w:t>Operating expense for the year ended December 31, 2017, totaled $102.2 million (11.2% of revenue), and consisted of $83.5 million (9.1% of revenue) of expense related to the operation of the Fiber Infrastructure operations, $5.1 million</w:t>
      </w:r>
    </w:p>
    <w:p>
      <w:pPr>
        <w:spacing w:after="0" w:line="38" w:lineRule="exact"/>
        <w:rPr>
          <w:sz w:val="20"/>
          <w:szCs w:val="20"/>
          <w:color w:val="auto"/>
        </w:rPr>
      </w:pPr>
    </w:p>
    <w:p>
      <w:pPr>
        <w:spacing w:after="0"/>
        <w:rPr>
          <w:sz w:val="20"/>
          <w:szCs w:val="20"/>
          <w:color w:val="auto"/>
        </w:rPr>
      </w:pPr>
      <w:r>
        <w:rPr>
          <w:rFonts w:ascii="Arial" w:cs="Arial" w:eastAsia="Arial" w:hAnsi="Arial"/>
          <w:sz w:val="11"/>
          <w:szCs w:val="11"/>
          <w:color w:val="auto"/>
        </w:rPr>
        <w:t>(0.6% of revenue) of expense related to the Tower operations and $13.5 million (1.5% of revenue) of expense related to the Consumer CLEC Business. For the year ended December 31, 2016, operating expenses totaled $49.7 million</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(6.4% of revenue), which related to the operation of the Consumer CLEC Business ($17.4 million) and Fiber Infrastructure operations ($32.1 million).</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20"/>
          </w:cols>
          <w:pgMar w:left="220" w:top="131" w:right="259" w:bottom="1440" w:gutter="0" w:footer="0" w:header="0"/>
        </w:sectPr>
      </w:pPr>
    </w:p>
    <w:bookmarkStart w:id="33" w:name="page34"/>
    <w:bookmarkEnd w:id="33"/>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ind w:right="120"/>
        <w:spacing w:after="0" w:line="259" w:lineRule="auto"/>
        <w:rPr>
          <w:sz w:val="20"/>
          <w:szCs w:val="20"/>
          <w:color w:val="auto"/>
        </w:rPr>
      </w:pPr>
      <w:r>
        <w:rPr>
          <w:rFonts w:ascii="Arial" w:cs="Arial" w:eastAsia="Arial" w:hAnsi="Arial"/>
          <w:sz w:val="12"/>
          <w:szCs w:val="12"/>
          <w:color w:val="auto"/>
        </w:rPr>
        <w:t>The increase to Fiber Infrastructure operating expense is primarily driven by the timing of the acquisitions of PEG and Tower Cloud, which closed on May 2, 2016 and August 31, 2016, respectively, as well as the acquisition of Southern Light and Hunt that closed on July 3, 2017. For the year ended December 31, 2017, Fiber Infrastructure operating expenses included $21.1 million of construction-related expenses, $15.9 million of lit service expense, $11.0 million of tower rent, $10.4 million of maintenance expense, $7.0 million of dark fiber rent and $4.8 million of payroll-related expense. For the year ended December 31, 2016, Fiber Infrastructure operating expenses included $7.0 million of tower rent, $5.3 million of payroll-related expense and $4.3 million of lit service expense.</w:t>
      </w:r>
    </w:p>
    <w:p>
      <w:pPr>
        <w:spacing w:after="0" w:line="125" w:lineRule="exact"/>
        <w:rPr>
          <w:sz w:val="20"/>
          <w:szCs w:val="20"/>
          <w:color w:val="auto"/>
        </w:rPr>
      </w:pPr>
    </w:p>
    <w:p>
      <w:pPr>
        <w:ind w:right="160"/>
        <w:spacing w:after="0" w:line="276" w:lineRule="auto"/>
        <w:rPr>
          <w:sz w:val="20"/>
          <w:szCs w:val="20"/>
          <w:color w:val="auto"/>
        </w:rPr>
      </w:pPr>
      <w:r>
        <w:rPr>
          <w:rFonts w:ascii="Arial" w:cs="Arial" w:eastAsia="Arial" w:hAnsi="Arial"/>
          <w:sz w:val="12"/>
          <w:szCs w:val="12"/>
          <w:color w:val="auto"/>
        </w:rPr>
        <w:t>The increase to Tower operating expense is primarily driven by the timing of the acquisition of NMS, which closed on January 31, 2017. For the year ended December 31, 2017, Tower operating expenses included $3.2 million of tower rent, $0.9 million of site monitoring expenses and $0.2 million of insurance expense.</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Expense associated with the Consumer CLEC Business is primarily attributable to the Wholesale Agreement and the Master Services Agreement entered between us and Windstream in connection with the Spin-Off, and also included costs arising under the interconnection agreements with other telecommunication carriers. Expense associated with the Wholesale Agreement and Master Services Agreement for the year ended December 31, 2017 totaled $10.2 million (1.1% of revenue) and $1.3 million (0.1% of revenue), respectively, and expense associated with the Wholesale Agreement and the Master Services Agreement for the year ended December 31, 2016 totaled $12.5 million (1.6% of revenue) and $1.7 million (0.2% of revenue),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Other Expense</w:t>
      </w:r>
    </w:p>
    <w:p>
      <w:pPr>
        <w:spacing w:after="0" w:line="168" w:lineRule="exact"/>
        <w:rPr>
          <w:sz w:val="20"/>
          <w:szCs w:val="20"/>
          <w:color w:val="auto"/>
        </w:rPr>
      </w:pPr>
    </w:p>
    <w:p>
      <w:pPr>
        <w:spacing w:after="0"/>
        <w:rPr>
          <w:sz w:val="20"/>
          <w:szCs w:val="20"/>
          <w:color w:val="auto"/>
        </w:rPr>
      </w:pPr>
      <w:r>
        <w:rPr>
          <w:rFonts w:ascii="Arial" w:cs="Arial" w:eastAsia="Arial" w:hAnsi="Arial"/>
          <w:sz w:val="11"/>
          <w:szCs w:val="11"/>
          <w:color w:val="auto"/>
        </w:rPr>
        <w:t>Other expense for the year ended December 31, 2017, totaled $11.3 million (1.2% of revenue), primarily as a result of a net unrealized loss of $10.7 million for mark-to-market adjustments on our contingent consideration arrangements.</w:t>
      </w:r>
    </w:p>
    <w:p>
      <w:pPr>
        <w:spacing w:after="0" w:line="23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Income Tax (Benefit) Expense</w:t>
      </w:r>
    </w:p>
    <w:p>
      <w:pPr>
        <w:spacing w:after="0" w:line="168" w:lineRule="exact"/>
        <w:rPr>
          <w:sz w:val="20"/>
          <w:szCs w:val="20"/>
          <w:color w:val="auto"/>
        </w:rPr>
      </w:pPr>
    </w:p>
    <w:p>
      <w:pPr>
        <w:ind w:right="140"/>
        <w:spacing w:after="0" w:line="340" w:lineRule="auto"/>
        <w:rPr>
          <w:sz w:val="20"/>
          <w:szCs w:val="20"/>
          <w:color w:val="auto"/>
        </w:rPr>
      </w:pPr>
      <w:r>
        <w:rPr>
          <w:rFonts w:ascii="Arial" w:cs="Arial" w:eastAsia="Arial" w:hAnsi="Arial"/>
          <w:sz w:val="10"/>
          <w:szCs w:val="10"/>
          <w:color w:val="auto"/>
        </w:rPr>
        <w:t>We recorded a $38.8 million benefit in income tax benefit for the year ended December 31, 2017. This benefit was primarily driven by the release of valuation allowance and impact of corporate tax reform. Income tax benefit of $8.2 million was recorded for the release of a valuation allowance related to the acquisitions of Southern Light and Hunt. The Southern Light and Hunt transactions resulted in the recording of a deferred tax liability, and this future reversal of taxable temporary differences supports the realization of deferred tax assets which previously had a valuation allowance. $17.0 million relates to revision of ending net deferred tax asset balances to the lower future corporate tax rate.</w:t>
      </w:r>
    </w:p>
    <w:p>
      <w:pPr>
        <w:spacing w:after="0" w:line="8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Comparison of the year ended December 31, 2016 to the period from April 24, 2015 to December 31, 2015</w:t>
      </w:r>
    </w:p>
    <w:p>
      <w:pPr>
        <w:spacing w:after="0" w:line="154" w:lineRule="exact"/>
        <w:rPr>
          <w:sz w:val="20"/>
          <w:szCs w:val="20"/>
          <w:color w:val="auto"/>
        </w:rPr>
      </w:pPr>
    </w:p>
    <w:p>
      <w:pPr>
        <w:ind w:right="40"/>
        <w:spacing w:after="0" w:line="263" w:lineRule="auto"/>
        <w:rPr>
          <w:sz w:val="20"/>
          <w:szCs w:val="20"/>
          <w:color w:val="auto"/>
        </w:rPr>
      </w:pPr>
      <w:r>
        <w:rPr>
          <w:rFonts w:ascii="Arial" w:cs="Arial" w:eastAsia="Arial" w:hAnsi="Arial"/>
          <w:sz w:val="12"/>
          <w:szCs w:val="12"/>
          <w:color w:val="auto"/>
        </w:rPr>
        <w:t>Because we were formed in connection with the Spin-Off from Windstream Holdings on April 24, 2015, the comparable period results discussed in this section cover only the 252-day period from April 24, 2015 to December 31, 2015. As such, there are inherent limitations to period over period comparability. This discussion should be read in conjunction with the accompanying audited financial statements, and the notes thereto set forth in Part II, Item 8 of this Annual Report on Form 10-K.</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sets forth, for the periods indicated, our results of operations expressed as dollars and as a percentage of total revenues:</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131" w:right="219" w:bottom="1440" w:gutter="0" w:footer="0" w:header="0"/>
        </w:sectPr>
      </w:pPr>
    </w:p>
    <w:bookmarkStart w:id="34" w:name="page35"/>
    <w:bookmarkEnd w:id="34"/>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5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tcPr>
          <w:p>
            <w:pPr>
              <w:jc w:val="right"/>
              <w:ind w:right="112"/>
              <w:spacing w:after="0"/>
              <w:rPr>
                <w:sz w:val="20"/>
                <w:szCs w:val="20"/>
                <w:color w:val="auto"/>
              </w:rPr>
            </w:pPr>
            <w:r>
              <w:rPr>
                <w:rFonts w:ascii="Arial" w:cs="Arial" w:eastAsia="Arial" w:hAnsi="Arial"/>
                <w:sz w:val="10"/>
                <w:szCs w:val="10"/>
                <w:b w:val="1"/>
                <w:bCs w:val="1"/>
                <w:color w:val="auto"/>
              </w:rPr>
              <w:t>Year Ended</w:t>
            </w: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jc w:val="center"/>
              <w:spacing w:after="0"/>
              <w:rPr>
                <w:sz w:val="20"/>
                <w:szCs w:val="20"/>
                <w:color w:val="auto"/>
              </w:rPr>
            </w:pPr>
            <w:r>
              <w:rPr>
                <w:rFonts w:ascii="Arial" w:cs="Arial" w:eastAsia="Arial" w:hAnsi="Arial"/>
                <w:sz w:val="10"/>
                <w:szCs w:val="10"/>
                <w:b w:val="1"/>
                <w:bCs w:val="1"/>
                <w:color w:val="auto"/>
                <w:w w:val="94"/>
              </w:rPr>
              <w:t>% of</w:t>
            </w: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60" w:type="dxa"/>
            <w:vAlign w:val="bottom"/>
            <w:gridSpan w:val="2"/>
          </w:tcPr>
          <w:p>
            <w:pPr>
              <w:jc w:val="right"/>
              <w:ind w:right="560"/>
              <w:spacing w:after="0"/>
              <w:rPr>
                <w:sz w:val="20"/>
                <w:szCs w:val="20"/>
                <w:color w:val="auto"/>
              </w:rPr>
            </w:pPr>
            <w:r>
              <w:rPr>
                <w:rFonts w:ascii="Arial" w:cs="Arial" w:eastAsia="Arial" w:hAnsi="Arial"/>
                <w:sz w:val="10"/>
                <w:szCs w:val="10"/>
                <w:b w:val="1"/>
                <w:bCs w:val="1"/>
                <w:color w:val="auto"/>
              </w:rPr>
              <w:t>Period from April 24 -</w:t>
            </w:r>
          </w:p>
        </w:tc>
        <w:tc>
          <w:tcPr>
            <w:tcW w:w="86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94"/>
              </w:rPr>
              <w:t>% of</w:t>
            </w:r>
          </w:p>
        </w:tc>
        <w:tc>
          <w:tcPr>
            <w:tcW w:w="0" w:type="dxa"/>
            <w:vAlign w:val="bottom"/>
          </w:tcPr>
          <w:p>
            <w:pPr>
              <w:spacing w:after="0"/>
              <w:rPr>
                <w:sz w:val="1"/>
                <w:szCs w:val="1"/>
                <w:color w:val="auto"/>
              </w:rPr>
            </w:pPr>
          </w:p>
        </w:tc>
      </w:tr>
      <w:tr>
        <w:trPr>
          <w:trHeight w:val="114"/>
        </w:trPr>
        <w:tc>
          <w:tcPr>
            <w:tcW w:w="5800" w:type="dxa"/>
            <w:vAlign w:val="bottom"/>
            <w:gridSpan w:val="2"/>
          </w:tcPr>
          <w:p>
            <w:pPr>
              <w:spacing w:after="0" w:line="114" w:lineRule="exact"/>
              <w:rPr>
                <w:sz w:val="20"/>
                <w:szCs w:val="20"/>
                <w:color w:val="auto"/>
              </w:rPr>
            </w:pPr>
            <w:r>
              <w:rPr>
                <w:rFonts w:ascii="Arial" w:cs="Arial" w:eastAsia="Arial" w:hAnsi="Arial"/>
                <w:sz w:val="10"/>
                <w:szCs w:val="10"/>
                <w:color w:val="auto"/>
              </w:rPr>
              <w:t>(Thousands)</w:t>
            </w:r>
          </w:p>
        </w:tc>
        <w:tc>
          <w:tcPr>
            <w:tcW w:w="180" w:type="dxa"/>
            <w:vAlign w:val="bottom"/>
          </w:tcPr>
          <w:p>
            <w:pPr>
              <w:spacing w:after="0"/>
              <w:rPr>
                <w:sz w:val="9"/>
                <w:szCs w:val="9"/>
                <w:color w:val="auto"/>
              </w:rPr>
            </w:pPr>
          </w:p>
        </w:tc>
        <w:tc>
          <w:tcPr>
            <w:tcW w:w="1200" w:type="dxa"/>
            <w:vAlign w:val="bottom"/>
          </w:tcPr>
          <w:p>
            <w:pPr>
              <w:jc w:val="right"/>
              <w:spacing w:after="0" w:line="114" w:lineRule="exact"/>
              <w:rPr>
                <w:sz w:val="20"/>
                <w:szCs w:val="20"/>
                <w:color w:val="auto"/>
              </w:rPr>
            </w:pPr>
            <w:r>
              <w:rPr>
                <w:rFonts w:ascii="Arial" w:cs="Arial" w:eastAsia="Arial" w:hAnsi="Arial"/>
                <w:sz w:val="10"/>
                <w:szCs w:val="10"/>
                <w:b w:val="1"/>
                <w:bCs w:val="1"/>
                <w:color w:val="auto"/>
              </w:rPr>
              <w:t>December 31, 2016</w:t>
            </w: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jc w:val="center"/>
              <w:spacing w:after="0" w:line="114" w:lineRule="exact"/>
              <w:rPr>
                <w:sz w:val="20"/>
                <w:szCs w:val="20"/>
                <w:color w:val="auto"/>
              </w:rPr>
            </w:pPr>
            <w:r>
              <w:rPr>
                <w:rFonts w:ascii="Arial" w:cs="Arial" w:eastAsia="Arial" w:hAnsi="Arial"/>
                <w:sz w:val="10"/>
                <w:szCs w:val="10"/>
                <w:b w:val="1"/>
                <w:bCs w:val="1"/>
                <w:color w:val="auto"/>
                <w:w w:val="80"/>
              </w:rPr>
              <w:t>Revenues</w:t>
            </w: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60" w:type="dxa"/>
            <w:vAlign w:val="bottom"/>
            <w:gridSpan w:val="2"/>
          </w:tcPr>
          <w:p>
            <w:pPr>
              <w:jc w:val="right"/>
              <w:ind w:right="620"/>
              <w:spacing w:after="0" w:line="114" w:lineRule="exact"/>
              <w:rPr>
                <w:sz w:val="20"/>
                <w:szCs w:val="20"/>
                <w:color w:val="auto"/>
              </w:rPr>
            </w:pPr>
            <w:r>
              <w:rPr>
                <w:rFonts w:ascii="Arial" w:cs="Arial" w:eastAsia="Arial" w:hAnsi="Arial"/>
                <w:sz w:val="10"/>
                <w:szCs w:val="10"/>
                <w:b w:val="1"/>
                <w:bCs w:val="1"/>
                <w:color w:val="auto"/>
              </w:rPr>
              <w:t>December 31, 2015</w:t>
            </w:r>
          </w:p>
        </w:tc>
        <w:tc>
          <w:tcPr>
            <w:tcW w:w="860" w:type="dxa"/>
            <w:vAlign w:val="bottom"/>
            <w:gridSpan w:val="2"/>
          </w:tcPr>
          <w:p>
            <w:pPr>
              <w:jc w:val="center"/>
              <w:ind w:right="120"/>
              <w:spacing w:after="0" w:line="114" w:lineRule="exact"/>
              <w:rPr>
                <w:sz w:val="20"/>
                <w:szCs w:val="20"/>
                <w:color w:val="auto"/>
              </w:rPr>
            </w:pPr>
            <w:r>
              <w:rPr>
                <w:rFonts w:ascii="Arial" w:cs="Arial" w:eastAsia="Arial" w:hAnsi="Arial"/>
                <w:sz w:val="10"/>
                <w:szCs w:val="10"/>
                <w:b w:val="1"/>
                <w:bCs w:val="1"/>
                <w:color w:val="auto"/>
                <w:w w:val="80"/>
              </w:rPr>
              <w:t>Revenues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2"/>
                <w:szCs w:val="12"/>
                <w:b w:val="1"/>
                <w:bCs w:val="1"/>
                <w:color w:val="auto"/>
              </w:rPr>
              <w:t>Revenues:</w:t>
            </w:r>
          </w:p>
        </w:tc>
        <w:tc>
          <w:tcPr>
            <w:tcW w:w="180" w:type="dxa"/>
            <w:vAlign w:val="bottom"/>
            <w:tcBorders>
              <w:top w:val="single" w:sz="8" w:color="CFF0FC"/>
            </w:tcBorders>
            <w:shd w:val="clear" w:color="auto" w:fill="CFF0FC"/>
          </w:tcPr>
          <w:p>
            <w:pPr>
              <w:spacing w:after="0"/>
              <w:rPr>
                <w:sz w:val="12"/>
                <w:szCs w:val="12"/>
                <w:color w:val="auto"/>
              </w:rPr>
            </w:pPr>
          </w:p>
        </w:tc>
        <w:tc>
          <w:tcPr>
            <w:tcW w:w="1200" w:type="dxa"/>
            <w:vAlign w:val="bottom"/>
            <w:tcBorders>
              <w:top w:val="single" w:sz="8" w:color="auto"/>
            </w:tcBorders>
            <w:shd w:val="clear" w:color="auto" w:fill="CFF0FC"/>
          </w:tcPr>
          <w:p>
            <w:pPr>
              <w:spacing w:after="0"/>
              <w:rPr>
                <w:sz w:val="12"/>
                <w:szCs w:val="12"/>
                <w:color w:val="auto"/>
              </w:rPr>
            </w:pPr>
          </w:p>
        </w:tc>
        <w:tc>
          <w:tcPr>
            <w:tcW w:w="42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280" w:type="dxa"/>
            <w:vAlign w:val="bottom"/>
            <w:tcBorders>
              <w:top w:val="single" w:sz="8" w:color="CFF0FC"/>
            </w:tcBorders>
            <w:shd w:val="clear" w:color="auto" w:fill="CFF0FC"/>
          </w:tcPr>
          <w:p>
            <w:pPr>
              <w:spacing w:after="0"/>
              <w:rPr>
                <w:sz w:val="12"/>
                <w:szCs w:val="12"/>
                <w:color w:val="auto"/>
              </w:rPr>
            </w:pPr>
          </w:p>
        </w:tc>
        <w:tc>
          <w:tcPr>
            <w:tcW w:w="240" w:type="dxa"/>
            <w:vAlign w:val="bottom"/>
            <w:tcBorders>
              <w:top w:val="single" w:sz="8" w:color="auto"/>
            </w:tcBorders>
            <w:shd w:val="clear" w:color="auto" w:fill="CFF0FC"/>
          </w:tcPr>
          <w:p>
            <w:pPr>
              <w:spacing w:after="0"/>
              <w:rPr>
                <w:sz w:val="12"/>
                <w:szCs w:val="12"/>
                <w:color w:val="auto"/>
              </w:rPr>
            </w:pPr>
          </w:p>
        </w:tc>
        <w:tc>
          <w:tcPr>
            <w:tcW w:w="156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74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780" w:type="dxa"/>
            <w:vAlign w:val="bottom"/>
          </w:tcPr>
          <w:p>
            <w:pPr>
              <w:ind w:left="140"/>
              <w:spacing w:after="0"/>
              <w:rPr>
                <w:sz w:val="20"/>
                <w:szCs w:val="20"/>
                <w:color w:val="auto"/>
              </w:rPr>
            </w:pPr>
            <w:r>
              <w:rPr>
                <w:rFonts w:ascii="Arial" w:cs="Arial" w:eastAsia="Arial" w:hAnsi="Arial"/>
                <w:sz w:val="12"/>
                <w:szCs w:val="12"/>
                <w:color w:val="auto"/>
              </w:rPr>
              <w:t>Leasing</w:t>
            </w:r>
          </w:p>
        </w:tc>
        <w:tc>
          <w:tcPr>
            <w:tcW w:w="1380" w:type="dxa"/>
            <w:vAlign w:val="bottom"/>
            <w:gridSpan w:val="2"/>
          </w:tcPr>
          <w:p>
            <w:pPr>
              <w:jc w:val="right"/>
              <w:ind w:right="1092"/>
              <w:spacing w:after="0"/>
              <w:rPr>
                <w:sz w:val="20"/>
                <w:szCs w:val="20"/>
                <w:color w:val="auto"/>
              </w:rPr>
            </w:pPr>
            <w:r>
              <w:rPr>
                <w:rFonts w:ascii="Arial" w:cs="Arial" w:eastAsia="Arial" w:hAnsi="Arial"/>
                <w:sz w:val="12"/>
                <w:szCs w:val="12"/>
                <w:color w:val="auto"/>
              </w:rPr>
              <w:t>$</w:t>
            </w:r>
          </w:p>
        </w:tc>
        <w:tc>
          <w:tcPr>
            <w:tcW w:w="420" w:type="dxa"/>
            <w:vAlign w:val="bottom"/>
          </w:tcPr>
          <w:p>
            <w:pPr>
              <w:jc w:val="right"/>
              <w:spacing w:after="0"/>
              <w:rPr>
                <w:sz w:val="20"/>
                <w:szCs w:val="20"/>
                <w:color w:val="auto"/>
              </w:rPr>
            </w:pPr>
            <w:r>
              <w:rPr>
                <w:rFonts w:ascii="Arial" w:cs="Arial" w:eastAsia="Arial" w:hAnsi="Arial"/>
                <w:sz w:val="12"/>
                <w:szCs w:val="12"/>
                <w:color w:val="auto"/>
                <w:w w:val="92"/>
              </w:rPr>
              <w:t>676,868</w:t>
            </w:r>
          </w:p>
        </w:tc>
        <w:tc>
          <w:tcPr>
            <w:tcW w:w="12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Arial" w:cs="Arial" w:eastAsia="Arial" w:hAnsi="Arial"/>
                <w:sz w:val="12"/>
                <w:szCs w:val="12"/>
                <w:color w:val="auto"/>
                <w:w w:val="88"/>
              </w:rPr>
              <w:t>87.8%</w:t>
            </w:r>
          </w:p>
        </w:tc>
        <w:tc>
          <w:tcPr>
            <w:tcW w:w="5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560" w:type="dxa"/>
            <w:vAlign w:val="bottom"/>
          </w:tcPr>
          <w:p>
            <w:pPr>
              <w:jc w:val="right"/>
              <w:spacing w:after="0"/>
              <w:rPr>
                <w:sz w:val="20"/>
                <w:szCs w:val="20"/>
                <w:color w:val="auto"/>
              </w:rPr>
            </w:pPr>
            <w:r>
              <w:rPr>
                <w:rFonts w:ascii="Arial" w:cs="Arial" w:eastAsia="Arial" w:hAnsi="Arial"/>
                <w:sz w:val="12"/>
                <w:szCs w:val="12"/>
                <w:color w:val="auto"/>
              </w:rPr>
              <w:t>458,614</w:t>
            </w:r>
          </w:p>
        </w:tc>
        <w:tc>
          <w:tcPr>
            <w:tcW w:w="10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Arial" w:cs="Arial" w:eastAsia="Arial" w:hAnsi="Arial"/>
                <w:sz w:val="12"/>
                <w:szCs w:val="12"/>
                <w:color w:val="auto"/>
                <w:w w:val="88"/>
              </w:rPr>
              <w:t>96.3%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780" w:type="dxa"/>
            <w:vAlign w:val="bottom"/>
            <w:shd w:val="clear" w:color="auto" w:fill="CFF0FC"/>
          </w:tcPr>
          <w:p>
            <w:pPr>
              <w:ind w:left="140"/>
              <w:spacing w:after="0"/>
              <w:rPr>
                <w:sz w:val="20"/>
                <w:szCs w:val="20"/>
                <w:color w:val="auto"/>
              </w:rPr>
            </w:pPr>
            <w:r>
              <w:rPr>
                <w:rFonts w:ascii="Arial" w:cs="Arial" w:eastAsia="Arial" w:hAnsi="Arial"/>
                <w:sz w:val="12"/>
                <w:szCs w:val="12"/>
                <w:color w:val="auto"/>
              </w:rPr>
              <w:t>Fiber Infrastructure</w:t>
            </w:r>
          </w:p>
        </w:tc>
        <w:tc>
          <w:tcPr>
            <w:tcW w:w="18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70,568</w:t>
            </w: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94"/>
              </w:rPr>
              <w:t>9.2%</w:t>
            </w:r>
          </w:p>
        </w:tc>
        <w:tc>
          <w:tcPr>
            <w:tcW w:w="2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3"/>
                <w:szCs w:val="13"/>
                <w:color w:val="auto"/>
              </w:rPr>
            </w:pPr>
          </w:p>
        </w:tc>
        <w:tc>
          <w:tcPr>
            <w:tcW w:w="74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94"/>
              </w:rPr>
              <w:t>0.0%</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780" w:type="dxa"/>
            <w:vAlign w:val="bottom"/>
          </w:tcPr>
          <w:p>
            <w:pPr>
              <w:ind w:left="140"/>
              <w:spacing w:after="0"/>
              <w:rPr>
                <w:sz w:val="20"/>
                <w:szCs w:val="20"/>
                <w:color w:val="auto"/>
              </w:rPr>
            </w:pPr>
            <w:r>
              <w:rPr>
                <w:rFonts w:ascii="Arial" w:cs="Arial" w:eastAsia="Arial" w:hAnsi="Arial"/>
                <w:sz w:val="12"/>
                <w:szCs w:val="12"/>
                <w:color w:val="auto"/>
              </w:rPr>
              <w:t>Tower</w:t>
            </w:r>
          </w:p>
        </w:tc>
        <w:tc>
          <w:tcPr>
            <w:tcW w:w="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500</w:t>
            </w:r>
          </w:p>
        </w:tc>
        <w:tc>
          <w:tcPr>
            <w:tcW w:w="12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Arial" w:cs="Arial" w:eastAsia="Arial" w:hAnsi="Arial"/>
                <w:sz w:val="12"/>
                <w:szCs w:val="12"/>
                <w:color w:val="auto"/>
                <w:w w:val="94"/>
              </w:rPr>
              <w:t>0.1%</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Arial" w:cs="Arial" w:eastAsia="Arial" w:hAnsi="Arial"/>
                <w:sz w:val="12"/>
                <w:szCs w:val="12"/>
                <w:color w:val="auto"/>
                <w:w w:val="94"/>
              </w:rPr>
              <w:t>0.0%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780" w:type="dxa"/>
            <w:vAlign w:val="bottom"/>
            <w:shd w:val="clear" w:color="auto" w:fill="CFF0FC"/>
          </w:tcPr>
          <w:p>
            <w:pPr>
              <w:ind w:left="140"/>
              <w:spacing w:after="0"/>
              <w:rPr>
                <w:sz w:val="20"/>
                <w:szCs w:val="20"/>
                <w:color w:val="auto"/>
              </w:rPr>
            </w:pPr>
            <w:r>
              <w:rPr>
                <w:rFonts w:ascii="Arial" w:cs="Arial" w:eastAsia="Arial" w:hAnsi="Arial"/>
                <w:sz w:val="12"/>
                <w:szCs w:val="12"/>
                <w:color w:val="auto"/>
              </w:rPr>
              <w:t>Consumer CLEC</w:t>
            </w:r>
          </w:p>
        </w:tc>
        <w:tc>
          <w:tcPr>
            <w:tcW w:w="180" w:type="dxa"/>
            <w:vAlign w:val="bottom"/>
            <w:shd w:val="clear" w:color="auto" w:fill="CFF0FC"/>
          </w:tcPr>
          <w:p>
            <w:pPr>
              <w:spacing w:after="0"/>
              <w:rPr>
                <w:sz w:val="13"/>
                <w:szCs w:val="13"/>
                <w:color w:val="auto"/>
              </w:rPr>
            </w:pPr>
          </w:p>
        </w:tc>
        <w:tc>
          <w:tcPr>
            <w:tcW w:w="1200" w:type="dxa"/>
            <w:vAlign w:val="bottom"/>
            <w:tcBorders>
              <w:bottom w:val="single" w:sz="8" w:color="auto"/>
            </w:tcBorders>
            <w:shd w:val="clear" w:color="auto" w:fill="CFF0FC"/>
          </w:tcPr>
          <w:p>
            <w:pPr>
              <w:spacing w:after="0"/>
              <w:rPr>
                <w:sz w:val="13"/>
                <w:szCs w:val="13"/>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22,472</w:t>
            </w:r>
          </w:p>
        </w:tc>
        <w:tc>
          <w:tcPr>
            <w:tcW w:w="120" w:type="dxa"/>
            <w:vAlign w:val="bottom"/>
            <w:shd w:val="clear" w:color="auto" w:fill="CFF0FC"/>
          </w:tcPr>
          <w:p>
            <w:pPr>
              <w:spacing w:after="0"/>
              <w:rPr>
                <w:sz w:val="13"/>
                <w:szCs w:val="13"/>
                <w:color w:val="auto"/>
              </w:rPr>
            </w:pPr>
          </w:p>
        </w:tc>
        <w:tc>
          <w:tcPr>
            <w:tcW w:w="72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2"/>
                <w:szCs w:val="12"/>
                <w:color w:val="auto"/>
                <w:w w:val="94"/>
              </w:rPr>
              <w:t>2.9%</w:t>
            </w:r>
          </w:p>
        </w:tc>
        <w:tc>
          <w:tcPr>
            <w:tcW w:w="280" w:type="dxa"/>
            <w:vAlign w:val="bottom"/>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spacing w:after="0"/>
              <w:rPr>
                <w:sz w:val="13"/>
                <w:szCs w:val="13"/>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17,700</w:t>
            </w:r>
          </w:p>
        </w:tc>
        <w:tc>
          <w:tcPr>
            <w:tcW w:w="100" w:type="dxa"/>
            <w:vAlign w:val="bottom"/>
            <w:shd w:val="clear" w:color="auto" w:fill="CFF0FC"/>
          </w:tcPr>
          <w:p>
            <w:pPr>
              <w:spacing w:after="0"/>
              <w:rPr>
                <w:sz w:val="13"/>
                <w:szCs w:val="13"/>
                <w:color w:val="auto"/>
              </w:rPr>
            </w:pPr>
          </w:p>
        </w:tc>
        <w:tc>
          <w:tcPr>
            <w:tcW w:w="74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2"/>
                <w:szCs w:val="12"/>
                <w:color w:val="auto"/>
                <w:w w:val="94"/>
              </w:rPr>
              <w:t>3.7%</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80" w:type="dxa"/>
            <w:vAlign w:val="bottom"/>
          </w:tcPr>
          <w:p>
            <w:pPr>
              <w:ind w:left="300"/>
              <w:spacing w:after="0"/>
              <w:rPr>
                <w:sz w:val="20"/>
                <w:szCs w:val="20"/>
                <w:color w:val="auto"/>
              </w:rPr>
            </w:pPr>
            <w:r>
              <w:rPr>
                <w:rFonts w:ascii="Arial" w:cs="Arial" w:eastAsia="Arial" w:hAnsi="Arial"/>
                <w:sz w:val="12"/>
                <w:szCs w:val="12"/>
                <w:color w:val="auto"/>
              </w:rPr>
              <w:t>Total revenues</w:t>
            </w: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w w:val="92"/>
              </w:rPr>
              <w:t>770,408</w:t>
            </w:r>
          </w:p>
        </w:tc>
        <w:tc>
          <w:tcPr>
            <w:tcW w:w="12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2"/>
                <w:szCs w:val="12"/>
                <w:color w:val="auto"/>
                <w:w w:val="93"/>
              </w:rPr>
              <w:t>100.0%</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tcPr>
          <w:p>
            <w:pPr>
              <w:jc w:val="right"/>
              <w:spacing w:after="0"/>
              <w:rPr>
                <w:sz w:val="20"/>
                <w:szCs w:val="20"/>
                <w:color w:val="auto"/>
              </w:rPr>
            </w:pPr>
            <w:r>
              <w:rPr>
                <w:rFonts w:ascii="Arial" w:cs="Arial" w:eastAsia="Arial" w:hAnsi="Arial"/>
                <w:sz w:val="12"/>
                <w:szCs w:val="12"/>
                <w:color w:val="auto"/>
              </w:rPr>
              <w:t>476,314</w:t>
            </w:r>
          </w:p>
        </w:tc>
        <w:tc>
          <w:tcPr>
            <w:tcW w:w="100" w:type="dxa"/>
            <w:vAlign w:val="bottom"/>
          </w:tcPr>
          <w:p>
            <w:pPr>
              <w:spacing w:after="0"/>
              <w:rPr>
                <w:sz w:val="12"/>
                <w:szCs w:val="12"/>
                <w:color w:val="auto"/>
              </w:rPr>
            </w:pPr>
          </w:p>
        </w:tc>
        <w:tc>
          <w:tcPr>
            <w:tcW w:w="740" w:type="dxa"/>
            <w:vAlign w:val="bottom"/>
          </w:tcPr>
          <w:p>
            <w:pPr>
              <w:jc w:val="center"/>
              <w:spacing w:after="0"/>
              <w:rPr>
                <w:sz w:val="20"/>
                <w:szCs w:val="20"/>
                <w:color w:val="auto"/>
              </w:rPr>
            </w:pPr>
            <w:r>
              <w:rPr>
                <w:rFonts w:ascii="Arial" w:cs="Arial" w:eastAsia="Arial" w:hAnsi="Arial"/>
                <w:sz w:val="12"/>
                <w:szCs w:val="12"/>
                <w:color w:val="auto"/>
                <w:w w:val="93"/>
              </w:rPr>
              <w:t>100.0%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780" w:type="dxa"/>
            <w:vAlign w:val="bottom"/>
            <w:shd w:val="clear" w:color="auto" w:fill="CFF0FC"/>
          </w:tcPr>
          <w:p>
            <w:pPr>
              <w:spacing w:after="0"/>
              <w:rPr>
                <w:sz w:val="20"/>
                <w:szCs w:val="20"/>
                <w:color w:val="auto"/>
              </w:rPr>
            </w:pPr>
            <w:r>
              <w:rPr>
                <w:rFonts w:ascii="Arial" w:cs="Arial" w:eastAsia="Arial" w:hAnsi="Arial"/>
                <w:sz w:val="12"/>
                <w:szCs w:val="12"/>
                <w:b w:val="1"/>
                <w:bCs w:val="1"/>
                <w:color w:val="auto"/>
              </w:rPr>
              <w:t>Costs and Expenses:</w:t>
            </w:r>
          </w:p>
        </w:tc>
        <w:tc>
          <w:tcPr>
            <w:tcW w:w="18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5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780" w:type="dxa"/>
            <w:vAlign w:val="bottom"/>
          </w:tcPr>
          <w:p>
            <w:pPr>
              <w:ind w:left="140"/>
              <w:spacing w:after="0"/>
              <w:rPr>
                <w:sz w:val="20"/>
                <w:szCs w:val="20"/>
                <w:color w:val="auto"/>
              </w:rPr>
            </w:pPr>
            <w:r>
              <w:rPr>
                <w:rFonts w:ascii="Arial" w:cs="Arial" w:eastAsia="Arial" w:hAnsi="Arial"/>
                <w:sz w:val="12"/>
                <w:szCs w:val="12"/>
                <w:color w:val="auto"/>
              </w:rPr>
              <w:t>Interest expense</w:t>
            </w:r>
          </w:p>
        </w:tc>
        <w:tc>
          <w:tcPr>
            <w:tcW w:w="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w w:val="92"/>
              </w:rPr>
              <w:t>275,394</w:t>
            </w:r>
          </w:p>
        </w:tc>
        <w:tc>
          <w:tcPr>
            <w:tcW w:w="12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Arial" w:cs="Arial" w:eastAsia="Arial" w:hAnsi="Arial"/>
                <w:sz w:val="12"/>
                <w:szCs w:val="12"/>
                <w:color w:val="auto"/>
                <w:w w:val="88"/>
              </w:rPr>
              <w:t>35.7%</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Arial" w:cs="Arial" w:eastAsia="Arial" w:hAnsi="Arial"/>
                <w:sz w:val="12"/>
                <w:szCs w:val="12"/>
                <w:color w:val="auto"/>
              </w:rPr>
              <w:t>181,797</w:t>
            </w:r>
          </w:p>
        </w:tc>
        <w:tc>
          <w:tcPr>
            <w:tcW w:w="10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Arial" w:cs="Arial" w:eastAsia="Arial" w:hAnsi="Arial"/>
                <w:sz w:val="12"/>
                <w:szCs w:val="12"/>
                <w:color w:val="auto"/>
                <w:w w:val="88"/>
              </w:rPr>
              <w:t>38.2%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780" w:type="dxa"/>
            <w:vAlign w:val="bottom"/>
            <w:shd w:val="clear" w:color="auto" w:fill="CFF0FC"/>
          </w:tcPr>
          <w:p>
            <w:pPr>
              <w:ind w:left="140"/>
              <w:spacing w:after="0"/>
              <w:rPr>
                <w:sz w:val="20"/>
                <w:szCs w:val="20"/>
                <w:color w:val="auto"/>
              </w:rPr>
            </w:pPr>
            <w:r>
              <w:rPr>
                <w:rFonts w:ascii="Arial" w:cs="Arial" w:eastAsia="Arial" w:hAnsi="Arial"/>
                <w:sz w:val="12"/>
                <w:szCs w:val="12"/>
                <w:color w:val="auto"/>
              </w:rPr>
              <w:t>Depreciation and amortization</w:t>
            </w:r>
          </w:p>
        </w:tc>
        <w:tc>
          <w:tcPr>
            <w:tcW w:w="18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2"/>
              </w:rPr>
              <w:t>375,970</w:t>
            </w: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8"/>
              </w:rPr>
              <w:t>48.8%</w:t>
            </w:r>
          </w:p>
        </w:tc>
        <w:tc>
          <w:tcPr>
            <w:tcW w:w="2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238,748</w:t>
            </w:r>
          </w:p>
        </w:tc>
        <w:tc>
          <w:tcPr>
            <w:tcW w:w="100" w:type="dxa"/>
            <w:vAlign w:val="bottom"/>
            <w:shd w:val="clear" w:color="auto" w:fill="CFF0FC"/>
          </w:tcPr>
          <w:p>
            <w:pPr>
              <w:spacing w:after="0"/>
              <w:rPr>
                <w:sz w:val="13"/>
                <w:szCs w:val="13"/>
                <w:color w:val="auto"/>
              </w:rPr>
            </w:pPr>
          </w:p>
        </w:tc>
        <w:tc>
          <w:tcPr>
            <w:tcW w:w="74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8"/>
              </w:rPr>
              <w:t>50.1%</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780" w:type="dxa"/>
            <w:vAlign w:val="bottom"/>
          </w:tcPr>
          <w:p>
            <w:pPr>
              <w:ind w:left="140"/>
              <w:spacing w:after="0"/>
              <w:rPr>
                <w:sz w:val="20"/>
                <w:szCs w:val="20"/>
                <w:color w:val="auto"/>
              </w:rPr>
            </w:pPr>
            <w:r>
              <w:rPr>
                <w:rFonts w:ascii="Arial" w:cs="Arial" w:eastAsia="Arial" w:hAnsi="Arial"/>
                <w:sz w:val="12"/>
                <w:szCs w:val="12"/>
                <w:color w:val="auto"/>
              </w:rPr>
              <w:t>General and administrative expense</w:t>
            </w:r>
          </w:p>
        </w:tc>
        <w:tc>
          <w:tcPr>
            <w:tcW w:w="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35,402</w:t>
            </w:r>
          </w:p>
        </w:tc>
        <w:tc>
          <w:tcPr>
            <w:tcW w:w="12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Arial" w:cs="Arial" w:eastAsia="Arial" w:hAnsi="Arial"/>
                <w:sz w:val="12"/>
                <w:szCs w:val="12"/>
                <w:color w:val="auto"/>
                <w:w w:val="94"/>
              </w:rPr>
              <w:t>4.6%</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Arial" w:cs="Arial" w:eastAsia="Arial" w:hAnsi="Arial"/>
                <w:sz w:val="12"/>
                <w:szCs w:val="12"/>
                <w:color w:val="auto"/>
              </w:rPr>
              <w:t>11,208</w:t>
            </w:r>
          </w:p>
        </w:tc>
        <w:tc>
          <w:tcPr>
            <w:tcW w:w="10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Arial" w:cs="Arial" w:eastAsia="Arial" w:hAnsi="Arial"/>
                <w:sz w:val="12"/>
                <w:szCs w:val="12"/>
                <w:color w:val="auto"/>
                <w:w w:val="94"/>
              </w:rPr>
              <w:t>2.4%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780" w:type="dxa"/>
            <w:vAlign w:val="bottom"/>
            <w:shd w:val="clear" w:color="auto" w:fill="CFF0FC"/>
          </w:tcPr>
          <w:p>
            <w:pPr>
              <w:ind w:left="140"/>
              <w:spacing w:after="0"/>
              <w:rPr>
                <w:sz w:val="20"/>
                <w:szCs w:val="20"/>
                <w:color w:val="auto"/>
              </w:rPr>
            </w:pPr>
            <w:r>
              <w:rPr>
                <w:rFonts w:ascii="Arial" w:cs="Arial" w:eastAsia="Arial" w:hAnsi="Arial"/>
                <w:sz w:val="12"/>
                <w:szCs w:val="12"/>
                <w:color w:val="auto"/>
              </w:rPr>
              <w:t>Operating expense (exclusive of depreciation and amortization)</w:t>
            </w:r>
          </w:p>
        </w:tc>
        <w:tc>
          <w:tcPr>
            <w:tcW w:w="18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49,668</w:t>
            </w: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94"/>
              </w:rPr>
              <w:t>6.4%</w:t>
            </w:r>
          </w:p>
        </w:tc>
        <w:tc>
          <w:tcPr>
            <w:tcW w:w="2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13,743</w:t>
            </w:r>
          </w:p>
        </w:tc>
        <w:tc>
          <w:tcPr>
            <w:tcW w:w="100" w:type="dxa"/>
            <w:vAlign w:val="bottom"/>
            <w:shd w:val="clear" w:color="auto" w:fill="CFF0FC"/>
          </w:tcPr>
          <w:p>
            <w:pPr>
              <w:spacing w:after="0"/>
              <w:rPr>
                <w:sz w:val="13"/>
                <w:szCs w:val="13"/>
                <w:color w:val="auto"/>
              </w:rPr>
            </w:pPr>
          </w:p>
        </w:tc>
        <w:tc>
          <w:tcPr>
            <w:tcW w:w="74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94"/>
              </w:rPr>
              <w:t>2.9%</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780" w:type="dxa"/>
            <w:vAlign w:val="bottom"/>
          </w:tcPr>
          <w:p>
            <w:pPr>
              <w:ind w:left="140"/>
              <w:spacing w:after="0"/>
              <w:rPr>
                <w:sz w:val="20"/>
                <w:szCs w:val="20"/>
                <w:color w:val="auto"/>
              </w:rPr>
            </w:pPr>
            <w:r>
              <w:rPr>
                <w:rFonts w:ascii="Arial" w:cs="Arial" w:eastAsia="Arial" w:hAnsi="Arial"/>
                <w:sz w:val="12"/>
                <w:szCs w:val="12"/>
                <w:color w:val="auto"/>
              </w:rPr>
              <w:t>Transaction related costs</w:t>
            </w:r>
          </w:p>
        </w:tc>
        <w:tc>
          <w:tcPr>
            <w:tcW w:w="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33,669</w:t>
            </w:r>
          </w:p>
        </w:tc>
        <w:tc>
          <w:tcPr>
            <w:tcW w:w="12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Arial" w:cs="Arial" w:eastAsia="Arial" w:hAnsi="Arial"/>
                <w:sz w:val="12"/>
                <w:szCs w:val="12"/>
                <w:color w:val="auto"/>
                <w:w w:val="94"/>
              </w:rPr>
              <w:t>4.4%</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Arial" w:cs="Arial" w:eastAsia="Arial" w:hAnsi="Arial"/>
                <w:sz w:val="12"/>
                <w:szCs w:val="12"/>
                <w:color w:val="auto"/>
              </w:rPr>
              <w:t>5,210</w:t>
            </w:r>
          </w:p>
        </w:tc>
        <w:tc>
          <w:tcPr>
            <w:tcW w:w="10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Arial" w:cs="Arial" w:eastAsia="Arial" w:hAnsi="Arial"/>
                <w:sz w:val="12"/>
                <w:szCs w:val="12"/>
                <w:color w:val="auto"/>
                <w:w w:val="94"/>
              </w:rPr>
              <w:t>1.1%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780" w:type="dxa"/>
            <w:vAlign w:val="bottom"/>
            <w:shd w:val="clear" w:color="auto" w:fill="CFF0FC"/>
          </w:tcPr>
          <w:p>
            <w:pPr>
              <w:ind w:left="140"/>
              <w:spacing w:after="0"/>
              <w:rPr>
                <w:sz w:val="20"/>
                <w:szCs w:val="20"/>
                <w:color w:val="auto"/>
              </w:rPr>
            </w:pPr>
            <w:r>
              <w:rPr>
                <w:rFonts w:ascii="Arial" w:cs="Arial" w:eastAsia="Arial" w:hAnsi="Arial"/>
                <w:sz w:val="12"/>
                <w:szCs w:val="12"/>
                <w:color w:val="auto"/>
              </w:rPr>
              <w:t>Other expense</w:t>
            </w:r>
          </w:p>
        </w:tc>
        <w:tc>
          <w:tcPr>
            <w:tcW w:w="180" w:type="dxa"/>
            <w:vAlign w:val="bottom"/>
            <w:shd w:val="clear" w:color="auto" w:fill="CFF0FC"/>
          </w:tcPr>
          <w:p>
            <w:pPr>
              <w:spacing w:after="0"/>
              <w:rPr>
                <w:sz w:val="13"/>
                <w:szCs w:val="13"/>
                <w:color w:val="auto"/>
              </w:rPr>
            </w:pPr>
          </w:p>
        </w:tc>
        <w:tc>
          <w:tcPr>
            <w:tcW w:w="1200" w:type="dxa"/>
            <w:vAlign w:val="bottom"/>
            <w:tcBorders>
              <w:bottom w:val="single" w:sz="8" w:color="auto"/>
            </w:tcBorders>
            <w:shd w:val="clear" w:color="auto" w:fill="CFF0FC"/>
          </w:tcPr>
          <w:p>
            <w:pPr>
              <w:spacing w:after="0"/>
              <w:rPr>
                <w:sz w:val="13"/>
                <w:szCs w:val="13"/>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c>
          <w:tcPr>
            <w:tcW w:w="72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2"/>
                <w:szCs w:val="12"/>
                <w:color w:val="auto"/>
                <w:w w:val="94"/>
              </w:rPr>
              <w:t>0.0%</w:t>
            </w:r>
          </w:p>
        </w:tc>
        <w:tc>
          <w:tcPr>
            <w:tcW w:w="280" w:type="dxa"/>
            <w:vAlign w:val="bottom"/>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spacing w:after="0"/>
              <w:rPr>
                <w:sz w:val="13"/>
                <w:szCs w:val="13"/>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3"/>
                <w:szCs w:val="13"/>
                <w:color w:val="auto"/>
              </w:rPr>
            </w:pPr>
          </w:p>
        </w:tc>
        <w:tc>
          <w:tcPr>
            <w:tcW w:w="74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2"/>
                <w:szCs w:val="12"/>
                <w:color w:val="auto"/>
                <w:w w:val="94"/>
              </w:rPr>
              <w:t>0.0%</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80" w:type="dxa"/>
            <w:vAlign w:val="bottom"/>
            <w:tcBorders>
              <w:bottom w:val="single" w:sz="8" w:color="CFF0FC"/>
            </w:tcBorders>
          </w:tcPr>
          <w:p>
            <w:pPr>
              <w:ind w:left="300"/>
              <w:spacing w:after="0"/>
              <w:rPr>
                <w:sz w:val="20"/>
                <w:szCs w:val="20"/>
                <w:color w:val="auto"/>
              </w:rPr>
            </w:pPr>
            <w:r>
              <w:rPr>
                <w:rFonts w:ascii="Arial" w:cs="Arial" w:eastAsia="Arial" w:hAnsi="Arial"/>
                <w:sz w:val="12"/>
                <w:szCs w:val="12"/>
                <w:color w:val="auto"/>
              </w:rPr>
              <w:t>Total costs and expenses</w:t>
            </w:r>
          </w:p>
        </w:tc>
        <w:tc>
          <w:tcPr>
            <w:tcW w:w="180" w:type="dxa"/>
            <w:vAlign w:val="bottom"/>
            <w:tcBorders>
              <w:bottom w:val="single" w:sz="8" w:color="CFF0FC"/>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2"/>
              </w:rPr>
              <w:t>770,103</w:t>
            </w:r>
          </w:p>
        </w:tc>
        <w:tc>
          <w:tcPr>
            <w:tcW w:w="120" w:type="dxa"/>
            <w:vAlign w:val="bottom"/>
            <w:tcBorders>
              <w:bottom w:val="single" w:sz="8" w:color="CFF0FC"/>
            </w:tcBorders>
          </w:tcPr>
          <w:p>
            <w:pPr>
              <w:spacing w:after="0"/>
              <w:rPr>
                <w:sz w:val="12"/>
                <w:szCs w:val="12"/>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3"/>
              </w:rPr>
              <w:t>100.0%</w:t>
            </w:r>
          </w:p>
        </w:tc>
        <w:tc>
          <w:tcPr>
            <w:tcW w:w="280" w:type="dxa"/>
            <w:vAlign w:val="bottom"/>
            <w:tcBorders>
              <w:bottom w:val="single" w:sz="8" w:color="CFF0FC"/>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450,706</w:t>
            </w:r>
          </w:p>
        </w:tc>
        <w:tc>
          <w:tcPr>
            <w:tcW w:w="100" w:type="dxa"/>
            <w:vAlign w:val="bottom"/>
            <w:tcBorders>
              <w:bottom w:val="single" w:sz="8" w:color="CFF0FC"/>
            </w:tcBorders>
          </w:tcPr>
          <w:p>
            <w:pPr>
              <w:spacing w:after="0"/>
              <w:rPr>
                <w:sz w:val="12"/>
                <w:szCs w:val="12"/>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88"/>
              </w:rPr>
              <w:t>94.6%</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7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5780" w:type="dxa"/>
            <w:vAlign w:val="bottom"/>
          </w:tcPr>
          <w:p>
            <w:pPr>
              <w:spacing w:after="0"/>
              <w:rPr>
                <w:sz w:val="20"/>
                <w:szCs w:val="20"/>
                <w:color w:val="auto"/>
              </w:rPr>
            </w:pPr>
            <w:r>
              <w:rPr>
                <w:rFonts w:ascii="Arial" w:cs="Arial" w:eastAsia="Arial" w:hAnsi="Arial"/>
                <w:sz w:val="12"/>
                <w:szCs w:val="12"/>
                <w:b w:val="1"/>
                <w:bCs w:val="1"/>
                <w:color w:val="auto"/>
              </w:rPr>
              <w:t>Income before income taxes</w:t>
            </w:r>
          </w:p>
        </w:tc>
        <w:tc>
          <w:tcPr>
            <w:tcW w:w="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305</w:t>
            </w:r>
          </w:p>
        </w:tc>
        <w:tc>
          <w:tcPr>
            <w:tcW w:w="12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Arial" w:cs="Arial" w:eastAsia="Arial" w:hAnsi="Arial"/>
                <w:sz w:val="12"/>
                <w:szCs w:val="12"/>
                <w:color w:val="auto"/>
                <w:w w:val="94"/>
              </w:rPr>
              <w:t>0.0%</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Arial" w:cs="Arial" w:eastAsia="Arial" w:hAnsi="Arial"/>
                <w:sz w:val="12"/>
                <w:szCs w:val="12"/>
                <w:color w:val="auto"/>
              </w:rPr>
              <w:t>25,608</w:t>
            </w:r>
          </w:p>
        </w:tc>
        <w:tc>
          <w:tcPr>
            <w:tcW w:w="10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Arial" w:cs="Arial" w:eastAsia="Arial" w:hAnsi="Arial"/>
                <w:sz w:val="12"/>
                <w:szCs w:val="12"/>
                <w:color w:val="auto"/>
                <w:w w:val="94"/>
              </w:rPr>
              <w:t>5.4%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780" w:type="dxa"/>
            <w:vAlign w:val="bottom"/>
            <w:shd w:val="clear" w:color="auto" w:fill="CFF0FC"/>
          </w:tcPr>
          <w:p>
            <w:pPr>
              <w:ind w:left="140"/>
              <w:spacing w:after="0"/>
              <w:rPr>
                <w:sz w:val="20"/>
                <w:szCs w:val="20"/>
                <w:color w:val="auto"/>
              </w:rPr>
            </w:pPr>
            <w:r>
              <w:rPr>
                <w:rFonts w:ascii="Arial" w:cs="Arial" w:eastAsia="Arial" w:hAnsi="Arial"/>
                <w:sz w:val="12"/>
                <w:szCs w:val="12"/>
                <w:color w:val="auto"/>
              </w:rPr>
              <w:t>Income tax expense</w:t>
            </w:r>
          </w:p>
        </w:tc>
        <w:tc>
          <w:tcPr>
            <w:tcW w:w="180" w:type="dxa"/>
            <w:vAlign w:val="bottom"/>
            <w:shd w:val="clear" w:color="auto" w:fill="CFF0FC"/>
          </w:tcPr>
          <w:p>
            <w:pPr>
              <w:spacing w:after="0"/>
              <w:rPr>
                <w:sz w:val="13"/>
                <w:szCs w:val="13"/>
                <w:color w:val="auto"/>
              </w:rPr>
            </w:pPr>
          </w:p>
        </w:tc>
        <w:tc>
          <w:tcPr>
            <w:tcW w:w="1200" w:type="dxa"/>
            <w:vAlign w:val="bottom"/>
            <w:tcBorders>
              <w:bottom w:val="single" w:sz="8" w:color="auto"/>
            </w:tcBorders>
            <w:shd w:val="clear" w:color="auto" w:fill="CFF0FC"/>
          </w:tcPr>
          <w:p>
            <w:pPr>
              <w:spacing w:after="0"/>
              <w:rPr>
                <w:sz w:val="13"/>
                <w:szCs w:val="13"/>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517</w:t>
            </w:r>
          </w:p>
        </w:tc>
        <w:tc>
          <w:tcPr>
            <w:tcW w:w="120" w:type="dxa"/>
            <w:vAlign w:val="bottom"/>
            <w:shd w:val="clear" w:color="auto" w:fill="CFF0FC"/>
          </w:tcPr>
          <w:p>
            <w:pPr>
              <w:spacing w:after="0"/>
              <w:rPr>
                <w:sz w:val="13"/>
                <w:szCs w:val="13"/>
                <w:color w:val="auto"/>
              </w:rPr>
            </w:pPr>
          </w:p>
        </w:tc>
        <w:tc>
          <w:tcPr>
            <w:tcW w:w="72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2"/>
                <w:szCs w:val="12"/>
                <w:color w:val="auto"/>
                <w:w w:val="94"/>
              </w:rPr>
              <w:t>0.1%</w:t>
            </w:r>
          </w:p>
        </w:tc>
        <w:tc>
          <w:tcPr>
            <w:tcW w:w="280" w:type="dxa"/>
            <w:vAlign w:val="bottom"/>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spacing w:after="0"/>
              <w:rPr>
                <w:sz w:val="13"/>
                <w:szCs w:val="13"/>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738</w:t>
            </w:r>
          </w:p>
        </w:tc>
        <w:tc>
          <w:tcPr>
            <w:tcW w:w="100" w:type="dxa"/>
            <w:vAlign w:val="bottom"/>
            <w:shd w:val="clear" w:color="auto" w:fill="CFF0FC"/>
          </w:tcPr>
          <w:p>
            <w:pPr>
              <w:spacing w:after="0"/>
              <w:rPr>
                <w:sz w:val="13"/>
                <w:szCs w:val="13"/>
                <w:color w:val="auto"/>
              </w:rPr>
            </w:pPr>
          </w:p>
        </w:tc>
        <w:tc>
          <w:tcPr>
            <w:tcW w:w="74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2"/>
                <w:szCs w:val="12"/>
                <w:color w:val="auto"/>
                <w:w w:val="94"/>
              </w:rPr>
              <w:t>0.2%</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800" w:type="dxa"/>
            <w:vAlign w:val="bottom"/>
            <w:gridSpan w:val="2"/>
          </w:tcPr>
          <w:p>
            <w:pPr>
              <w:spacing w:after="0"/>
              <w:rPr>
                <w:sz w:val="20"/>
                <w:szCs w:val="20"/>
                <w:color w:val="auto"/>
              </w:rPr>
            </w:pPr>
            <w:r>
              <w:rPr>
                <w:rFonts w:ascii="Arial" w:cs="Arial" w:eastAsia="Arial" w:hAnsi="Arial"/>
                <w:sz w:val="12"/>
                <w:szCs w:val="12"/>
                <w:b w:val="1"/>
                <w:bCs w:val="1"/>
                <w:color w:val="auto"/>
              </w:rPr>
              <w:t>Net (loss) income</w:t>
            </w: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2"/>
                <w:szCs w:val="12"/>
                <w:color w:val="auto"/>
              </w:rPr>
              <w:t>(212)</w:t>
            </w:r>
          </w:p>
        </w:tc>
        <w:tc>
          <w:tcPr>
            <w:tcW w:w="720" w:type="dxa"/>
            <w:vAlign w:val="bottom"/>
          </w:tcPr>
          <w:p>
            <w:pPr>
              <w:jc w:val="center"/>
              <w:spacing w:after="0"/>
              <w:rPr>
                <w:sz w:val="20"/>
                <w:szCs w:val="20"/>
                <w:color w:val="auto"/>
              </w:rPr>
            </w:pPr>
            <w:r>
              <w:rPr>
                <w:rFonts w:ascii="Arial" w:cs="Arial" w:eastAsia="Arial" w:hAnsi="Arial"/>
                <w:sz w:val="12"/>
                <w:szCs w:val="12"/>
                <w:color w:val="auto"/>
                <w:w w:val="96"/>
              </w:rPr>
              <w:t>(0.0%)</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tcPr>
          <w:p>
            <w:pPr>
              <w:jc w:val="right"/>
              <w:spacing w:after="0"/>
              <w:rPr>
                <w:sz w:val="20"/>
                <w:szCs w:val="20"/>
                <w:color w:val="auto"/>
              </w:rPr>
            </w:pPr>
            <w:r>
              <w:rPr>
                <w:rFonts w:ascii="Arial" w:cs="Arial" w:eastAsia="Arial" w:hAnsi="Arial"/>
                <w:sz w:val="12"/>
                <w:szCs w:val="12"/>
                <w:color w:val="auto"/>
              </w:rPr>
              <w:t>24,870</w:t>
            </w:r>
          </w:p>
        </w:tc>
        <w:tc>
          <w:tcPr>
            <w:tcW w:w="100" w:type="dxa"/>
            <w:vAlign w:val="bottom"/>
          </w:tcPr>
          <w:p>
            <w:pPr>
              <w:spacing w:after="0"/>
              <w:rPr>
                <w:sz w:val="12"/>
                <w:szCs w:val="12"/>
                <w:color w:val="auto"/>
              </w:rPr>
            </w:pPr>
          </w:p>
        </w:tc>
        <w:tc>
          <w:tcPr>
            <w:tcW w:w="740" w:type="dxa"/>
            <w:vAlign w:val="bottom"/>
          </w:tcPr>
          <w:p>
            <w:pPr>
              <w:jc w:val="center"/>
              <w:spacing w:after="0"/>
              <w:rPr>
                <w:sz w:val="20"/>
                <w:szCs w:val="20"/>
                <w:color w:val="auto"/>
              </w:rPr>
            </w:pPr>
            <w:r>
              <w:rPr>
                <w:rFonts w:ascii="Arial" w:cs="Arial" w:eastAsia="Arial" w:hAnsi="Arial"/>
                <w:sz w:val="12"/>
                <w:szCs w:val="12"/>
                <w:color w:val="auto"/>
                <w:w w:val="94"/>
              </w:rPr>
              <w:t>5.2%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780" w:type="dxa"/>
            <w:vAlign w:val="bottom"/>
            <w:shd w:val="clear" w:color="auto" w:fill="CFF0FC"/>
          </w:tcPr>
          <w:p>
            <w:pPr>
              <w:ind w:left="140"/>
              <w:spacing w:after="0"/>
              <w:rPr>
                <w:sz w:val="20"/>
                <w:szCs w:val="20"/>
                <w:color w:val="auto"/>
              </w:rPr>
            </w:pPr>
            <w:r>
              <w:rPr>
                <w:rFonts w:ascii="Arial" w:cs="Arial" w:eastAsia="Arial" w:hAnsi="Arial"/>
                <w:sz w:val="12"/>
                <w:szCs w:val="12"/>
                <w:color w:val="auto"/>
              </w:rPr>
              <w:t>Participating securities' share in earnings</w:t>
            </w:r>
          </w:p>
        </w:tc>
        <w:tc>
          <w:tcPr>
            <w:tcW w:w="18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5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(1,557)</w:t>
            </w:r>
          </w:p>
        </w:tc>
        <w:tc>
          <w:tcPr>
            <w:tcW w:w="72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96"/>
              </w:rPr>
              <w:t>(0.2%)</w:t>
            </w:r>
          </w:p>
        </w:tc>
        <w:tc>
          <w:tcPr>
            <w:tcW w:w="2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66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(1,152)</w:t>
            </w:r>
          </w:p>
        </w:tc>
        <w:tc>
          <w:tcPr>
            <w:tcW w:w="74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96"/>
              </w:rPr>
              <w:t>(0.2%)</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780" w:type="dxa"/>
            <w:vAlign w:val="bottom"/>
          </w:tcPr>
          <w:p>
            <w:pPr>
              <w:ind w:left="140"/>
              <w:spacing w:after="0"/>
              <w:rPr>
                <w:sz w:val="20"/>
                <w:szCs w:val="20"/>
                <w:color w:val="auto"/>
              </w:rPr>
            </w:pPr>
            <w:r>
              <w:rPr>
                <w:rFonts w:ascii="Arial" w:cs="Arial" w:eastAsia="Arial" w:hAnsi="Arial"/>
                <w:sz w:val="12"/>
                <w:szCs w:val="12"/>
                <w:color w:val="auto"/>
              </w:rPr>
              <w:t>Dividends declared on convertible preferred stock</w:t>
            </w:r>
          </w:p>
        </w:tc>
        <w:tc>
          <w:tcPr>
            <w:tcW w:w="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2"/>
                <w:szCs w:val="12"/>
                <w:color w:val="auto"/>
              </w:rPr>
              <w:t>(1,743)</w:t>
            </w:r>
          </w:p>
        </w:tc>
        <w:tc>
          <w:tcPr>
            <w:tcW w:w="720" w:type="dxa"/>
            <w:vAlign w:val="bottom"/>
          </w:tcPr>
          <w:p>
            <w:pPr>
              <w:jc w:val="center"/>
              <w:spacing w:after="0"/>
              <w:rPr>
                <w:sz w:val="20"/>
                <w:szCs w:val="20"/>
                <w:color w:val="auto"/>
              </w:rPr>
            </w:pPr>
            <w:r>
              <w:rPr>
                <w:rFonts w:ascii="Arial" w:cs="Arial" w:eastAsia="Arial" w:hAnsi="Arial"/>
                <w:sz w:val="12"/>
                <w:szCs w:val="12"/>
                <w:color w:val="auto"/>
                <w:w w:val="96"/>
              </w:rPr>
              <w:t>(0.2%)</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Arial" w:cs="Arial" w:eastAsia="Arial" w:hAnsi="Arial"/>
                <w:sz w:val="12"/>
                <w:szCs w:val="12"/>
                <w:color w:val="auto"/>
                <w:w w:val="94"/>
              </w:rPr>
              <w:t>0.0%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780" w:type="dxa"/>
            <w:vAlign w:val="bottom"/>
            <w:shd w:val="clear" w:color="auto" w:fill="CFF0FC"/>
          </w:tcPr>
          <w:p>
            <w:pPr>
              <w:ind w:left="140"/>
              <w:spacing w:after="0"/>
              <w:rPr>
                <w:sz w:val="20"/>
                <w:szCs w:val="20"/>
                <w:color w:val="auto"/>
              </w:rPr>
            </w:pPr>
            <w:r>
              <w:rPr>
                <w:rFonts w:ascii="Arial" w:cs="Arial" w:eastAsia="Arial" w:hAnsi="Arial"/>
                <w:sz w:val="12"/>
                <w:szCs w:val="12"/>
                <w:color w:val="auto"/>
              </w:rPr>
              <w:t>Amortization of discount on convertible preferred stock</w:t>
            </w:r>
          </w:p>
        </w:tc>
        <w:tc>
          <w:tcPr>
            <w:tcW w:w="18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5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(1,985)</w:t>
            </w:r>
          </w:p>
        </w:tc>
        <w:tc>
          <w:tcPr>
            <w:tcW w:w="72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96"/>
              </w:rPr>
              <w:t>(0.3%)</w:t>
            </w:r>
          </w:p>
        </w:tc>
        <w:tc>
          <w:tcPr>
            <w:tcW w:w="2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3"/>
                <w:szCs w:val="13"/>
                <w:color w:val="auto"/>
              </w:rPr>
            </w:pPr>
          </w:p>
        </w:tc>
        <w:tc>
          <w:tcPr>
            <w:tcW w:w="74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94"/>
              </w:rPr>
              <w:t>0.0%</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8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Net (loss) income attributable to common shareholders</w:t>
            </w:r>
          </w:p>
        </w:tc>
        <w:tc>
          <w:tcPr>
            <w:tcW w:w="18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800" w:type="dxa"/>
            <w:vAlign w:val="bottom"/>
            <w:gridSpan w:val="2"/>
            <w:vMerge w:val="continue"/>
          </w:tcPr>
          <w:p>
            <w:pPr>
              <w:spacing w:after="0"/>
              <w:rPr>
                <w:sz w:val="12"/>
                <w:szCs w:val="12"/>
                <w:color w:val="auto"/>
              </w:rPr>
            </w:pPr>
          </w:p>
        </w:tc>
        <w:tc>
          <w:tcPr>
            <w:tcW w:w="1380" w:type="dxa"/>
            <w:vAlign w:val="bottom"/>
            <w:gridSpan w:val="2"/>
          </w:tcPr>
          <w:p>
            <w:pPr>
              <w:jc w:val="right"/>
              <w:ind w:right="1092"/>
              <w:spacing w:after="0"/>
              <w:rPr>
                <w:sz w:val="20"/>
                <w:szCs w:val="20"/>
                <w:color w:val="auto"/>
              </w:rPr>
            </w:pPr>
            <w:r>
              <w:rPr>
                <w:rFonts w:ascii="Arial" w:cs="Arial" w:eastAsia="Arial" w:hAnsi="Arial"/>
                <w:sz w:val="12"/>
                <w:szCs w:val="12"/>
                <w:color w:val="auto"/>
              </w:rPr>
              <w:t>$</w:t>
            </w:r>
          </w:p>
        </w:tc>
        <w:tc>
          <w:tcPr>
            <w:tcW w:w="540" w:type="dxa"/>
            <w:vAlign w:val="bottom"/>
            <w:gridSpan w:val="2"/>
          </w:tcPr>
          <w:p>
            <w:pPr>
              <w:jc w:val="right"/>
              <w:ind w:right="80"/>
              <w:spacing w:after="0"/>
              <w:rPr>
                <w:sz w:val="20"/>
                <w:szCs w:val="20"/>
                <w:color w:val="auto"/>
              </w:rPr>
            </w:pPr>
            <w:r>
              <w:rPr>
                <w:rFonts w:ascii="Arial" w:cs="Arial" w:eastAsia="Arial" w:hAnsi="Arial"/>
                <w:sz w:val="12"/>
                <w:szCs w:val="12"/>
                <w:color w:val="auto"/>
              </w:rPr>
              <w:t>(5,497)</w:t>
            </w:r>
          </w:p>
        </w:tc>
        <w:tc>
          <w:tcPr>
            <w:tcW w:w="720" w:type="dxa"/>
            <w:vAlign w:val="bottom"/>
          </w:tcPr>
          <w:p>
            <w:pPr>
              <w:jc w:val="center"/>
              <w:spacing w:after="0"/>
              <w:rPr>
                <w:sz w:val="20"/>
                <w:szCs w:val="20"/>
                <w:color w:val="auto"/>
              </w:rPr>
            </w:pPr>
            <w:r>
              <w:rPr>
                <w:rFonts w:ascii="Arial" w:cs="Arial" w:eastAsia="Arial" w:hAnsi="Arial"/>
                <w:sz w:val="12"/>
                <w:szCs w:val="12"/>
                <w:color w:val="auto"/>
                <w:w w:val="96"/>
              </w:rPr>
              <w:t>(0.7%)</w:t>
            </w:r>
          </w:p>
        </w:tc>
        <w:tc>
          <w:tcPr>
            <w:tcW w:w="5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560" w:type="dxa"/>
            <w:vAlign w:val="bottom"/>
          </w:tcPr>
          <w:p>
            <w:pPr>
              <w:jc w:val="right"/>
              <w:spacing w:after="0"/>
              <w:rPr>
                <w:sz w:val="20"/>
                <w:szCs w:val="20"/>
                <w:color w:val="auto"/>
              </w:rPr>
            </w:pPr>
            <w:r>
              <w:rPr>
                <w:rFonts w:ascii="Arial" w:cs="Arial" w:eastAsia="Arial" w:hAnsi="Arial"/>
                <w:sz w:val="12"/>
                <w:szCs w:val="12"/>
                <w:color w:val="auto"/>
              </w:rPr>
              <w:t>23,718</w:t>
            </w:r>
          </w:p>
        </w:tc>
        <w:tc>
          <w:tcPr>
            <w:tcW w:w="100" w:type="dxa"/>
            <w:vAlign w:val="bottom"/>
          </w:tcPr>
          <w:p>
            <w:pPr>
              <w:spacing w:after="0"/>
              <w:rPr>
                <w:sz w:val="12"/>
                <w:szCs w:val="12"/>
                <w:color w:val="auto"/>
              </w:rPr>
            </w:pPr>
          </w:p>
        </w:tc>
        <w:tc>
          <w:tcPr>
            <w:tcW w:w="740" w:type="dxa"/>
            <w:vAlign w:val="bottom"/>
          </w:tcPr>
          <w:p>
            <w:pPr>
              <w:jc w:val="center"/>
              <w:spacing w:after="0"/>
              <w:rPr>
                <w:sz w:val="20"/>
                <w:szCs w:val="20"/>
                <w:color w:val="auto"/>
              </w:rPr>
            </w:pPr>
            <w:r>
              <w:rPr>
                <w:rFonts w:ascii="Arial" w:cs="Arial" w:eastAsia="Arial" w:hAnsi="Arial"/>
                <w:sz w:val="12"/>
                <w:szCs w:val="12"/>
                <w:color w:val="auto"/>
                <w:w w:val="94"/>
              </w:rPr>
              <w:t>5.0%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51"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sets forth, for the year ended December 31, 2016 and for the period from April 24, 2015 to December 31, 2015, revenues and Adjusted EBITDA of our reportable segments:</w:t>
      </w:r>
    </w:p>
    <w:p>
      <w:pPr>
        <w:spacing w:after="0" w:line="222" w:lineRule="exact"/>
        <w:rPr>
          <w:sz w:val="20"/>
          <w:szCs w:val="20"/>
          <w:color w:val="auto"/>
        </w:rPr>
      </w:pPr>
    </w:p>
    <w:p>
      <w:pPr>
        <w:ind w:left="5680"/>
        <w:spacing w:after="0"/>
        <w:rPr>
          <w:sz w:val="20"/>
          <w:szCs w:val="20"/>
          <w:color w:val="auto"/>
        </w:rPr>
      </w:pPr>
      <w:r>
        <w:rPr>
          <w:rFonts w:ascii="Arial" w:cs="Arial" w:eastAsia="Arial" w:hAnsi="Arial"/>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35" w:name="page36"/>
    <w:bookmarkEnd w:id="35"/>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gridSpan w:val="7"/>
          </w:tcPr>
          <w:p>
            <w:pPr>
              <w:spacing w:after="0"/>
              <w:rPr>
                <w:sz w:val="20"/>
                <w:szCs w:val="20"/>
                <w:color w:val="auto"/>
              </w:rPr>
            </w:pPr>
            <w:r>
              <w:rPr>
                <w:rFonts w:ascii="Arial" w:cs="Arial" w:eastAsia="Arial" w:hAnsi="Arial"/>
                <w:sz w:val="10"/>
                <w:szCs w:val="10"/>
                <w:b w:val="1"/>
                <w:bCs w:val="1"/>
                <w:color w:val="auto"/>
                <w:w w:val="87"/>
              </w:rPr>
              <w:t>Year Ended December 31, 2016</w:t>
            </w:r>
          </w:p>
        </w:tc>
        <w:tc>
          <w:tcPr>
            <w:tcW w:w="1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r>
      <w:tr>
        <w:trPr>
          <w:trHeight w:val="83"/>
        </w:trPr>
        <w:tc>
          <w:tcPr>
            <w:tcW w:w="406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tcPr>
          <w:p>
            <w:pPr>
              <w:jc w:val="right"/>
              <w:ind w:right="21"/>
              <w:spacing w:after="0" w:line="83" w:lineRule="exact"/>
              <w:rPr>
                <w:sz w:val="20"/>
                <w:szCs w:val="20"/>
                <w:color w:val="auto"/>
              </w:rPr>
            </w:pPr>
            <w:r>
              <w:rPr>
                <w:rFonts w:ascii="Arial" w:cs="Arial" w:eastAsia="Arial" w:hAnsi="Arial"/>
                <w:sz w:val="8"/>
                <w:szCs w:val="8"/>
                <w:b w:val="1"/>
                <w:bCs w:val="1"/>
                <w:color w:val="auto"/>
              </w:rPr>
              <w:t>Total of Reportable</w:t>
            </w:r>
          </w:p>
        </w:tc>
        <w:tc>
          <w:tcPr>
            <w:tcW w:w="220" w:type="dxa"/>
            <w:vAlign w:val="bottom"/>
          </w:tcPr>
          <w:p>
            <w:pPr>
              <w:spacing w:after="0"/>
              <w:rPr>
                <w:sz w:val="7"/>
                <w:szCs w:val="7"/>
                <w:color w:val="auto"/>
              </w:rPr>
            </w:pPr>
          </w:p>
        </w:tc>
      </w:tr>
      <w:tr>
        <w:trPr>
          <w:trHeight w:val="114"/>
        </w:trPr>
        <w:tc>
          <w:tcPr>
            <w:tcW w:w="4060" w:type="dxa"/>
            <w:vAlign w:val="bottom"/>
            <w:tcBorders>
              <w:bottom w:val="single" w:sz="8" w:color="auto"/>
            </w:tcBorders>
          </w:tcPr>
          <w:p>
            <w:pPr>
              <w:spacing w:after="0" w:line="114" w:lineRule="exact"/>
              <w:rPr>
                <w:sz w:val="20"/>
                <w:szCs w:val="20"/>
                <w:color w:val="auto"/>
              </w:rPr>
            </w:pPr>
            <w:r>
              <w:rPr>
                <w:rFonts w:ascii="Arial" w:cs="Arial" w:eastAsia="Arial" w:hAnsi="Arial"/>
                <w:sz w:val="10"/>
                <w:szCs w:val="10"/>
                <w:color w:val="auto"/>
              </w:rPr>
              <w:t>(Thousands)</w:t>
            </w:r>
          </w:p>
        </w:tc>
        <w:tc>
          <w:tcPr>
            <w:tcW w:w="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0" w:type="dxa"/>
            <w:vAlign w:val="bottom"/>
            <w:tcBorders>
              <w:bottom w:val="single" w:sz="8" w:color="CFF0FC"/>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gridSpan w:val="2"/>
          </w:tcPr>
          <w:p>
            <w:pPr>
              <w:ind w:left="220"/>
              <w:spacing w:after="0" w:line="114" w:lineRule="exact"/>
              <w:rPr>
                <w:sz w:val="20"/>
                <w:szCs w:val="20"/>
                <w:color w:val="auto"/>
              </w:rPr>
            </w:pPr>
            <w:r>
              <w:rPr>
                <w:rFonts w:ascii="Arial" w:cs="Arial" w:eastAsia="Arial" w:hAnsi="Arial"/>
                <w:sz w:val="10"/>
                <w:szCs w:val="10"/>
                <w:b w:val="1"/>
                <w:bCs w:val="1"/>
                <w:color w:val="auto"/>
              </w:rPr>
              <w:t>Leasing</w:t>
            </w:r>
          </w:p>
        </w:tc>
        <w:tc>
          <w:tcPr>
            <w:tcW w:w="80" w:type="dxa"/>
            <w:vAlign w:val="bottom"/>
            <w:tcBorders>
              <w:bottom w:val="single" w:sz="8" w:color="CFF0FC"/>
            </w:tcBorders>
          </w:tcPr>
          <w:p>
            <w:pPr>
              <w:spacing w:after="0"/>
              <w:rPr>
                <w:sz w:val="9"/>
                <w:szCs w:val="9"/>
                <w:color w:val="auto"/>
              </w:rPr>
            </w:pPr>
          </w:p>
        </w:tc>
        <w:tc>
          <w:tcPr>
            <w:tcW w:w="180" w:type="dxa"/>
            <w:vAlign w:val="bottom"/>
            <w:tcBorders>
              <w:bottom w:val="single" w:sz="8" w:color="CFF0FC"/>
            </w:tcBorders>
          </w:tcPr>
          <w:p>
            <w:pPr>
              <w:spacing w:after="0"/>
              <w:rPr>
                <w:sz w:val="9"/>
                <w:szCs w:val="9"/>
                <w:color w:val="auto"/>
              </w:rPr>
            </w:pPr>
          </w:p>
        </w:tc>
        <w:tc>
          <w:tcPr>
            <w:tcW w:w="1120" w:type="dxa"/>
            <w:vAlign w:val="bottom"/>
            <w:tcBorders>
              <w:bottom w:val="single" w:sz="8" w:color="auto"/>
            </w:tcBorders>
            <w:gridSpan w:val="3"/>
          </w:tcPr>
          <w:p>
            <w:pPr>
              <w:jc w:val="right"/>
              <w:ind w:right="100"/>
              <w:spacing w:after="0" w:line="114" w:lineRule="exact"/>
              <w:rPr>
                <w:sz w:val="20"/>
                <w:szCs w:val="20"/>
                <w:color w:val="auto"/>
              </w:rPr>
            </w:pPr>
            <w:r>
              <w:rPr>
                <w:rFonts w:ascii="Arial" w:cs="Arial" w:eastAsia="Arial" w:hAnsi="Arial"/>
                <w:sz w:val="10"/>
                <w:szCs w:val="10"/>
                <w:b w:val="1"/>
                <w:bCs w:val="1"/>
                <w:color w:val="auto"/>
              </w:rPr>
              <w:t>Fiber Infrastructure</w:t>
            </w:r>
          </w:p>
        </w:tc>
        <w:tc>
          <w:tcPr>
            <w:tcW w:w="100" w:type="dxa"/>
            <w:vAlign w:val="bottom"/>
            <w:tcBorders>
              <w:bottom w:val="single" w:sz="8" w:color="auto"/>
            </w:tcBorders>
          </w:tcPr>
          <w:p>
            <w:pPr>
              <w:spacing w:after="0"/>
              <w:rPr>
                <w:sz w:val="9"/>
                <w:szCs w:val="9"/>
                <w:color w:val="auto"/>
              </w:rPr>
            </w:pPr>
          </w:p>
        </w:tc>
        <w:tc>
          <w:tcPr>
            <w:tcW w:w="260" w:type="dxa"/>
            <w:vAlign w:val="bottom"/>
            <w:tcBorders>
              <w:bottom w:val="single" w:sz="8" w:color="CFF0FC"/>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gridSpan w:val="3"/>
          </w:tcPr>
          <w:p>
            <w:pPr>
              <w:jc w:val="right"/>
              <w:ind w:right="185"/>
              <w:spacing w:after="0" w:line="114" w:lineRule="exact"/>
              <w:rPr>
                <w:sz w:val="20"/>
                <w:szCs w:val="20"/>
                <w:color w:val="auto"/>
              </w:rPr>
            </w:pPr>
            <w:r>
              <w:rPr>
                <w:rFonts w:ascii="Arial" w:cs="Arial" w:eastAsia="Arial" w:hAnsi="Arial"/>
                <w:sz w:val="10"/>
                <w:szCs w:val="10"/>
                <w:b w:val="1"/>
                <w:bCs w:val="1"/>
                <w:color w:val="auto"/>
              </w:rPr>
              <w:t>Towers</w:t>
            </w:r>
          </w:p>
        </w:tc>
        <w:tc>
          <w:tcPr>
            <w:tcW w:w="120" w:type="dxa"/>
            <w:vAlign w:val="bottom"/>
            <w:tcBorders>
              <w:bottom w:val="single" w:sz="8" w:color="CFF0FC"/>
            </w:tcBorders>
          </w:tcPr>
          <w:p>
            <w:pPr>
              <w:spacing w:after="0"/>
              <w:rPr>
                <w:sz w:val="9"/>
                <w:szCs w:val="9"/>
                <w:color w:val="auto"/>
              </w:rPr>
            </w:pPr>
          </w:p>
        </w:tc>
        <w:tc>
          <w:tcPr>
            <w:tcW w:w="220" w:type="dxa"/>
            <w:vAlign w:val="bottom"/>
            <w:tcBorders>
              <w:bottom w:val="single" w:sz="8" w:color="CFF0FC"/>
            </w:tcBorders>
          </w:tcPr>
          <w:p>
            <w:pPr>
              <w:spacing w:after="0"/>
              <w:rPr>
                <w:sz w:val="9"/>
                <w:szCs w:val="9"/>
                <w:color w:val="auto"/>
              </w:rPr>
            </w:pPr>
          </w:p>
        </w:tc>
        <w:tc>
          <w:tcPr>
            <w:tcW w:w="900" w:type="dxa"/>
            <w:vAlign w:val="bottom"/>
            <w:tcBorders>
              <w:bottom w:val="single" w:sz="8" w:color="auto"/>
            </w:tcBorders>
            <w:gridSpan w:val="4"/>
          </w:tcPr>
          <w:p>
            <w:pPr>
              <w:jc w:val="right"/>
              <w:ind w:right="52"/>
              <w:spacing w:after="0" w:line="114" w:lineRule="exact"/>
              <w:rPr>
                <w:sz w:val="20"/>
                <w:szCs w:val="20"/>
                <w:color w:val="auto"/>
              </w:rPr>
            </w:pPr>
            <w:r>
              <w:rPr>
                <w:rFonts w:ascii="Arial" w:cs="Arial" w:eastAsia="Arial" w:hAnsi="Arial"/>
                <w:sz w:val="10"/>
                <w:szCs w:val="10"/>
                <w:b w:val="1"/>
                <w:bCs w:val="1"/>
                <w:color w:val="auto"/>
                <w:w w:val="98"/>
              </w:rPr>
              <w:t>Consumer CLEC</w:t>
            </w:r>
          </w:p>
        </w:tc>
        <w:tc>
          <w:tcPr>
            <w:tcW w:w="80" w:type="dxa"/>
            <w:vAlign w:val="bottom"/>
            <w:tcBorders>
              <w:bottom w:val="single" w:sz="8" w:color="CFF0FC"/>
            </w:tcBorders>
          </w:tcPr>
          <w:p>
            <w:pPr>
              <w:spacing w:after="0"/>
              <w:rPr>
                <w:sz w:val="9"/>
                <w:szCs w:val="9"/>
                <w:color w:val="auto"/>
              </w:rPr>
            </w:pPr>
          </w:p>
        </w:tc>
        <w:tc>
          <w:tcPr>
            <w:tcW w:w="180" w:type="dxa"/>
            <w:vAlign w:val="bottom"/>
            <w:tcBorders>
              <w:bottom w:val="single" w:sz="8" w:color="CFF0FC"/>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gridSpan w:val="3"/>
          </w:tcPr>
          <w:p>
            <w:pPr>
              <w:jc w:val="right"/>
              <w:ind w:right="192"/>
              <w:spacing w:after="0" w:line="114" w:lineRule="exact"/>
              <w:rPr>
                <w:sz w:val="20"/>
                <w:szCs w:val="20"/>
                <w:color w:val="auto"/>
              </w:rPr>
            </w:pPr>
            <w:r>
              <w:rPr>
                <w:rFonts w:ascii="Arial" w:cs="Arial" w:eastAsia="Arial" w:hAnsi="Arial"/>
                <w:sz w:val="10"/>
                <w:szCs w:val="10"/>
                <w:b w:val="1"/>
                <w:bCs w:val="1"/>
                <w:color w:val="auto"/>
                <w:w w:val="91"/>
              </w:rPr>
              <w:t>Corporate</w:t>
            </w:r>
          </w:p>
        </w:tc>
        <w:tc>
          <w:tcPr>
            <w:tcW w:w="100" w:type="dxa"/>
            <w:vAlign w:val="bottom"/>
            <w:tcBorders>
              <w:bottom w:val="single" w:sz="8" w:color="CFF0FC"/>
            </w:tcBorders>
          </w:tcPr>
          <w:p>
            <w:pPr>
              <w:spacing w:after="0"/>
              <w:rPr>
                <w:sz w:val="9"/>
                <w:szCs w:val="9"/>
                <w:color w:val="auto"/>
              </w:rPr>
            </w:pPr>
          </w:p>
        </w:tc>
        <w:tc>
          <w:tcPr>
            <w:tcW w:w="40" w:type="dxa"/>
            <w:vAlign w:val="bottom"/>
            <w:tcBorders>
              <w:bottom w:val="single" w:sz="8" w:color="CFF0FC"/>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jc w:val="right"/>
              <w:ind w:right="221"/>
              <w:spacing w:after="0" w:line="114" w:lineRule="exact"/>
              <w:rPr>
                <w:sz w:val="20"/>
                <w:szCs w:val="20"/>
                <w:color w:val="auto"/>
              </w:rPr>
            </w:pPr>
            <w:r>
              <w:rPr>
                <w:rFonts w:ascii="Arial" w:cs="Arial" w:eastAsia="Arial" w:hAnsi="Arial"/>
                <w:sz w:val="10"/>
                <w:szCs w:val="10"/>
                <w:b w:val="1"/>
                <w:bCs w:val="1"/>
                <w:color w:val="auto"/>
              </w:rPr>
              <w:t>Segments</w:t>
            </w:r>
          </w:p>
        </w:tc>
        <w:tc>
          <w:tcPr>
            <w:tcW w:w="220" w:type="dxa"/>
            <w:vAlign w:val="bottom"/>
            <w:tcBorders>
              <w:bottom w:val="single" w:sz="8" w:color="CFF0FC"/>
            </w:tcBorders>
          </w:tcPr>
          <w:p>
            <w:pPr>
              <w:spacing w:after="0"/>
              <w:rPr>
                <w:sz w:val="9"/>
                <w:szCs w:val="9"/>
                <w:color w:val="auto"/>
              </w:rPr>
            </w:pPr>
          </w:p>
        </w:tc>
      </w:tr>
      <w:tr>
        <w:trPr>
          <w:trHeight w:val="142"/>
        </w:trPr>
        <w:tc>
          <w:tcPr>
            <w:tcW w:w="4060" w:type="dxa"/>
            <w:vAlign w:val="bottom"/>
            <w:shd w:val="clear" w:color="auto" w:fill="CFF0FC"/>
          </w:tcPr>
          <w:p>
            <w:pPr>
              <w:spacing w:after="0"/>
              <w:rPr>
                <w:sz w:val="20"/>
                <w:szCs w:val="20"/>
                <w:color w:val="auto"/>
              </w:rPr>
            </w:pPr>
            <w:r>
              <w:rPr>
                <w:rFonts w:ascii="Arial" w:cs="Arial" w:eastAsia="Arial" w:hAnsi="Arial"/>
                <w:sz w:val="12"/>
                <w:szCs w:val="12"/>
                <w:color w:val="auto"/>
              </w:rPr>
              <w:t>Revenues</w:t>
            </w:r>
          </w:p>
        </w:tc>
        <w:tc>
          <w:tcPr>
            <w:tcW w:w="320" w:type="dxa"/>
            <w:vAlign w:val="bottom"/>
            <w:gridSpan w:val="4"/>
            <w:shd w:val="clear" w:color="auto" w:fill="CFF0FC"/>
          </w:tcPr>
          <w:p>
            <w:pPr>
              <w:jc w:val="right"/>
              <w:ind w:right="40"/>
              <w:spacing w:after="0"/>
              <w:rPr>
                <w:sz w:val="20"/>
                <w:szCs w:val="20"/>
                <w:color w:val="auto"/>
              </w:rPr>
            </w:pPr>
            <w:r>
              <w:rPr>
                <w:rFonts w:ascii="Arial" w:cs="Arial" w:eastAsia="Arial" w:hAnsi="Arial"/>
                <w:sz w:val="12"/>
                <w:szCs w:val="12"/>
                <w:color w:val="auto"/>
              </w:rPr>
              <w:t>$</w:t>
            </w:r>
          </w:p>
        </w:tc>
        <w:tc>
          <w:tcPr>
            <w:tcW w:w="860" w:type="dxa"/>
            <w:vAlign w:val="bottom"/>
            <w:gridSpan w:val="2"/>
            <w:shd w:val="clear" w:color="auto" w:fill="CFF0FC"/>
          </w:tcPr>
          <w:p>
            <w:pPr>
              <w:ind w:left="460"/>
              <w:spacing w:after="0"/>
              <w:rPr>
                <w:sz w:val="20"/>
                <w:szCs w:val="20"/>
                <w:color w:val="auto"/>
              </w:rPr>
            </w:pPr>
            <w:r>
              <w:rPr>
                <w:rFonts w:ascii="Arial" w:cs="Arial" w:eastAsia="Arial" w:hAnsi="Arial"/>
                <w:sz w:val="12"/>
                <w:szCs w:val="12"/>
                <w:color w:val="auto"/>
                <w:w w:val="87"/>
              </w:rPr>
              <w:t>676,868</w:t>
            </w: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20"/>
                <w:szCs w:val="20"/>
                <w:color w:val="auto"/>
              </w:rPr>
            </w:pPr>
            <w:r>
              <w:rPr>
                <w:rFonts w:ascii="Arial" w:cs="Arial" w:eastAsia="Arial" w:hAnsi="Arial"/>
                <w:sz w:val="12"/>
                <w:szCs w:val="12"/>
                <w:color w:val="auto"/>
              </w:rPr>
              <w:t>$</w:t>
            </w:r>
          </w:p>
        </w:tc>
        <w:tc>
          <w:tcPr>
            <w:tcW w:w="360" w:type="dxa"/>
            <w:vAlign w:val="bottom"/>
            <w:gridSpan w:val="3"/>
            <w:shd w:val="clear" w:color="auto" w:fill="CFF0FC"/>
          </w:tcPr>
          <w:p>
            <w:pPr>
              <w:jc w:val="right"/>
              <w:spacing w:after="0"/>
              <w:rPr>
                <w:sz w:val="20"/>
                <w:szCs w:val="20"/>
                <w:color w:val="auto"/>
              </w:rPr>
            </w:pPr>
            <w:r>
              <w:rPr>
                <w:rFonts w:ascii="Arial" w:cs="Arial" w:eastAsia="Arial" w:hAnsi="Arial"/>
                <w:sz w:val="12"/>
                <w:szCs w:val="12"/>
                <w:color w:val="auto"/>
                <w:w w:val="92"/>
              </w:rPr>
              <w:t>70,568</w:t>
            </w:r>
          </w:p>
        </w:tc>
        <w:tc>
          <w:tcPr>
            <w:tcW w:w="40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w:t>
            </w: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500</w:t>
            </w:r>
          </w:p>
        </w:tc>
        <w:tc>
          <w:tcPr>
            <w:tcW w:w="120" w:type="dxa"/>
            <w:vAlign w:val="bottom"/>
            <w:shd w:val="clear" w:color="auto" w:fill="CFF0FC"/>
          </w:tcPr>
          <w:p>
            <w:pPr>
              <w:spacing w:after="0"/>
              <w:rPr>
                <w:sz w:val="12"/>
                <w:szCs w:val="12"/>
                <w:color w:val="auto"/>
              </w:rPr>
            </w:pPr>
          </w:p>
        </w:tc>
        <w:tc>
          <w:tcPr>
            <w:tcW w:w="420" w:type="dxa"/>
            <w:vAlign w:val="bottom"/>
            <w:gridSpan w:val="2"/>
            <w:shd w:val="clear" w:color="auto" w:fill="CFF0FC"/>
          </w:tcPr>
          <w:p>
            <w:pPr>
              <w:jc w:val="right"/>
              <w:ind w:right="92"/>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2"/>
                <w:szCs w:val="12"/>
                <w:color w:val="auto"/>
              </w:rPr>
            </w:pPr>
          </w:p>
        </w:tc>
        <w:tc>
          <w:tcPr>
            <w:tcW w:w="5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22,472</w:t>
            </w:r>
          </w:p>
        </w:tc>
        <w:tc>
          <w:tcPr>
            <w:tcW w:w="80" w:type="dxa"/>
            <w:vAlign w:val="bottom"/>
            <w:shd w:val="clear" w:color="auto" w:fill="CFF0FC"/>
          </w:tcPr>
          <w:p>
            <w:pPr>
              <w:spacing w:after="0"/>
              <w:rPr>
                <w:sz w:val="12"/>
                <w:szCs w:val="12"/>
                <w:color w:val="auto"/>
              </w:rPr>
            </w:pPr>
          </w:p>
        </w:tc>
        <w:tc>
          <w:tcPr>
            <w:tcW w:w="38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2"/>
                <w:szCs w:val="12"/>
                <w:color w:val="auto"/>
              </w:rPr>
            </w:pPr>
          </w:p>
        </w:tc>
        <w:tc>
          <w:tcPr>
            <w:tcW w:w="12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770,408</w:t>
            </w:r>
          </w:p>
        </w:tc>
        <w:tc>
          <w:tcPr>
            <w:tcW w:w="220" w:type="dxa"/>
            <w:vAlign w:val="bottom"/>
            <w:shd w:val="clear" w:color="auto" w:fill="CFF0FC"/>
          </w:tcPr>
          <w:p>
            <w:pPr>
              <w:spacing w:after="0"/>
              <w:rPr>
                <w:sz w:val="12"/>
                <w:szCs w:val="12"/>
                <w:color w:val="auto"/>
              </w:rPr>
            </w:pPr>
          </w:p>
        </w:tc>
      </w:tr>
      <w:tr>
        <w:trPr>
          <w:trHeight w:val="153"/>
        </w:trPr>
        <w:tc>
          <w:tcPr>
            <w:tcW w:w="4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gridSpan w:val="2"/>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153"/>
        </w:trPr>
        <w:tc>
          <w:tcPr>
            <w:tcW w:w="4060" w:type="dxa"/>
            <w:vAlign w:val="bottom"/>
            <w:shd w:val="clear" w:color="auto" w:fill="CFF0FC"/>
          </w:tcPr>
          <w:p>
            <w:pPr>
              <w:spacing w:after="0"/>
              <w:rPr>
                <w:sz w:val="20"/>
                <w:szCs w:val="20"/>
                <w:color w:val="auto"/>
              </w:rPr>
            </w:pPr>
            <w:r>
              <w:rPr>
                <w:rFonts w:ascii="Arial" w:cs="Arial" w:eastAsia="Arial" w:hAnsi="Arial"/>
                <w:sz w:val="12"/>
                <w:szCs w:val="12"/>
                <w:color w:val="auto"/>
              </w:rPr>
              <w:t>Adjusted EBITDA</w:t>
            </w:r>
          </w:p>
        </w:tc>
        <w:tc>
          <w:tcPr>
            <w:tcW w:w="320" w:type="dxa"/>
            <w:vAlign w:val="bottom"/>
            <w:gridSpan w:val="4"/>
            <w:shd w:val="clear" w:color="auto" w:fill="CFF0FC"/>
          </w:tcPr>
          <w:p>
            <w:pPr>
              <w:jc w:val="right"/>
              <w:ind w:right="40"/>
              <w:spacing w:after="0"/>
              <w:rPr>
                <w:sz w:val="20"/>
                <w:szCs w:val="20"/>
                <w:color w:val="auto"/>
              </w:rPr>
            </w:pPr>
            <w:r>
              <w:rPr>
                <w:rFonts w:ascii="Arial" w:cs="Arial" w:eastAsia="Arial" w:hAnsi="Arial"/>
                <w:sz w:val="12"/>
                <w:szCs w:val="12"/>
                <w:color w:val="auto"/>
              </w:rPr>
              <w:t>$</w:t>
            </w:r>
          </w:p>
        </w:tc>
        <w:tc>
          <w:tcPr>
            <w:tcW w:w="860" w:type="dxa"/>
            <w:vAlign w:val="bottom"/>
            <w:gridSpan w:val="2"/>
            <w:shd w:val="clear" w:color="auto" w:fill="CFF0FC"/>
          </w:tcPr>
          <w:p>
            <w:pPr>
              <w:ind w:left="460"/>
              <w:spacing w:after="0"/>
              <w:rPr>
                <w:sz w:val="20"/>
                <w:szCs w:val="20"/>
                <w:color w:val="auto"/>
              </w:rPr>
            </w:pPr>
            <w:r>
              <w:rPr>
                <w:rFonts w:ascii="Arial" w:cs="Arial" w:eastAsia="Arial" w:hAnsi="Arial"/>
                <w:sz w:val="12"/>
                <w:szCs w:val="12"/>
                <w:color w:val="auto"/>
                <w:w w:val="87"/>
              </w:rPr>
              <w:t>675,114</w:t>
            </w: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20"/>
                <w:szCs w:val="20"/>
                <w:color w:val="auto"/>
              </w:rPr>
            </w:pPr>
            <w:r>
              <w:rPr>
                <w:rFonts w:ascii="Arial" w:cs="Arial" w:eastAsia="Arial" w:hAnsi="Arial"/>
                <w:sz w:val="12"/>
                <w:szCs w:val="12"/>
                <w:color w:val="auto"/>
              </w:rPr>
              <w:t>$</w:t>
            </w:r>
          </w:p>
        </w:tc>
        <w:tc>
          <w:tcPr>
            <w:tcW w:w="360" w:type="dxa"/>
            <w:vAlign w:val="bottom"/>
            <w:gridSpan w:val="3"/>
            <w:shd w:val="clear" w:color="auto" w:fill="CFF0FC"/>
          </w:tcPr>
          <w:p>
            <w:pPr>
              <w:jc w:val="right"/>
              <w:spacing w:after="0"/>
              <w:rPr>
                <w:sz w:val="20"/>
                <w:szCs w:val="20"/>
                <w:color w:val="auto"/>
              </w:rPr>
            </w:pPr>
            <w:r>
              <w:rPr>
                <w:rFonts w:ascii="Arial" w:cs="Arial" w:eastAsia="Arial" w:hAnsi="Arial"/>
                <w:sz w:val="12"/>
                <w:szCs w:val="12"/>
                <w:color w:val="auto"/>
                <w:w w:val="92"/>
              </w:rPr>
              <w:t>25,912</w:t>
            </w:r>
          </w:p>
        </w:tc>
        <w:tc>
          <w:tcPr>
            <w:tcW w:w="40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w:t>
            </w: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8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w w:val="99"/>
              </w:rPr>
              <w:t>(1,123)</w:t>
            </w:r>
          </w:p>
        </w:tc>
        <w:tc>
          <w:tcPr>
            <w:tcW w:w="420" w:type="dxa"/>
            <w:vAlign w:val="bottom"/>
            <w:gridSpan w:val="2"/>
            <w:shd w:val="clear" w:color="auto" w:fill="CFF0FC"/>
          </w:tcPr>
          <w:p>
            <w:pPr>
              <w:jc w:val="right"/>
              <w:ind w:right="92"/>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3"/>
                <w:szCs w:val="13"/>
                <w:color w:val="auto"/>
              </w:rPr>
            </w:pPr>
          </w:p>
        </w:tc>
        <w:tc>
          <w:tcPr>
            <w:tcW w:w="5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5,074</w:t>
            </w:r>
          </w:p>
        </w:tc>
        <w:tc>
          <w:tcPr>
            <w:tcW w:w="80" w:type="dxa"/>
            <w:vAlign w:val="bottom"/>
            <w:shd w:val="clear" w:color="auto" w:fill="CFF0FC"/>
          </w:tcPr>
          <w:p>
            <w:pPr>
              <w:spacing w:after="0"/>
              <w:rPr>
                <w:sz w:val="13"/>
                <w:szCs w:val="13"/>
                <w:color w:val="auto"/>
              </w:rPr>
            </w:pPr>
          </w:p>
        </w:tc>
        <w:tc>
          <w:tcPr>
            <w:tcW w:w="38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3"/>
                <w:szCs w:val="13"/>
                <w:color w:val="auto"/>
              </w:rPr>
            </w:pPr>
          </w:p>
        </w:tc>
        <w:tc>
          <w:tcPr>
            <w:tcW w:w="700" w:type="dxa"/>
            <w:vAlign w:val="bottom"/>
            <w:gridSpan w:val="3"/>
            <w:shd w:val="clear" w:color="auto" w:fill="CFF0FC"/>
          </w:tcPr>
          <w:p>
            <w:pPr>
              <w:jc w:val="right"/>
              <w:ind w:right="60"/>
              <w:spacing w:after="0"/>
              <w:rPr>
                <w:sz w:val="20"/>
                <w:szCs w:val="20"/>
                <w:color w:val="auto"/>
              </w:rPr>
            </w:pPr>
            <w:r>
              <w:rPr>
                <w:rFonts w:ascii="Arial" w:cs="Arial" w:eastAsia="Arial" w:hAnsi="Arial"/>
                <w:sz w:val="12"/>
                <w:szCs w:val="12"/>
                <w:color w:val="auto"/>
              </w:rPr>
              <w:t>(14,793)</w:t>
            </w:r>
          </w:p>
        </w:tc>
        <w:tc>
          <w:tcPr>
            <w:tcW w:w="12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690,184</w:t>
            </w:r>
          </w:p>
        </w:tc>
        <w:tc>
          <w:tcPr>
            <w:tcW w:w="220" w:type="dxa"/>
            <w:vAlign w:val="bottom"/>
            <w:shd w:val="clear" w:color="auto" w:fill="CFF0FC"/>
          </w:tcPr>
          <w:p>
            <w:pPr>
              <w:spacing w:after="0"/>
              <w:rPr>
                <w:sz w:val="13"/>
                <w:szCs w:val="13"/>
                <w:color w:val="auto"/>
              </w:rPr>
            </w:pPr>
          </w:p>
        </w:tc>
      </w:tr>
      <w:tr>
        <w:trPr>
          <w:trHeight w:val="153"/>
        </w:trPr>
        <w:tc>
          <w:tcPr>
            <w:tcW w:w="4060" w:type="dxa"/>
            <w:vAlign w:val="bottom"/>
          </w:tcPr>
          <w:p>
            <w:pPr>
              <w:spacing w:after="0"/>
              <w:rPr>
                <w:sz w:val="20"/>
                <w:szCs w:val="20"/>
                <w:color w:val="auto"/>
              </w:rPr>
            </w:pPr>
            <w:r>
              <w:rPr>
                <w:rFonts w:ascii="Arial" w:cs="Arial" w:eastAsia="Arial" w:hAnsi="Arial"/>
                <w:sz w:val="12"/>
                <w:szCs w:val="12"/>
                <w:color w:val="auto"/>
              </w:rPr>
              <w:t>Adjusted EBITDA margin</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ind w:left="280"/>
              <w:spacing w:after="0"/>
              <w:rPr>
                <w:sz w:val="20"/>
                <w:szCs w:val="20"/>
                <w:color w:val="auto"/>
              </w:rPr>
            </w:pPr>
            <w:r>
              <w:rPr>
                <w:rFonts w:ascii="Arial" w:cs="Arial" w:eastAsia="Arial" w:hAnsi="Arial"/>
                <w:sz w:val="12"/>
                <w:szCs w:val="12"/>
                <w:color w:val="auto"/>
              </w:rPr>
              <w:t>99.7%</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36.7%</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3"/>
          </w:tcPr>
          <w:p>
            <w:pPr>
              <w:jc w:val="right"/>
              <w:ind w:right="45"/>
              <w:spacing w:after="0"/>
              <w:rPr>
                <w:sz w:val="20"/>
                <w:szCs w:val="20"/>
                <w:color w:val="auto"/>
              </w:rPr>
            </w:pPr>
            <w:r>
              <w:rPr>
                <w:rFonts w:ascii="Arial" w:cs="Arial" w:eastAsia="Arial" w:hAnsi="Arial"/>
                <w:sz w:val="12"/>
                <w:szCs w:val="12"/>
                <w:color w:val="auto"/>
              </w:rPr>
              <w:t>(224.6%)</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gridSpan w:val="2"/>
          </w:tcPr>
          <w:p>
            <w:pPr>
              <w:jc w:val="right"/>
              <w:ind w:right="172"/>
              <w:spacing w:after="0"/>
              <w:rPr>
                <w:sz w:val="20"/>
                <w:szCs w:val="20"/>
                <w:color w:val="auto"/>
              </w:rPr>
            </w:pPr>
            <w:r>
              <w:rPr>
                <w:rFonts w:ascii="Arial" w:cs="Arial" w:eastAsia="Arial" w:hAnsi="Arial"/>
                <w:sz w:val="12"/>
                <w:szCs w:val="12"/>
                <w:color w:val="auto"/>
                <w:w w:val="93"/>
              </w:rPr>
              <w:t>22.6%</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tcPr>
          <w:p>
            <w:pPr>
              <w:jc w:val="right"/>
              <w:ind w:right="392"/>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jc w:val="right"/>
              <w:ind w:right="201"/>
              <w:spacing w:after="0"/>
              <w:rPr>
                <w:sz w:val="20"/>
                <w:szCs w:val="20"/>
                <w:color w:val="auto"/>
              </w:rPr>
            </w:pPr>
            <w:r>
              <w:rPr>
                <w:rFonts w:ascii="Arial" w:cs="Arial" w:eastAsia="Arial" w:hAnsi="Arial"/>
                <w:sz w:val="12"/>
                <w:szCs w:val="12"/>
                <w:color w:val="auto"/>
              </w:rPr>
              <w:t>89.6%</w:t>
            </w:r>
          </w:p>
        </w:tc>
        <w:tc>
          <w:tcPr>
            <w:tcW w:w="220" w:type="dxa"/>
            <w:vAlign w:val="bottom"/>
          </w:tcPr>
          <w:p>
            <w:pPr>
              <w:spacing w:after="0"/>
              <w:rPr>
                <w:sz w:val="13"/>
                <w:szCs w:val="13"/>
                <w:color w:val="auto"/>
              </w:rPr>
            </w:pPr>
          </w:p>
        </w:tc>
      </w:tr>
      <w:tr>
        <w:trPr>
          <w:trHeight w:val="153"/>
        </w:trPr>
        <w:tc>
          <w:tcPr>
            <w:tcW w:w="4060" w:type="dxa"/>
            <w:vAlign w:val="bottom"/>
            <w:shd w:val="clear" w:color="auto" w:fill="CFF0FC"/>
          </w:tcPr>
          <w:p>
            <w:pPr>
              <w:spacing w:after="0"/>
              <w:rPr>
                <w:sz w:val="20"/>
                <w:szCs w:val="20"/>
                <w:color w:val="auto"/>
              </w:rPr>
            </w:pPr>
            <w:r>
              <w:rPr>
                <w:rFonts w:ascii="Arial" w:cs="Arial" w:eastAsia="Arial" w:hAnsi="Arial"/>
                <w:sz w:val="12"/>
                <w:szCs w:val="12"/>
                <w:color w:val="auto"/>
              </w:rPr>
              <w:t>Less:</w:t>
            </w:r>
          </w:p>
        </w:tc>
        <w:tc>
          <w:tcPr>
            <w:tcW w:w="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r>
      <w:tr>
        <w:trPr>
          <w:trHeight w:val="153"/>
        </w:trPr>
        <w:tc>
          <w:tcPr>
            <w:tcW w:w="4060" w:type="dxa"/>
            <w:vAlign w:val="bottom"/>
          </w:tcPr>
          <w:p>
            <w:pPr>
              <w:ind w:left="80"/>
              <w:spacing w:after="0"/>
              <w:rPr>
                <w:sz w:val="20"/>
                <w:szCs w:val="20"/>
                <w:color w:val="auto"/>
              </w:rPr>
            </w:pPr>
            <w:r>
              <w:rPr>
                <w:rFonts w:ascii="Arial" w:cs="Arial" w:eastAsia="Arial" w:hAnsi="Arial"/>
                <w:sz w:val="12"/>
                <w:szCs w:val="12"/>
                <w:color w:val="auto"/>
              </w:rPr>
              <w:t>Interest expense</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275,394</w:t>
            </w:r>
          </w:p>
        </w:tc>
        <w:tc>
          <w:tcPr>
            <w:tcW w:w="220" w:type="dxa"/>
            <w:vAlign w:val="bottom"/>
          </w:tcPr>
          <w:p>
            <w:pPr>
              <w:spacing w:after="0"/>
              <w:rPr>
                <w:sz w:val="13"/>
                <w:szCs w:val="13"/>
                <w:color w:val="auto"/>
              </w:rPr>
            </w:pPr>
          </w:p>
        </w:tc>
      </w:tr>
      <w:tr>
        <w:trPr>
          <w:trHeight w:val="153"/>
        </w:trPr>
        <w:tc>
          <w:tcPr>
            <w:tcW w:w="4060" w:type="dxa"/>
            <w:vAlign w:val="bottom"/>
            <w:shd w:val="clear" w:color="auto" w:fill="CFF0FC"/>
          </w:tcPr>
          <w:p>
            <w:pPr>
              <w:ind w:left="80"/>
              <w:spacing w:after="0"/>
              <w:rPr>
                <w:sz w:val="20"/>
                <w:szCs w:val="20"/>
                <w:color w:val="auto"/>
              </w:rPr>
            </w:pPr>
            <w:r>
              <w:rPr>
                <w:rFonts w:ascii="Arial" w:cs="Arial" w:eastAsia="Arial" w:hAnsi="Arial"/>
                <w:sz w:val="12"/>
                <w:szCs w:val="12"/>
                <w:color w:val="auto"/>
              </w:rPr>
              <w:t>Depreciation and amortization</w:t>
            </w:r>
          </w:p>
        </w:tc>
        <w:tc>
          <w:tcPr>
            <w:tcW w:w="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60" w:type="dxa"/>
            <w:vAlign w:val="bottom"/>
            <w:gridSpan w:val="2"/>
            <w:shd w:val="clear" w:color="auto" w:fill="CFF0FC"/>
          </w:tcPr>
          <w:p>
            <w:pPr>
              <w:ind w:left="460"/>
              <w:spacing w:after="0"/>
              <w:rPr>
                <w:sz w:val="20"/>
                <w:szCs w:val="20"/>
                <w:color w:val="auto"/>
              </w:rPr>
            </w:pPr>
            <w:r>
              <w:rPr>
                <w:rFonts w:ascii="Arial" w:cs="Arial" w:eastAsia="Arial" w:hAnsi="Arial"/>
                <w:sz w:val="12"/>
                <w:szCs w:val="12"/>
                <w:color w:val="auto"/>
                <w:w w:val="87"/>
              </w:rPr>
              <w:t>343,368</w:t>
            </w: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360" w:type="dxa"/>
            <w:vAlign w:val="bottom"/>
            <w:gridSpan w:val="3"/>
            <w:shd w:val="clear" w:color="auto" w:fill="CFF0FC"/>
          </w:tcPr>
          <w:p>
            <w:pPr>
              <w:jc w:val="right"/>
              <w:spacing w:after="0"/>
              <w:rPr>
                <w:sz w:val="20"/>
                <w:szCs w:val="20"/>
                <w:color w:val="auto"/>
              </w:rPr>
            </w:pPr>
            <w:r>
              <w:rPr>
                <w:rFonts w:ascii="Arial" w:cs="Arial" w:eastAsia="Arial" w:hAnsi="Arial"/>
                <w:sz w:val="12"/>
                <w:szCs w:val="12"/>
                <w:color w:val="auto"/>
                <w:w w:val="92"/>
              </w:rPr>
              <w:t>28,629</w:t>
            </w:r>
          </w:p>
        </w:tc>
        <w:tc>
          <w:tcPr>
            <w:tcW w:w="2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337</w:t>
            </w:r>
          </w:p>
        </w:tc>
        <w:tc>
          <w:tcPr>
            <w:tcW w:w="1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3,258</w:t>
            </w: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378</w:t>
            </w:r>
          </w:p>
        </w:tc>
        <w:tc>
          <w:tcPr>
            <w:tcW w:w="10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375,970</w:t>
            </w:r>
          </w:p>
        </w:tc>
        <w:tc>
          <w:tcPr>
            <w:tcW w:w="220" w:type="dxa"/>
            <w:vAlign w:val="bottom"/>
            <w:shd w:val="clear" w:color="auto" w:fill="CFF0FC"/>
          </w:tcPr>
          <w:p>
            <w:pPr>
              <w:spacing w:after="0"/>
              <w:rPr>
                <w:sz w:val="13"/>
                <w:szCs w:val="13"/>
                <w:color w:val="auto"/>
              </w:rPr>
            </w:pPr>
          </w:p>
        </w:tc>
      </w:tr>
      <w:tr>
        <w:trPr>
          <w:trHeight w:val="153"/>
        </w:trPr>
        <w:tc>
          <w:tcPr>
            <w:tcW w:w="4060" w:type="dxa"/>
            <w:vAlign w:val="bottom"/>
          </w:tcPr>
          <w:p>
            <w:pPr>
              <w:ind w:left="80"/>
              <w:spacing w:after="0"/>
              <w:rPr>
                <w:sz w:val="20"/>
                <w:szCs w:val="20"/>
                <w:color w:val="auto"/>
              </w:rPr>
            </w:pPr>
            <w:r>
              <w:rPr>
                <w:rFonts w:ascii="Arial" w:cs="Arial" w:eastAsia="Arial" w:hAnsi="Arial"/>
                <w:sz w:val="12"/>
                <w:szCs w:val="12"/>
                <w:color w:val="auto"/>
              </w:rPr>
              <w:t>Other expense</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r>
      <w:tr>
        <w:trPr>
          <w:trHeight w:val="153"/>
        </w:trPr>
        <w:tc>
          <w:tcPr>
            <w:tcW w:w="4060" w:type="dxa"/>
            <w:vAlign w:val="bottom"/>
            <w:shd w:val="clear" w:color="auto" w:fill="CFF0FC"/>
          </w:tcPr>
          <w:p>
            <w:pPr>
              <w:ind w:left="80"/>
              <w:spacing w:after="0"/>
              <w:rPr>
                <w:sz w:val="20"/>
                <w:szCs w:val="20"/>
                <w:color w:val="auto"/>
              </w:rPr>
            </w:pPr>
            <w:r>
              <w:rPr>
                <w:rFonts w:ascii="Arial" w:cs="Arial" w:eastAsia="Arial" w:hAnsi="Arial"/>
                <w:sz w:val="12"/>
                <w:szCs w:val="12"/>
                <w:color w:val="auto"/>
              </w:rPr>
              <w:t>Transaction related costs</w:t>
            </w:r>
          </w:p>
        </w:tc>
        <w:tc>
          <w:tcPr>
            <w:tcW w:w="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33,669</w:t>
            </w:r>
          </w:p>
        </w:tc>
        <w:tc>
          <w:tcPr>
            <w:tcW w:w="220" w:type="dxa"/>
            <w:vAlign w:val="bottom"/>
            <w:shd w:val="clear" w:color="auto" w:fill="CFF0FC"/>
          </w:tcPr>
          <w:p>
            <w:pPr>
              <w:spacing w:after="0"/>
              <w:rPr>
                <w:sz w:val="13"/>
                <w:szCs w:val="13"/>
                <w:color w:val="auto"/>
              </w:rPr>
            </w:pPr>
          </w:p>
        </w:tc>
      </w:tr>
      <w:tr>
        <w:trPr>
          <w:trHeight w:val="153"/>
        </w:trPr>
        <w:tc>
          <w:tcPr>
            <w:tcW w:w="4060" w:type="dxa"/>
            <w:vAlign w:val="bottom"/>
          </w:tcPr>
          <w:p>
            <w:pPr>
              <w:ind w:left="80"/>
              <w:spacing w:after="0"/>
              <w:rPr>
                <w:sz w:val="20"/>
                <w:szCs w:val="20"/>
                <w:color w:val="auto"/>
              </w:rPr>
            </w:pPr>
            <w:r>
              <w:rPr>
                <w:rFonts w:ascii="Arial" w:cs="Arial" w:eastAsia="Arial" w:hAnsi="Arial"/>
                <w:sz w:val="12"/>
                <w:szCs w:val="12"/>
                <w:color w:val="auto"/>
              </w:rPr>
              <w:t>Stock-based compensation</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4,846</w:t>
            </w:r>
          </w:p>
        </w:tc>
        <w:tc>
          <w:tcPr>
            <w:tcW w:w="220" w:type="dxa"/>
            <w:vAlign w:val="bottom"/>
          </w:tcPr>
          <w:p>
            <w:pPr>
              <w:spacing w:after="0"/>
              <w:rPr>
                <w:sz w:val="13"/>
                <w:szCs w:val="13"/>
                <w:color w:val="auto"/>
              </w:rPr>
            </w:pPr>
          </w:p>
        </w:tc>
      </w:tr>
      <w:tr>
        <w:trPr>
          <w:trHeight w:val="153"/>
        </w:trPr>
        <w:tc>
          <w:tcPr>
            <w:tcW w:w="4060" w:type="dxa"/>
            <w:vAlign w:val="bottom"/>
            <w:shd w:val="clear" w:color="auto" w:fill="CFF0FC"/>
          </w:tcPr>
          <w:p>
            <w:pPr>
              <w:ind w:left="80"/>
              <w:spacing w:after="0"/>
              <w:rPr>
                <w:sz w:val="20"/>
                <w:szCs w:val="20"/>
                <w:color w:val="auto"/>
              </w:rPr>
            </w:pPr>
            <w:r>
              <w:rPr>
                <w:rFonts w:ascii="Arial" w:cs="Arial" w:eastAsia="Arial" w:hAnsi="Arial"/>
                <w:sz w:val="12"/>
                <w:szCs w:val="12"/>
                <w:color w:val="auto"/>
              </w:rPr>
              <w:t>Income tax expense</w:t>
            </w:r>
          </w:p>
        </w:tc>
        <w:tc>
          <w:tcPr>
            <w:tcW w:w="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517</w:t>
            </w:r>
          </w:p>
        </w:tc>
        <w:tc>
          <w:tcPr>
            <w:tcW w:w="220" w:type="dxa"/>
            <w:vAlign w:val="bottom"/>
            <w:shd w:val="clear" w:color="auto" w:fill="CFF0FC"/>
          </w:tcPr>
          <w:p>
            <w:pPr>
              <w:spacing w:after="0"/>
              <w:rPr>
                <w:sz w:val="13"/>
                <w:szCs w:val="13"/>
                <w:color w:val="auto"/>
              </w:rPr>
            </w:pPr>
          </w:p>
        </w:tc>
      </w:tr>
      <w:tr>
        <w:trPr>
          <w:trHeight w:val="149"/>
        </w:trPr>
        <w:tc>
          <w:tcPr>
            <w:tcW w:w="4060" w:type="dxa"/>
            <w:vAlign w:val="bottom"/>
          </w:tcPr>
          <w:p>
            <w:pPr>
              <w:spacing w:after="0"/>
              <w:rPr>
                <w:sz w:val="20"/>
                <w:szCs w:val="20"/>
                <w:color w:val="auto"/>
              </w:rPr>
            </w:pPr>
            <w:r>
              <w:rPr>
                <w:rFonts w:ascii="Arial" w:cs="Arial" w:eastAsia="Arial" w:hAnsi="Arial"/>
                <w:sz w:val="12"/>
                <w:szCs w:val="12"/>
                <w:color w:val="auto"/>
              </w:rPr>
              <w:t>Net loss</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2"/>
                <w:szCs w:val="12"/>
                <w:color w:val="auto"/>
              </w:rPr>
              <w:t>(212)</w:t>
            </w:r>
          </w:p>
        </w:tc>
      </w:tr>
      <w:tr>
        <w:trPr>
          <w:trHeight w:val="378"/>
        </w:trPr>
        <w:tc>
          <w:tcPr>
            <w:tcW w:w="4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13"/>
          </w:tcPr>
          <w:p>
            <w:pPr>
              <w:ind w:left="60"/>
              <w:spacing w:after="0"/>
              <w:rPr>
                <w:sz w:val="20"/>
                <w:szCs w:val="20"/>
                <w:color w:val="auto"/>
              </w:rPr>
            </w:pPr>
            <w:r>
              <w:rPr>
                <w:rFonts w:ascii="Arial" w:cs="Arial" w:eastAsia="Arial" w:hAnsi="Arial"/>
                <w:sz w:val="10"/>
                <w:szCs w:val="10"/>
                <w:b w:val="1"/>
                <w:bCs w:val="1"/>
                <w:color w:val="auto"/>
              </w:rPr>
              <w:t>Period from April 24, 2015 to December 31, 2015</w:t>
            </w: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142"/>
        </w:trPr>
        <w:tc>
          <w:tcPr>
            <w:tcW w:w="406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(Thousands)</w:t>
            </w:r>
          </w:p>
        </w:tc>
        <w:tc>
          <w:tcPr>
            <w:tcW w:w="4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ind w:left="40"/>
              <w:spacing w:after="0"/>
              <w:rPr>
                <w:sz w:val="20"/>
                <w:szCs w:val="20"/>
                <w:color w:val="auto"/>
              </w:rPr>
            </w:pPr>
            <w:r>
              <w:rPr>
                <w:rFonts w:ascii="Arial" w:cs="Arial" w:eastAsia="Arial" w:hAnsi="Arial"/>
                <w:sz w:val="10"/>
                <w:szCs w:val="10"/>
                <w:b w:val="1"/>
                <w:bCs w:val="1"/>
                <w:color w:val="auto"/>
              </w:rPr>
              <w:t>Leasing</w:t>
            </w:r>
          </w:p>
        </w:tc>
        <w:tc>
          <w:tcPr>
            <w:tcW w:w="18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w w:val="91"/>
              </w:rPr>
              <w:t>Fiber Infrastructure</w:t>
            </w:r>
          </w:p>
        </w:tc>
        <w:tc>
          <w:tcPr>
            <w:tcW w:w="180" w:type="dxa"/>
            <w:vAlign w:val="bottom"/>
            <w:tcBorders>
              <w:bottom w:val="single" w:sz="8" w:color="auto"/>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gridSpan w:val="2"/>
          </w:tcPr>
          <w:p>
            <w:pPr>
              <w:jc w:val="center"/>
              <w:ind w:left="23"/>
              <w:spacing w:after="0"/>
              <w:rPr>
                <w:sz w:val="20"/>
                <w:szCs w:val="20"/>
                <w:color w:val="auto"/>
              </w:rPr>
            </w:pPr>
            <w:r>
              <w:rPr>
                <w:rFonts w:ascii="Arial" w:cs="Arial" w:eastAsia="Arial" w:hAnsi="Arial"/>
                <w:sz w:val="10"/>
                <w:szCs w:val="10"/>
                <w:b w:val="1"/>
                <w:bCs w:val="1"/>
                <w:color w:val="auto"/>
                <w:w w:val="79"/>
              </w:rPr>
              <w:t>Towers</w:t>
            </w: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900" w:type="dxa"/>
            <w:vAlign w:val="bottom"/>
            <w:tcBorders>
              <w:bottom w:val="single" w:sz="8" w:color="auto"/>
            </w:tcBorders>
            <w:gridSpan w:val="4"/>
          </w:tcPr>
          <w:p>
            <w:pPr>
              <w:jc w:val="right"/>
              <w:ind w:right="52"/>
              <w:spacing w:after="0"/>
              <w:rPr>
                <w:sz w:val="20"/>
                <w:szCs w:val="20"/>
                <w:color w:val="auto"/>
              </w:rPr>
            </w:pPr>
            <w:r>
              <w:rPr>
                <w:rFonts w:ascii="Arial" w:cs="Arial" w:eastAsia="Arial" w:hAnsi="Arial"/>
                <w:sz w:val="10"/>
                <w:szCs w:val="10"/>
                <w:b w:val="1"/>
                <w:bCs w:val="1"/>
                <w:color w:val="auto"/>
                <w:w w:val="98"/>
              </w:rPr>
              <w:t>Consumer CLEC</w:t>
            </w:r>
          </w:p>
        </w:tc>
        <w:tc>
          <w:tcPr>
            <w:tcW w:w="14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900" w:type="dxa"/>
            <w:vAlign w:val="bottom"/>
            <w:tcBorders>
              <w:bottom w:val="single" w:sz="8" w:color="auto"/>
            </w:tcBorders>
            <w:gridSpan w:val="4"/>
          </w:tcPr>
          <w:p>
            <w:pPr>
              <w:jc w:val="center"/>
              <w:spacing w:after="0"/>
              <w:rPr>
                <w:sz w:val="20"/>
                <w:szCs w:val="20"/>
                <w:color w:val="auto"/>
              </w:rPr>
            </w:pPr>
            <w:r>
              <w:rPr>
                <w:rFonts w:ascii="Arial" w:cs="Arial" w:eastAsia="Arial" w:hAnsi="Arial"/>
                <w:sz w:val="10"/>
                <w:szCs w:val="10"/>
                <w:b w:val="1"/>
                <w:bCs w:val="1"/>
                <w:color w:val="auto"/>
                <w:w w:val="87"/>
              </w:rPr>
              <w:t>Corporate</w:t>
            </w:r>
          </w:p>
        </w:tc>
        <w:tc>
          <w:tcPr>
            <w:tcW w:w="100" w:type="dxa"/>
            <w:vAlign w:val="bottom"/>
            <w:tcBorders>
              <w:bottom w:val="single" w:sz="8" w:color="CFF0FC"/>
            </w:tcBorders>
          </w:tcPr>
          <w:p>
            <w:pPr>
              <w:spacing w:after="0"/>
              <w:rPr>
                <w:sz w:val="12"/>
                <w:szCs w:val="12"/>
                <w:color w:val="auto"/>
              </w:rPr>
            </w:pPr>
          </w:p>
        </w:tc>
        <w:tc>
          <w:tcPr>
            <w:tcW w:w="40" w:type="dxa"/>
            <w:vAlign w:val="bottom"/>
            <w:tcBorders>
              <w:bottom w:val="single" w:sz="8" w:color="CFF0FC"/>
            </w:tcBorders>
          </w:tcPr>
          <w:p>
            <w:pPr>
              <w:spacing w:after="0"/>
              <w:rPr>
                <w:sz w:val="12"/>
                <w:szCs w:val="12"/>
                <w:color w:val="auto"/>
              </w:rPr>
            </w:pPr>
          </w:p>
        </w:tc>
        <w:tc>
          <w:tcPr>
            <w:tcW w:w="1660" w:type="dxa"/>
            <w:vAlign w:val="bottom"/>
            <w:tcBorders>
              <w:bottom w:val="single" w:sz="8" w:color="auto"/>
            </w:tcBorders>
            <w:gridSpan w:val="5"/>
          </w:tcPr>
          <w:p>
            <w:pPr>
              <w:jc w:val="right"/>
              <w:ind w:right="161"/>
              <w:spacing w:after="0"/>
              <w:rPr>
                <w:sz w:val="20"/>
                <w:szCs w:val="20"/>
                <w:color w:val="auto"/>
              </w:rPr>
            </w:pPr>
            <w:r>
              <w:rPr>
                <w:rFonts w:ascii="Arial" w:cs="Arial" w:eastAsia="Arial" w:hAnsi="Arial"/>
                <w:sz w:val="10"/>
                <w:szCs w:val="10"/>
                <w:b w:val="1"/>
                <w:bCs w:val="1"/>
                <w:color w:val="auto"/>
              </w:rPr>
              <w:t>Total of Reportable Segments</w:t>
            </w:r>
          </w:p>
        </w:tc>
        <w:tc>
          <w:tcPr>
            <w:tcW w:w="220" w:type="dxa"/>
            <w:vAlign w:val="bottom"/>
            <w:tcBorders>
              <w:bottom w:val="single" w:sz="8" w:color="CFF0FC"/>
            </w:tcBorders>
          </w:tcPr>
          <w:p>
            <w:pPr>
              <w:spacing w:after="0"/>
              <w:rPr>
                <w:sz w:val="12"/>
                <w:szCs w:val="12"/>
                <w:color w:val="auto"/>
              </w:rPr>
            </w:pPr>
          </w:p>
        </w:tc>
      </w:tr>
      <w:tr>
        <w:trPr>
          <w:trHeight w:val="142"/>
        </w:trPr>
        <w:tc>
          <w:tcPr>
            <w:tcW w:w="4060" w:type="dxa"/>
            <w:vAlign w:val="bottom"/>
            <w:shd w:val="clear" w:color="auto" w:fill="CFF0FC"/>
          </w:tcPr>
          <w:p>
            <w:pPr>
              <w:spacing w:after="0"/>
              <w:rPr>
                <w:sz w:val="20"/>
                <w:szCs w:val="20"/>
                <w:color w:val="auto"/>
              </w:rPr>
            </w:pPr>
            <w:r>
              <w:rPr>
                <w:rFonts w:ascii="Arial" w:cs="Arial" w:eastAsia="Arial" w:hAnsi="Arial"/>
                <w:sz w:val="12"/>
                <w:szCs w:val="12"/>
                <w:color w:val="auto"/>
              </w:rPr>
              <w:t>Revenues</w:t>
            </w:r>
          </w:p>
        </w:tc>
        <w:tc>
          <w:tcPr>
            <w:tcW w:w="18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w:t>
            </w: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ind w:left="280"/>
              <w:spacing w:after="0"/>
              <w:rPr>
                <w:sz w:val="20"/>
                <w:szCs w:val="20"/>
                <w:color w:val="auto"/>
              </w:rPr>
            </w:pPr>
            <w:r>
              <w:rPr>
                <w:rFonts w:ascii="Arial" w:cs="Arial" w:eastAsia="Arial" w:hAnsi="Arial"/>
                <w:sz w:val="12"/>
                <w:szCs w:val="12"/>
                <w:color w:val="auto"/>
                <w:w w:val="87"/>
              </w:rPr>
              <w:t>458,614</w:t>
            </w:r>
          </w:p>
        </w:tc>
        <w:tc>
          <w:tcPr>
            <w:tcW w:w="180" w:type="dxa"/>
            <w:vAlign w:val="bottom"/>
            <w:shd w:val="clear" w:color="auto" w:fill="CFF0FC"/>
          </w:tcPr>
          <w:p>
            <w:pPr>
              <w:spacing w:after="0"/>
              <w:rPr>
                <w:sz w:val="12"/>
                <w:szCs w:val="12"/>
                <w:color w:val="auto"/>
              </w:rPr>
            </w:pPr>
          </w:p>
        </w:tc>
        <w:tc>
          <w:tcPr>
            <w:tcW w:w="26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86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jc w:val="right"/>
              <w:ind w:right="245"/>
              <w:spacing w:after="0"/>
              <w:rPr>
                <w:sz w:val="20"/>
                <w:szCs w:val="20"/>
                <w:color w:val="auto"/>
              </w:rPr>
            </w:pPr>
            <w:r>
              <w:rPr>
                <w:rFonts w:ascii="Arial" w:cs="Arial" w:eastAsia="Arial" w:hAnsi="Arial"/>
                <w:sz w:val="10"/>
                <w:szCs w:val="10"/>
                <w:color w:val="auto"/>
                <w:w w:val="71"/>
              </w:rPr>
              <w:t>$</w:t>
            </w:r>
          </w:p>
        </w:tc>
        <w:tc>
          <w:tcPr>
            <w:tcW w:w="120" w:type="dxa"/>
            <w:vAlign w:val="bottom"/>
            <w:shd w:val="clear" w:color="auto" w:fill="CFF0FC"/>
          </w:tcPr>
          <w:p>
            <w:pPr>
              <w:spacing w:after="0"/>
              <w:rPr>
                <w:sz w:val="12"/>
                <w:szCs w:val="12"/>
                <w:color w:val="auto"/>
              </w:rPr>
            </w:pP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17,700</w:t>
            </w:r>
          </w:p>
        </w:tc>
        <w:tc>
          <w:tcPr>
            <w:tcW w:w="140" w:type="dxa"/>
            <w:vAlign w:val="bottom"/>
            <w:shd w:val="clear" w:color="auto" w:fill="CFF0FC"/>
          </w:tcPr>
          <w:p>
            <w:pPr>
              <w:spacing w:after="0"/>
              <w:rPr>
                <w:sz w:val="12"/>
                <w:szCs w:val="12"/>
                <w:color w:val="auto"/>
              </w:rPr>
            </w:pPr>
          </w:p>
        </w:tc>
        <w:tc>
          <w:tcPr>
            <w:tcW w:w="560" w:type="dxa"/>
            <w:vAlign w:val="bottom"/>
            <w:gridSpan w:val="2"/>
            <w:shd w:val="clear" w:color="auto" w:fill="CFF0FC"/>
          </w:tcPr>
          <w:p>
            <w:pPr>
              <w:jc w:val="right"/>
              <w:ind w:right="332"/>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38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452"/>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476,314</w:t>
            </w:r>
          </w:p>
        </w:tc>
        <w:tc>
          <w:tcPr>
            <w:tcW w:w="220" w:type="dxa"/>
            <w:vAlign w:val="bottom"/>
            <w:shd w:val="clear" w:color="auto" w:fill="CFF0FC"/>
          </w:tcPr>
          <w:p>
            <w:pPr>
              <w:spacing w:after="0"/>
              <w:rPr>
                <w:sz w:val="12"/>
                <w:szCs w:val="12"/>
                <w:color w:val="auto"/>
              </w:rPr>
            </w:pPr>
          </w:p>
        </w:tc>
      </w:tr>
      <w:tr>
        <w:trPr>
          <w:trHeight w:val="153"/>
        </w:trPr>
        <w:tc>
          <w:tcPr>
            <w:tcW w:w="4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gridSpan w:val="2"/>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153"/>
        </w:trPr>
        <w:tc>
          <w:tcPr>
            <w:tcW w:w="4060" w:type="dxa"/>
            <w:vAlign w:val="bottom"/>
            <w:shd w:val="clear" w:color="auto" w:fill="CFF0FC"/>
          </w:tcPr>
          <w:p>
            <w:pPr>
              <w:spacing w:after="0"/>
              <w:rPr>
                <w:sz w:val="20"/>
                <w:szCs w:val="20"/>
                <w:color w:val="auto"/>
              </w:rPr>
            </w:pPr>
            <w:r>
              <w:rPr>
                <w:rFonts w:ascii="Arial" w:cs="Arial" w:eastAsia="Arial" w:hAnsi="Arial"/>
                <w:sz w:val="12"/>
                <w:szCs w:val="12"/>
                <w:color w:val="auto"/>
              </w:rPr>
              <w:t>Adjusted EBITDA</w:t>
            </w:r>
          </w:p>
        </w:tc>
        <w:tc>
          <w:tcPr>
            <w:tcW w:w="18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w:t>
            </w: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80" w:type="dxa"/>
            <w:vAlign w:val="bottom"/>
            <w:shd w:val="clear" w:color="auto" w:fill="CFF0FC"/>
          </w:tcPr>
          <w:p>
            <w:pPr>
              <w:ind w:left="280"/>
              <w:spacing w:after="0"/>
              <w:rPr>
                <w:sz w:val="20"/>
                <w:szCs w:val="20"/>
                <w:color w:val="auto"/>
              </w:rPr>
            </w:pPr>
            <w:r>
              <w:rPr>
                <w:rFonts w:ascii="Arial" w:cs="Arial" w:eastAsia="Arial" w:hAnsi="Arial"/>
                <w:sz w:val="12"/>
                <w:szCs w:val="12"/>
                <w:color w:val="auto"/>
                <w:w w:val="87"/>
              </w:rPr>
              <w:t>457,704</w:t>
            </w:r>
          </w:p>
        </w:tc>
        <w:tc>
          <w:tcPr>
            <w:tcW w:w="180" w:type="dxa"/>
            <w:vAlign w:val="bottom"/>
            <w:shd w:val="clear" w:color="auto" w:fill="CFF0FC"/>
          </w:tcPr>
          <w:p>
            <w:pPr>
              <w:spacing w:after="0"/>
              <w:rPr>
                <w:sz w:val="13"/>
                <w:szCs w:val="13"/>
                <w:color w:val="auto"/>
              </w:rPr>
            </w:pPr>
          </w:p>
        </w:tc>
        <w:tc>
          <w:tcPr>
            <w:tcW w:w="26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860" w:type="dxa"/>
            <w:vAlign w:val="bottom"/>
            <w:shd w:val="clear" w:color="auto" w:fill="CFF0FC"/>
          </w:tcPr>
          <w:p>
            <w:pPr>
              <w:spacing w:after="0"/>
              <w:rPr>
                <w:sz w:val="13"/>
                <w:szCs w:val="13"/>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2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3"/>
                <w:szCs w:val="13"/>
                <w:color w:val="auto"/>
              </w:rPr>
            </w:pPr>
          </w:p>
        </w:tc>
        <w:tc>
          <w:tcPr>
            <w:tcW w:w="360" w:type="dxa"/>
            <w:vAlign w:val="bottom"/>
            <w:shd w:val="clear" w:color="auto" w:fill="CFF0FC"/>
          </w:tcPr>
          <w:p>
            <w:pPr>
              <w:jc w:val="right"/>
              <w:ind w:right="245"/>
              <w:spacing w:after="0"/>
              <w:rPr>
                <w:sz w:val="20"/>
                <w:szCs w:val="20"/>
                <w:color w:val="auto"/>
              </w:rPr>
            </w:pPr>
            <w:r>
              <w:rPr>
                <w:rFonts w:ascii="Arial" w:cs="Arial" w:eastAsia="Arial" w:hAnsi="Arial"/>
                <w:sz w:val="10"/>
                <w:szCs w:val="10"/>
                <w:color w:val="auto"/>
                <w:w w:val="71"/>
              </w:rPr>
              <w:t>$</w:t>
            </w:r>
          </w:p>
        </w:tc>
        <w:tc>
          <w:tcPr>
            <w:tcW w:w="120" w:type="dxa"/>
            <w:vAlign w:val="bottom"/>
            <w:shd w:val="clear" w:color="auto" w:fill="CFF0FC"/>
          </w:tcPr>
          <w:p>
            <w:pPr>
              <w:spacing w:after="0"/>
              <w:rPr>
                <w:sz w:val="13"/>
                <w:szCs w:val="13"/>
                <w:color w:val="auto"/>
              </w:rPr>
            </w:pP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3,957</w:t>
            </w:r>
          </w:p>
        </w:tc>
        <w:tc>
          <w:tcPr>
            <w:tcW w:w="140" w:type="dxa"/>
            <w:vAlign w:val="bottom"/>
            <w:shd w:val="clear" w:color="auto" w:fill="CFF0FC"/>
          </w:tcPr>
          <w:p>
            <w:pPr>
              <w:spacing w:after="0"/>
              <w:rPr>
                <w:sz w:val="13"/>
                <w:szCs w:val="13"/>
                <w:color w:val="auto"/>
              </w:rPr>
            </w:pPr>
          </w:p>
        </w:tc>
        <w:tc>
          <w:tcPr>
            <w:tcW w:w="560" w:type="dxa"/>
            <w:vAlign w:val="bottom"/>
            <w:gridSpan w:val="2"/>
            <w:shd w:val="clear" w:color="auto" w:fill="CFF0FC"/>
          </w:tcPr>
          <w:p>
            <w:pPr>
              <w:jc w:val="right"/>
              <w:ind w:right="332"/>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3"/>
                <w:szCs w:val="13"/>
                <w:color w:val="auto"/>
              </w:rPr>
            </w:pPr>
          </w:p>
        </w:tc>
        <w:tc>
          <w:tcPr>
            <w:tcW w:w="480" w:type="dxa"/>
            <w:vAlign w:val="bottom"/>
            <w:gridSpan w:val="3"/>
            <w:shd w:val="clear" w:color="auto" w:fill="CFF0FC"/>
          </w:tcPr>
          <w:p>
            <w:pPr>
              <w:jc w:val="right"/>
              <w:ind w:right="12"/>
              <w:spacing w:after="0"/>
              <w:rPr>
                <w:sz w:val="20"/>
                <w:szCs w:val="20"/>
                <w:color w:val="auto"/>
              </w:rPr>
            </w:pPr>
            <w:r>
              <w:rPr>
                <w:rFonts w:ascii="Arial" w:cs="Arial" w:eastAsia="Arial" w:hAnsi="Arial"/>
                <w:sz w:val="12"/>
                <w:szCs w:val="12"/>
                <w:color w:val="auto"/>
              </w:rPr>
              <w:t>(8,364)</w:t>
            </w:r>
          </w:p>
        </w:tc>
        <w:tc>
          <w:tcPr>
            <w:tcW w:w="600" w:type="dxa"/>
            <w:vAlign w:val="bottom"/>
            <w:gridSpan w:val="2"/>
            <w:shd w:val="clear" w:color="auto" w:fill="CFF0FC"/>
          </w:tcPr>
          <w:p>
            <w:pPr>
              <w:jc w:val="right"/>
              <w:ind w:right="452"/>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453,297</w:t>
            </w:r>
          </w:p>
        </w:tc>
        <w:tc>
          <w:tcPr>
            <w:tcW w:w="220" w:type="dxa"/>
            <w:vAlign w:val="bottom"/>
            <w:shd w:val="clear" w:color="auto" w:fill="CFF0FC"/>
          </w:tcPr>
          <w:p>
            <w:pPr>
              <w:spacing w:after="0"/>
              <w:rPr>
                <w:sz w:val="13"/>
                <w:szCs w:val="13"/>
                <w:color w:val="auto"/>
              </w:rPr>
            </w:pPr>
          </w:p>
        </w:tc>
      </w:tr>
      <w:tr>
        <w:trPr>
          <w:trHeight w:val="153"/>
        </w:trPr>
        <w:tc>
          <w:tcPr>
            <w:tcW w:w="4060" w:type="dxa"/>
            <w:vAlign w:val="bottom"/>
          </w:tcPr>
          <w:p>
            <w:pPr>
              <w:spacing w:after="0"/>
              <w:rPr>
                <w:sz w:val="20"/>
                <w:szCs w:val="20"/>
                <w:color w:val="auto"/>
              </w:rPr>
            </w:pPr>
            <w:r>
              <w:rPr>
                <w:rFonts w:ascii="Arial" w:cs="Arial" w:eastAsia="Arial" w:hAnsi="Arial"/>
                <w:sz w:val="12"/>
                <w:szCs w:val="12"/>
                <w:color w:val="auto"/>
              </w:rPr>
              <w:t>Adjusted EBITDA margin</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ind w:left="100"/>
              <w:spacing w:after="0"/>
              <w:rPr>
                <w:sz w:val="20"/>
                <w:szCs w:val="20"/>
                <w:color w:val="auto"/>
              </w:rPr>
            </w:pPr>
            <w:r>
              <w:rPr>
                <w:rFonts w:ascii="Arial" w:cs="Arial" w:eastAsia="Arial" w:hAnsi="Arial"/>
                <w:sz w:val="12"/>
                <w:szCs w:val="12"/>
                <w:color w:val="auto"/>
              </w:rPr>
              <w:t>99.8%</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jc w:val="right"/>
              <w:ind w:right="364"/>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3"/>
          </w:tcPr>
          <w:p>
            <w:pPr>
              <w:jc w:val="right"/>
              <w:spacing w:after="0"/>
              <w:rPr>
                <w:sz w:val="20"/>
                <w:szCs w:val="20"/>
                <w:color w:val="auto"/>
              </w:rPr>
            </w:pPr>
            <w:r>
              <w:rPr>
                <w:rFonts w:ascii="Arial" w:cs="Arial" w:eastAsia="Arial" w:hAnsi="Arial"/>
                <w:sz w:val="12"/>
                <w:szCs w:val="12"/>
                <w:color w:val="auto"/>
              </w:rPr>
              <w:t>22.4%</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95.2%</w:t>
            </w:r>
          </w:p>
        </w:tc>
        <w:tc>
          <w:tcPr>
            <w:tcW w:w="220" w:type="dxa"/>
            <w:vAlign w:val="bottom"/>
          </w:tcPr>
          <w:p>
            <w:pPr>
              <w:spacing w:after="0"/>
              <w:rPr>
                <w:sz w:val="13"/>
                <w:szCs w:val="13"/>
                <w:color w:val="auto"/>
              </w:rPr>
            </w:pPr>
          </w:p>
        </w:tc>
      </w:tr>
      <w:tr>
        <w:trPr>
          <w:trHeight w:val="153"/>
        </w:trPr>
        <w:tc>
          <w:tcPr>
            <w:tcW w:w="4060" w:type="dxa"/>
            <w:vAlign w:val="bottom"/>
            <w:shd w:val="clear" w:color="auto" w:fill="CFF0FC"/>
          </w:tcPr>
          <w:p>
            <w:pPr>
              <w:spacing w:after="0"/>
              <w:rPr>
                <w:sz w:val="20"/>
                <w:szCs w:val="20"/>
                <w:color w:val="auto"/>
              </w:rPr>
            </w:pPr>
            <w:r>
              <w:rPr>
                <w:rFonts w:ascii="Arial" w:cs="Arial" w:eastAsia="Arial" w:hAnsi="Arial"/>
                <w:sz w:val="12"/>
                <w:szCs w:val="12"/>
                <w:color w:val="auto"/>
              </w:rPr>
              <w:t>Less:</w:t>
            </w:r>
          </w:p>
        </w:tc>
        <w:tc>
          <w:tcPr>
            <w:tcW w:w="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r>
      <w:tr>
        <w:trPr>
          <w:trHeight w:val="153"/>
        </w:trPr>
        <w:tc>
          <w:tcPr>
            <w:tcW w:w="4060" w:type="dxa"/>
            <w:vAlign w:val="bottom"/>
          </w:tcPr>
          <w:p>
            <w:pPr>
              <w:ind w:left="80"/>
              <w:spacing w:after="0"/>
              <w:rPr>
                <w:sz w:val="20"/>
                <w:szCs w:val="20"/>
                <w:color w:val="auto"/>
              </w:rPr>
            </w:pPr>
            <w:r>
              <w:rPr>
                <w:rFonts w:ascii="Arial" w:cs="Arial" w:eastAsia="Arial" w:hAnsi="Arial"/>
                <w:sz w:val="12"/>
                <w:szCs w:val="12"/>
                <w:color w:val="auto"/>
              </w:rPr>
              <w:t>Interest expense</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181,797</w:t>
            </w:r>
          </w:p>
        </w:tc>
        <w:tc>
          <w:tcPr>
            <w:tcW w:w="220" w:type="dxa"/>
            <w:vAlign w:val="bottom"/>
          </w:tcPr>
          <w:p>
            <w:pPr>
              <w:spacing w:after="0"/>
              <w:rPr>
                <w:sz w:val="13"/>
                <w:szCs w:val="13"/>
                <w:color w:val="auto"/>
              </w:rPr>
            </w:pPr>
          </w:p>
        </w:tc>
      </w:tr>
      <w:tr>
        <w:trPr>
          <w:trHeight w:val="153"/>
        </w:trPr>
        <w:tc>
          <w:tcPr>
            <w:tcW w:w="4060" w:type="dxa"/>
            <w:vAlign w:val="bottom"/>
            <w:shd w:val="clear" w:color="auto" w:fill="CFF0FC"/>
          </w:tcPr>
          <w:p>
            <w:pPr>
              <w:ind w:left="80"/>
              <w:spacing w:after="0"/>
              <w:rPr>
                <w:sz w:val="20"/>
                <w:szCs w:val="20"/>
                <w:color w:val="auto"/>
              </w:rPr>
            </w:pPr>
            <w:r>
              <w:rPr>
                <w:rFonts w:ascii="Arial" w:cs="Arial" w:eastAsia="Arial" w:hAnsi="Arial"/>
                <w:sz w:val="12"/>
                <w:szCs w:val="12"/>
                <w:color w:val="auto"/>
              </w:rPr>
              <w:t>Depreciation and amortization</w:t>
            </w:r>
          </w:p>
        </w:tc>
        <w:tc>
          <w:tcPr>
            <w:tcW w:w="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80" w:type="dxa"/>
            <w:vAlign w:val="bottom"/>
            <w:shd w:val="clear" w:color="auto" w:fill="CFF0FC"/>
          </w:tcPr>
          <w:p>
            <w:pPr>
              <w:ind w:left="280"/>
              <w:spacing w:after="0"/>
              <w:rPr>
                <w:sz w:val="20"/>
                <w:szCs w:val="20"/>
                <w:color w:val="auto"/>
              </w:rPr>
            </w:pPr>
            <w:r>
              <w:rPr>
                <w:rFonts w:ascii="Arial" w:cs="Arial" w:eastAsia="Arial" w:hAnsi="Arial"/>
                <w:sz w:val="12"/>
                <w:szCs w:val="12"/>
                <w:color w:val="auto"/>
                <w:w w:val="87"/>
              </w:rPr>
              <w:t>235,967</w:t>
            </w: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2,571</w:t>
            </w: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38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210</w:t>
            </w:r>
          </w:p>
        </w:tc>
        <w:tc>
          <w:tcPr>
            <w:tcW w:w="10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238,748</w:t>
            </w:r>
          </w:p>
        </w:tc>
        <w:tc>
          <w:tcPr>
            <w:tcW w:w="220" w:type="dxa"/>
            <w:vAlign w:val="bottom"/>
            <w:shd w:val="clear" w:color="auto" w:fill="CFF0FC"/>
          </w:tcPr>
          <w:p>
            <w:pPr>
              <w:spacing w:after="0"/>
              <w:rPr>
                <w:sz w:val="13"/>
                <w:szCs w:val="13"/>
                <w:color w:val="auto"/>
              </w:rPr>
            </w:pPr>
          </w:p>
        </w:tc>
      </w:tr>
      <w:tr>
        <w:trPr>
          <w:trHeight w:val="153"/>
        </w:trPr>
        <w:tc>
          <w:tcPr>
            <w:tcW w:w="4060" w:type="dxa"/>
            <w:vAlign w:val="bottom"/>
          </w:tcPr>
          <w:p>
            <w:pPr>
              <w:ind w:left="80"/>
              <w:spacing w:after="0"/>
              <w:rPr>
                <w:sz w:val="20"/>
                <w:szCs w:val="20"/>
                <w:color w:val="auto"/>
              </w:rPr>
            </w:pPr>
            <w:r>
              <w:rPr>
                <w:rFonts w:ascii="Arial" w:cs="Arial" w:eastAsia="Arial" w:hAnsi="Arial"/>
                <w:sz w:val="12"/>
                <w:szCs w:val="12"/>
                <w:color w:val="auto"/>
              </w:rPr>
              <w:t>Other expense</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r>
      <w:tr>
        <w:trPr>
          <w:trHeight w:val="153"/>
        </w:trPr>
        <w:tc>
          <w:tcPr>
            <w:tcW w:w="4060" w:type="dxa"/>
            <w:vAlign w:val="bottom"/>
            <w:shd w:val="clear" w:color="auto" w:fill="CFF0FC"/>
          </w:tcPr>
          <w:p>
            <w:pPr>
              <w:ind w:left="80"/>
              <w:spacing w:after="0"/>
              <w:rPr>
                <w:sz w:val="20"/>
                <w:szCs w:val="20"/>
                <w:color w:val="auto"/>
              </w:rPr>
            </w:pPr>
            <w:r>
              <w:rPr>
                <w:rFonts w:ascii="Arial" w:cs="Arial" w:eastAsia="Arial" w:hAnsi="Arial"/>
                <w:sz w:val="12"/>
                <w:szCs w:val="12"/>
                <w:color w:val="auto"/>
              </w:rPr>
              <w:t>Transaction related costs</w:t>
            </w:r>
          </w:p>
        </w:tc>
        <w:tc>
          <w:tcPr>
            <w:tcW w:w="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5,210</w:t>
            </w:r>
          </w:p>
        </w:tc>
        <w:tc>
          <w:tcPr>
            <w:tcW w:w="220" w:type="dxa"/>
            <w:vAlign w:val="bottom"/>
            <w:shd w:val="clear" w:color="auto" w:fill="CFF0FC"/>
          </w:tcPr>
          <w:p>
            <w:pPr>
              <w:spacing w:after="0"/>
              <w:rPr>
                <w:sz w:val="13"/>
                <w:szCs w:val="13"/>
                <w:color w:val="auto"/>
              </w:rPr>
            </w:pPr>
          </w:p>
        </w:tc>
      </w:tr>
      <w:tr>
        <w:trPr>
          <w:trHeight w:val="153"/>
        </w:trPr>
        <w:tc>
          <w:tcPr>
            <w:tcW w:w="4060" w:type="dxa"/>
            <w:vAlign w:val="bottom"/>
          </w:tcPr>
          <w:p>
            <w:pPr>
              <w:ind w:left="80"/>
              <w:spacing w:after="0"/>
              <w:rPr>
                <w:sz w:val="20"/>
                <w:szCs w:val="20"/>
                <w:color w:val="auto"/>
              </w:rPr>
            </w:pPr>
            <w:r>
              <w:rPr>
                <w:rFonts w:ascii="Arial" w:cs="Arial" w:eastAsia="Arial" w:hAnsi="Arial"/>
                <w:sz w:val="12"/>
                <w:szCs w:val="12"/>
                <w:color w:val="auto"/>
              </w:rPr>
              <w:t>Stock-based compensation</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1,934</w:t>
            </w:r>
          </w:p>
        </w:tc>
        <w:tc>
          <w:tcPr>
            <w:tcW w:w="220" w:type="dxa"/>
            <w:vAlign w:val="bottom"/>
          </w:tcPr>
          <w:p>
            <w:pPr>
              <w:spacing w:after="0"/>
              <w:rPr>
                <w:sz w:val="13"/>
                <w:szCs w:val="13"/>
                <w:color w:val="auto"/>
              </w:rPr>
            </w:pPr>
          </w:p>
        </w:tc>
      </w:tr>
      <w:tr>
        <w:trPr>
          <w:trHeight w:val="153"/>
        </w:trPr>
        <w:tc>
          <w:tcPr>
            <w:tcW w:w="4060" w:type="dxa"/>
            <w:vAlign w:val="bottom"/>
            <w:shd w:val="clear" w:color="auto" w:fill="CFF0FC"/>
          </w:tcPr>
          <w:p>
            <w:pPr>
              <w:ind w:left="80"/>
              <w:spacing w:after="0"/>
              <w:rPr>
                <w:sz w:val="20"/>
                <w:szCs w:val="20"/>
                <w:color w:val="auto"/>
              </w:rPr>
            </w:pPr>
            <w:r>
              <w:rPr>
                <w:rFonts w:ascii="Arial" w:cs="Arial" w:eastAsia="Arial" w:hAnsi="Arial"/>
                <w:sz w:val="12"/>
                <w:szCs w:val="12"/>
                <w:color w:val="auto"/>
              </w:rPr>
              <w:t>Income tax expense</w:t>
            </w:r>
          </w:p>
        </w:tc>
        <w:tc>
          <w:tcPr>
            <w:tcW w:w="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560" w:type="dxa"/>
            <w:vAlign w:val="bottom"/>
            <w:tcBorders>
              <w:bottom w:val="single" w:sz="8" w:color="auto"/>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40" w:type="dxa"/>
            <w:vAlign w:val="bottom"/>
            <w:tcBorders>
              <w:bottom w:val="single" w:sz="8" w:color="auto"/>
            </w:tcBorders>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738</w:t>
            </w:r>
          </w:p>
        </w:tc>
        <w:tc>
          <w:tcPr>
            <w:tcW w:w="220" w:type="dxa"/>
            <w:vAlign w:val="bottom"/>
            <w:shd w:val="clear" w:color="auto" w:fill="CFF0FC"/>
          </w:tcPr>
          <w:p>
            <w:pPr>
              <w:spacing w:after="0"/>
              <w:rPr>
                <w:sz w:val="13"/>
                <w:szCs w:val="13"/>
                <w:color w:val="auto"/>
              </w:rPr>
            </w:pPr>
          </w:p>
        </w:tc>
      </w:tr>
      <w:tr>
        <w:trPr>
          <w:trHeight w:val="149"/>
        </w:trPr>
        <w:tc>
          <w:tcPr>
            <w:tcW w:w="4060" w:type="dxa"/>
            <w:vAlign w:val="bottom"/>
          </w:tcPr>
          <w:p>
            <w:pPr>
              <w:spacing w:after="0"/>
              <w:rPr>
                <w:sz w:val="20"/>
                <w:szCs w:val="20"/>
                <w:color w:val="auto"/>
              </w:rPr>
            </w:pPr>
            <w:r>
              <w:rPr>
                <w:rFonts w:ascii="Arial" w:cs="Arial" w:eastAsia="Arial" w:hAnsi="Arial"/>
                <w:sz w:val="12"/>
                <w:szCs w:val="12"/>
                <w:color w:val="auto"/>
              </w:rPr>
              <w:t>Net income</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24,870</w:t>
            </w:r>
          </w:p>
        </w:tc>
        <w:tc>
          <w:tcPr>
            <w:tcW w:w="220" w:type="dxa"/>
            <w:vAlign w:val="bottom"/>
          </w:tcPr>
          <w:p>
            <w:pPr>
              <w:spacing w:after="0"/>
              <w:rPr>
                <w:sz w:val="12"/>
                <w:szCs w:val="12"/>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Revenues</w:t>
      </w:r>
    </w:p>
    <w:p>
      <w:pPr>
        <w:spacing w:after="0" w:line="78" w:lineRule="exact"/>
        <w:rPr>
          <w:sz w:val="20"/>
          <w:szCs w:val="20"/>
          <w:color w:val="auto"/>
        </w:rPr>
      </w:pPr>
    </w:p>
    <w:p>
      <w:pPr>
        <w:ind w:right="140"/>
        <w:spacing w:after="0" w:line="257" w:lineRule="auto"/>
        <w:rPr>
          <w:sz w:val="20"/>
          <w:szCs w:val="20"/>
          <w:color w:val="auto"/>
        </w:rPr>
      </w:pPr>
      <w:r>
        <w:rPr>
          <w:rFonts w:ascii="Arial" w:cs="Arial" w:eastAsia="Arial" w:hAnsi="Arial"/>
          <w:sz w:val="12"/>
          <w:szCs w:val="12"/>
          <w:i w:val="1"/>
          <w:iCs w:val="1"/>
          <w:u w:val="single" w:color="auto"/>
          <w:color w:val="auto"/>
        </w:rPr>
        <w:t>Leasing</w:t>
      </w:r>
      <w:r>
        <w:rPr>
          <w:rFonts w:ascii="Arial" w:cs="Arial" w:eastAsia="Arial" w:hAnsi="Arial"/>
          <w:sz w:val="12"/>
          <w:szCs w:val="12"/>
          <w:i w:val="1"/>
          <w:iCs w:val="1"/>
          <w:color w:val="auto"/>
        </w:rPr>
        <w:t xml:space="preserve"> </w:t>
      </w:r>
      <w:r>
        <w:rPr>
          <w:rFonts w:ascii="Arial" w:cs="Arial" w:eastAsia="Arial" w:hAnsi="Arial"/>
          <w:sz w:val="12"/>
          <w:szCs w:val="12"/>
          <w:color w:val="auto"/>
        </w:rPr>
        <w:t>– For the year ended December 31, 2016, we recognized $676.9 million of revenue under the Master Lease, which included $6.1 million of TCI revenue. For the period from April 24, 2015 to December 31, 2015, we recognized</w:t>
      </w:r>
      <w:r>
        <w:rPr>
          <w:rFonts w:ascii="Arial" w:cs="Arial" w:eastAsia="Arial" w:hAnsi="Arial"/>
          <w:sz w:val="12"/>
          <w:szCs w:val="12"/>
          <w:i w:val="1"/>
          <w:iCs w:val="1"/>
          <w:color w:val="auto"/>
        </w:rPr>
        <w:t xml:space="preserve"> </w:t>
      </w:r>
      <w:r>
        <w:rPr>
          <w:rFonts w:ascii="Arial" w:cs="Arial" w:eastAsia="Arial" w:hAnsi="Arial"/>
          <w:sz w:val="12"/>
          <w:szCs w:val="12"/>
          <w:color w:val="auto"/>
        </w:rPr>
        <w:t>$458.6 million of revenue under the Master Lease, which includes $0.8 million of TCI revenue. The increase is primarily attributable to a full year of revenue during 2016 as compared to 252 days of revenue during the period from April 24, 2015 to December 31, 2015. We funded $43.1 million of capital expenditures related to the Distribution Systems on December 29, 2015. Monthly rent paid by Windstream increased by approximately $3.5 million per year in accordance with the Master Lease effective as of the date we provided the funding. During the years ended December 31, 2016 and for the period from April 24, 2015 through December 31, 2015, we recorded $157.0 million and $68.6 million of TCIs, respectively.</w:t>
      </w:r>
    </w:p>
    <w:p>
      <w:pPr>
        <w:spacing w:after="0" w:line="126" w:lineRule="exact"/>
        <w:rPr>
          <w:sz w:val="20"/>
          <w:szCs w:val="20"/>
          <w:color w:val="auto"/>
        </w:rPr>
      </w:pPr>
    </w:p>
    <w:p>
      <w:pPr>
        <w:ind w:right="100"/>
        <w:spacing w:after="0" w:line="340" w:lineRule="auto"/>
        <w:rPr>
          <w:sz w:val="20"/>
          <w:szCs w:val="20"/>
          <w:color w:val="auto"/>
        </w:rPr>
      </w:pPr>
      <w:r>
        <w:rPr>
          <w:rFonts w:ascii="Arial" w:cs="Arial" w:eastAsia="Arial" w:hAnsi="Arial"/>
          <w:sz w:val="10"/>
          <w:szCs w:val="10"/>
          <w:i w:val="1"/>
          <w:iCs w:val="1"/>
          <w:u w:val="single" w:color="auto"/>
          <w:color w:val="auto"/>
        </w:rPr>
        <w:t>Fiber Infrastructure</w:t>
      </w:r>
      <w:r>
        <w:rPr>
          <w:rFonts w:ascii="Arial" w:cs="Arial" w:eastAsia="Arial" w:hAnsi="Arial"/>
          <w:sz w:val="10"/>
          <w:szCs w:val="10"/>
          <w:i w:val="1"/>
          <w:iCs w:val="1"/>
          <w:color w:val="auto"/>
        </w:rPr>
        <w:t xml:space="preserve"> </w:t>
      </w:r>
      <w:r>
        <w:rPr>
          <w:rFonts w:ascii="Arial" w:cs="Arial" w:eastAsia="Arial" w:hAnsi="Arial"/>
          <w:sz w:val="10"/>
          <w:szCs w:val="10"/>
          <w:color w:val="auto"/>
        </w:rPr>
        <w:t>– We recognized $70.6 million of revenue, approximately 78% of which was derived from lit backhaul services, from our Fiber Infrastructure segment for the year ended December 31, 2016. This revenue was derived</w:t>
      </w:r>
      <w:r>
        <w:rPr>
          <w:rFonts w:ascii="Arial" w:cs="Arial" w:eastAsia="Arial" w:hAnsi="Arial"/>
          <w:sz w:val="10"/>
          <w:szCs w:val="10"/>
          <w:i w:val="1"/>
          <w:iCs w:val="1"/>
          <w:color w:val="auto"/>
        </w:rPr>
        <w:t xml:space="preserve"> </w:t>
      </w:r>
      <w:r>
        <w:rPr>
          <w:rFonts w:ascii="Arial" w:cs="Arial" w:eastAsia="Arial" w:hAnsi="Arial"/>
          <w:sz w:val="10"/>
          <w:szCs w:val="10"/>
          <w:color w:val="auto"/>
        </w:rPr>
        <w:t>from the newly acquired PEG Bandwidth and Tower Cloud businesses. Revenues related to the PEG Bandwidth acquisition have been included in our results of operations for the period from May 2, 2016 to December 31, 2016 and revenues related to the Tower Cloud acquisition have been included in our results of operations for the period from September 1, 2016 to December 31, 2016. At December 31, 2016, we had approximately 5,450 customer connections.</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36" w:name="page37"/>
    <w:bookmarkEnd w:id="36"/>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ind w:right="20"/>
        <w:spacing w:after="0" w:line="263" w:lineRule="auto"/>
        <w:rPr>
          <w:sz w:val="20"/>
          <w:szCs w:val="20"/>
          <w:color w:val="auto"/>
        </w:rPr>
      </w:pPr>
      <w:r>
        <w:rPr>
          <w:rFonts w:ascii="Arial" w:cs="Arial" w:eastAsia="Arial" w:hAnsi="Arial"/>
          <w:sz w:val="12"/>
          <w:szCs w:val="12"/>
          <w:i w:val="1"/>
          <w:iCs w:val="1"/>
          <w:u w:val="single" w:color="auto"/>
          <w:color w:val="auto"/>
        </w:rPr>
        <w:t>Consumer CLEC</w:t>
      </w:r>
      <w:r>
        <w:rPr>
          <w:rFonts w:ascii="Arial" w:cs="Arial" w:eastAsia="Arial" w:hAnsi="Arial"/>
          <w:sz w:val="12"/>
          <w:szCs w:val="12"/>
          <w:i w:val="1"/>
          <w:iCs w:val="1"/>
          <w:color w:val="auto"/>
        </w:rPr>
        <w:t xml:space="preserve"> </w:t>
      </w:r>
      <w:r>
        <w:rPr>
          <w:rFonts w:ascii="Arial" w:cs="Arial" w:eastAsia="Arial" w:hAnsi="Arial"/>
          <w:sz w:val="12"/>
          <w:szCs w:val="12"/>
          <w:color w:val="auto"/>
        </w:rPr>
        <w:t>– For the year ended December 31, 2016, we recognized $22.5 million of revenue from the Consumer CLEC Business, compared to $17.7 million for the period from April 24, 2015 to December 31, 2015. The increase is</w:t>
      </w:r>
      <w:r>
        <w:rPr>
          <w:rFonts w:ascii="Arial" w:cs="Arial" w:eastAsia="Arial" w:hAnsi="Arial"/>
          <w:sz w:val="12"/>
          <w:szCs w:val="12"/>
          <w:i w:val="1"/>
          <w:iCs w:val="1"/>
          <w:color w:val="auto"/>
        </w:rPr>
        <w:t xml:space="preserve"> </w:t>
      </w:r>
      <w:r>
        <w:rPr>
          <w:rFonts w:ascii="Arial" w:cs="Arial" w:eastAsia="Arial" w:hAnsi="Arial"/>
          <w:sz w:val="12"/>
          <w:szCs w:val="12"/>
          <w:color w:val="auto"/>
        </w:rPr>
        <w:t>primarily attributable to a full year of revenue during 2016 as compared to 252 days of revenue during the prior year period. We served approximately 37,000 customers as of December 31, 2016, a 19.6% decrease from 46,000 at December 31, 2015. The decrease in customers is due to the effects of competition and customer attrition.</w:t>
      </w:r>
    </w:p>
    <w:p>
      <w:pPr>
        <w:spacing w:after="0" w:line="19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Interest Expense</w:t>
      </w:r>
    </w:p>
    <w:p>
      <w:pPr>
        <w:spacing w:after="0" w:line="78" w:lineRule="exact"/>
        <w:rPr>
          <w:sz w:val="20"/>
          <w:szCs w:val="20"/>
          <w:color w:val="auto"/>
        </w:rPr>
      </w:pPr>
    </w:p>
    <w:p>
      <w:pPr>
        <w:ind w:right="140"/>
        <w:spacing w:after="0" w:line="263" w:lineRule="auto"/>
        <w:rPr>
          <w:sz w:val="20"/>
          <w:szCs w:val="20"/>
          <w:color w:val="auto"/>
        </w:rPr>
      </w:pPr>
      <w:r>
        <w:rPr>
          <w:rFonts w:ascii="Arial" w:cs="Arial" w:eastAsia="Arial" w:hAnsi="Arial"/>
          <w:sz w:val="12"/>
          <w:szCs w:val="12"/>
          <w:color w:val="auto"/>
        </w:rPr>
        <w:t>Interest expense for the year ended December 31, 2016 totaled $275.4 million (35.7% of revenue), which included non-cash interest expense of $16.0 million resulting from the amortization of our debt discounts and debt issuance costs. During the year ended December 31, 2016, we incurred $4.1 million in interest expense related to borrowings under our Revolving Credit Facility, $4.9 million related to the add-on Secured Notes and $1.2 million in interest expense related to the 2024 Notes.</w:t>
      </w:r>
    </w:p>
    <w:p>
      <w:pPr>
        <w:spacing w:after="0" w:line="51" w:lineRule="exact"/>
        <w:rPr>
          <w:sz w:val="20"/>
          <w:szCs w:val="20"/>
          <w:color w:val="auto"/>
        </w:rPr>
      </w:pPr>
    </w:p>
    <w:p>
      <w:pPr>
        <w:spacing w:after="0"/>
        <w:rPr>
          <w:sz w:val="20"/>
          <w:szCs w:val="20"/>
          <w:color w:val="auto"/>
        </w:rPr>
      </w:pPr>
      <w:r>
        <w:rPr>
          <w:rFonts w:ascii="Arial" w:cs="Arial" w:eastAsia="Arial" w:hAnsi="Arial"/>
          <w:sz w:val="11"/>
          <w:szCs w:val="11"/>
          <w:color w:val="auto"/>
        </w:rPr>
        <w:t>Interest expense for the period from April 24, 2015 to December 31, 2015 totaled $181.8 million, which included non-cash interest expense of $10.0 million resulting from the amortization of our debt discounts and debt issuance costs.</w:t>
      </w:r>
    </w:p>
    <w:p>
      <w:pPr>
        <w:spacing w:after="0" w:line="23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Depreciation and Amortization Expense</w:t>
      </w:r>
    </w:p>
    <w:p>
      <w:pPr>
        <w:spacing w:after="0" w:line="78" w:lineRule="exact"/>
        <w:rPr>
          <w:sz w:val="20"/>
          <w:szCs w:val="20"/>
          <w:color w:val="auto"/>
        </w:rPr>
      </w:pPr>
    </w:p>
    <w:p>
      <w:pPr>
        <w:spacing w:after="0" w:line="263" w:lineRule="auto"/>
        <w:rPr>
          <w:sz w:val="20"/>
          <w:szCs w:val="20"/>
          <w:color w:val="auto"/>
        </w:rPr>
      </w:pPr>
      <w:r>
        <w:rPr>
          <w:rFonts w:ascii="Arial" w:cs="Arial" w:eastAsia="Arial" w:hAnsi="Arial"/>
          <w:sz w:val="12"/>
          <w:szCs w:val="12"/>
          <w:color w:val="auto"/>
        </w:rPr>
        <w:t>Charges for depreciation and amortization for the year ended December 31, 2016 totaled $376.0 million (48.8% of revenue), which included property, plant and equipment depreciation of $369.9 million and intangible asset amortization of $6.1 million. Charges for depreciation and amortization for the period from April 24, 2015 to December 31, 2015 totaled $238.7 million (50.1% of revenue), which included real estate investment depreciation of $235.9 million, corporate asset depreciation of $0.2 million and intangible asset amortization of $2.6 million.</w:t>
      </w:r>
    </w:p>
    <w:p>
      <w:pPr>
        <w:spacing w:after="0" w:line="19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General and Administrative Expense</w:t>
      </w:r>
    </w:p>
    <w:p>
      <w:pPr>
        <w:spacing w:after="0" w:line="78" w:lineRule="exact"/>
        <w:rPr>
          <w:sz w:val="20"/>
          <w:szCs w:val="20"/>
          <w:color w:val="auto"/>
        </w:rPr>
      </w:pPr>
    </w:p>
    <w:p>
      <w:pPr>
        <w:ind w:right="140"/>
        <w:spacing w:after="0" w:line="263" w:lineRule="auto"/>
        <w:rPr>
          <w:sz w:val="20"/>
          <w:szCs w:val="20"/>
          <w:color w:val="auto"/>
        </w:rPr>
      </w:pPr>
      <w:r>
        <w:rPr>
          <w:rFonts w:ascii="Arial" w:cs="Arial" w:eastAsia="Arial" w:hAnsi="Arial"/>
          <w:sz w:val="12"/>
          <w:szCs w:val="12"/>
          <w:color w:val="auto"/>
        </w:rPr>
        <w:t>General and administrative expenses include compensation costs (including stock-based compensation awards), professional and legal services, corporate office costs and other costs associated with administrative activities. For the year ended December 31, 2016, general and administrative costs totaled $35.4 million (4.6% of revenue), which included $4.8 million of stock-based compensation expense. For the year ended December 31, 2016, our general and administrative expenses included $13.1 million (1.7% of revenue) of expense related to the newly acquired PEG Bandwidth and Tower Cloud businesses.</w:t>
      </w:r>
    </w:p>
    <w:p>
      <w:pPr>
        <w:spacing w:after="0" w:line="51" w:lineRule="exact"/>
        <w:rPr>
          <w:sz w:val="20"/>
          <w:szCs w:val="20"/>
          <w:color w:val="auto"/>
        </w:rPr>
      </w:pPr>
    </w:p>
    <w:p>
      <w:pPr>
        <w:spacing w:after="0"/>
        <w:rPr>
          <w:sz w:val="20"/>
          <w:szCs w:val="20"/>
          <w:color w:val="auto"/>
        </w:rPr>
      </w:pPr>
      <w:r>
        <w:rPr>
          <w:rFonts w:ascii="Arial" w:cs="Arial" w:eastAsia="Arial" w:hAnsi="Arial"/>
          <w:sz w:val="12"/>
          <w:szCs w:val="12"/>
          <w:color w:val="auto"/>
        </w:rPr>
        <w:t>For the period from April 24, 2015 to December 31, 2015, general and administrative costs totaled $11.2 million (representing 2.4 % of revenue), which includes $1.9 million of stock-based compensation expense.</w:t>
      </w:r>
    </w:p>
    <w:p>
      <w:pPr>
        <w:spacing w:after="0" w:line="22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Operating Expense</w:t>
      </w:r>
    </w:p>
    <w:p>
      <w:pPr>
        <w:spacing w:after="0" w:line="78" w:lineRule="exact"/>
        <w:rPr>
          <w:sz w:val="20"/>
          <w:szCs w:val="20"/>
          <w:color w:val="auto"/>
        </w:rPr>
      </w:pPr>
    </w:p>
    <w:p>
      <w:pPr>
        <w:ind w:right="80"/>
        <w:spacing w:after="0" w:line="276" w:lineRule="auto"/>
        <w:rPr>
          <w:sz w:val="20"/>
          <w:szCs w:val="20"/>
          <w:color w:val="auto"/>
        </w:rPr>
      </w:pPr>
      <w:r>
        <w:rPr>
          <w:rFonts w:ascii="Arial" w:cs="Arial" w:eastAsia="Arial" w:hAnsi="Arial"/>
          <w:sz w:val="12"/>
          <w:szCs w:val="12"/>
          <w:color w:val="auto"/>
        </w:rPr>
        <w:t>Operating expense for the year ended December 31, 2016 totaled $49.7 million (6.4% of revenue), which consists of $17.4 million (2.3% of revenue) of expense related to the operation of the Consumer CLEC Business and $32.1 million (4.2% of revenue) of expense related to the newly acquired PEG Bandwidth and Tower Cloud businesses.</w:t>
      </w:r>
    </w:p>
    <w:p>
      <w:pPr>
        <w:spacing w:after="0" w:line="43" w:lineRule="exact"/>
        <w:rPr>
          <w:sz w:val="20"/>
          <w:szCs w:val="20"/>
          <w:color w:val="auto"/>
        </w:rPr>
      </w:pPr>
    </w:p>
    <w:p>
      <w:pPr>
        <w:spacing w:after="0"/>
        <w:rPr>
          <w:sz w:val="20"/>
          <w:szCs w:val="20"/>
          <w:color w:val="auto"/>
        </w:rPr>
      </w:pPr>
      <w:r>
        <w:rPr>
          <w:rFonts w:ascii="Arial" w:cs="Arial" w:eastAsia="Arial" w:hAnsi="Arial"/>
          <w:sz w:val="12"/>
          <w:szCs w:val="12"/>
          <w:color w:val="auto"/>
        </w:rPr>
        <w:t>For the year ended December 31, 2016, Fiber Infrastructure operating expenses include $7 million of tower rent, $5.3 million of payroll-related expense, and $4.3 million of lit service expense.</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color w:val="auto"/>
        </w:rPr>
        <w:t>Operating expense for the period from April 24, 2015 to December 31, 2015 totaled $13.7 million (2.9% of revenue), which consisted primarily of expenses related to the operation of the Consumer CLEC Business.</w:t>
      </w:r>
    </w:p>
    <w:p>
      <w:pPr>
        <w:spacing w:after="0" w:line="2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Non-GAAP Financial Measures</w:t>
      </w:r>
    </w:p>
    <w:p>
      <w:pPr>
        <w:spacing w:after="0" w:line="154" w:lineRule="exact"/>
        <w:rPr>
          <w:sz w:val="20"/>
          <w:szCs w:val="20"/>
          <w:color w:val="auto"/>
        </w:rPr>
      </w:pPr>
    </w:p>
    <w:p>
      <w:pPr>
        <w:ind w:right="240"/>
        <w:spacing w:after="0" w:line="323" w:lineRule="auto"/>
        <w:rPr>
          <w:sz w:val="20"/>
          <w:szCs w:val="20"/>
          <w:color w:val="auto"/>
        </w:rPr>
      </w:pPr>
      <w:r>
        <w:rPr>
          <w:rFonts w:ascii="Arial" w:cs="Arial" w:eastAsia="Arial" w:hAnsi="Arial"/>
          <w:sz w:val="11"/>
          <w:szCs w:val="11"/>
          <w:color w:val="auto"/>
        </w:rPr>
        <w:t>We refer to EBITDA, Adjusted EBITDA, Funds From Operations ("FFO") (as defined by the National Association of Real Estate Investment Trusts ("NAREIT")) and Adjusted Funds From Operations ("AFFO") in our analysis of our results of operations, which are not required by, or presented in accordance with, accounting principles generally accepted in the United States ("GAAP"). While we believe that net income, as defined by GAAP, is the most</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40"/>
          </w:cols>
          <w:pgMar w:left="220" w:top="131" w:right="239" w:bottom="1440" w:gutter="0" w:footer="0" w:header="0"/>
        </w:sectPr>
      </w:pPr>
    </w:p>
    <w:bookmarkStart w:id="37" w:name="page38"/>
    <w:bookmarkEnd w:id="37"/>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appropriate earnings measure, we also believe that EBITDA, Adjusted EBITDA, FFO and AFFO are important non-GAAP supplemental measures of operating performance for a REIT.</w:t>
      </w:r>
    </w:p>
    <w:p>
      <w:pPr>
        <w:spacing w:after="0" w:line="150" w:lineRule="exact"/>
        <w:rPr>
          <w:sz w:val="20"/>
          <w:szCs w:val="20"/>
          <w:color w:val="auto"/>
        </w:rPr>
      </w:pPr>
    </w:p>
    <w:p>
      <w:pPr>
        <w:spacing w:after="0" w:line="257" w:lineRule="auto"/>
        <w:rPr>
          <w:sz w:val="20"/>
          <w:szCs w:val="20"/>
          <w:color w:val="auto"/>
        </w:rPr>
      </w:pPr>
      <w:r>
        <w:rPr>
          <w:rFonts w:ascii="Arial" w:cs="Arial" w:eastAsia="Arial" w:hAnsi="Arial"/>
          <w:sz w:val="12"/>
          <w:szCs w:val="12"/>
          <w:color w:val="auto"/>
        </w:rPr>
        <w:t>We define "EBITDA" as net income, as defined by GAAP, before interest expense, provision for income taxes and depreciation and amortization. We define "Adjusted EBITDA" as EBITDA before stock-based compensation expense and the impact, which may be recurring in nature, of transaction and integration related costs (collectively, "transaction related costs"), the write-off of unamortized deferred financing costs, costs incurred as a result of the early repayment of debt, changes in the fair value of contingent consideration and financial instruments, and other similar items (although we may not have had such charges in the periods presented). We believe EBITDA and Adjusted EBITDA are important supplemental measures to net income because they provide additional information to evaluate our operating performance on an unleveraged basis. Since EBITDA and Adjusted EBITDA are not measures calculated in accordance with GAAP, they should not be considered as an alternative to net income determined in accordance with GAAP.</w:t>
      </w:r>
    </w:p>
    <w:p>
      <w:pPr>
        <w:spacing w:after="0" w:line="126" w:lineRule="exact"/>
        <w:rPr>
          <w:sz w:val="20"/>
          <w:szCs w:val="20"/>
          <w:color w:val="auto"/>
        </w:rPr>
      </w:pPr>
    </w:p>
    <w:p>
      <w:pPr>
        <w:ind w:right="100"/>
        <w:spacing w:after="0" w:line="257" w:lineRule="auto"/>
        <w:rPr>
          <w:sz w:val="20"/>
          <w:szCs w:val="20"/>
          <w:color w:val="auto"/>
        </w:rPr>
      </w:pPr>
      <w:r>
        <w:rPr>
          <w:rFonts w:ascii="Arial" w:cs="Arial" w:eastAsia="Arial" w:hAnsi="Arial"/>
          <w:sz w:val="12"/>
          <w:szCs w:val="12"/>
          <w:color w:val="auto"/>
        </w:rPr>
        <w:t>Because the historical cost accounting convention used for real estate assets requires the recognition of depreciation expense except on land, such accounting presentation implies that the value of real estate assets diminishes predictably over time. However, since real estate values have historically risen or fallen with market and other conditions, presentations of operating results for a REIT that uses historical cost accounting for depreciation could be less informative. Thus, NAREIT created FFO as a supplemental measure of operating performance for REITs that excludes historical cost depreciation and amortization, among other items, from net income, as defined by GAAP. FFO is defined by NAREIT as net income applicable to common shareholders computed in accordance with GAAP, excluding gains or losses from real estate dispositions, plus real estate depreciation and amortization and impairment charges. We compute FFO in accordance with NAREIT's definition.</w:t>
      </w:r>
    </w:p>
    <w:p>
      <w:pPr>
        <w:spacing w:after="0" w:line="126" w:lineRule="exact"/>
        <w:rPr>
          <w:sz w:val="20"/>
          <w:szCs w:val="20"/>
          <w:color w:val="auto"/>
        </w:rPr>
      </w:pPr>
    </w:p>
    <w:p>
      <w:pPr>
        <w:ind w:right="20"/>
        <w:spacing w:after="0" w:line="279" w:lineRule="auto"/>
        <w:rPr>
          <w:sz w:val="20"/>
          <w:szCs w:val="20"/>
          <w:color w:val="auto"/>
        </w:rPr>
      </w:pPr>
      <w:r>
        <w:rPr>
          <w:rFonts w:ascii="Arial" w:cs="Arial" w:eastAsia="Arial" w:hAnsi="Arial"/>
          <w:sz w:val="11"/>
          <w:szCs w:val="11"/>
          <w:color w:val="auto"/>
        </w:rPr>
        <w:t>We define AFFO as FFO excluding (i) transaction and integration costs; (ii) certain non-cash revenues and expenses such as stock-based compensation expense, amortization of debt and equity discounts, amortization of deferred financing costs, depreciation and amortization of non-real estate assets, straight line revenues, non-cash income taxes, and the amortization of other non-cash revenues to the extent that cash has not been received, such as revenue associated with the amortization of tenant capital improvements; (iii) the impact, which may be recurring in nature, of the write-off of unamortized deferred financing fees, additional costs incurred as a result of early repayment of debt, changes in the fair value of contingent consideration and financial instruments and similar items less maintenance capital expenditures. We believe that the use of FFO and AFFO, and their respective per share amounts, combined with the required GAAP presentations, improves the understanding of operating results of REITs among investors and analysts, and makes comparisons of operating results among such companies more meaningful. We consider FFO and AFFO to be useful measures for reviewing comparative operating performance. In particular, we believe AFFO, by excluding certain revenue and expense items, can help investors compare our operating performance between periods and to other REITs on a consistent basis without having to account for differences caused by unanticipated items and events, such as transaction and integration related costs. The Company uses FFO and AFFO, and their respective per share amounts, only as performance measures, and FFO and AFFO do not purport to be indicative of cash available to fund our future cash requirements. While FFO and AFFO are relevant and widely used measures of operating performance of REITs, they do not represent cash flows from operations or net income as defined by GAAP and should not be considered an alternative to those measures in evaluating our liquidity or operating performance.</w:t>
      </w:r>
    </w:p>
    <w:p>
      <w:pPr>
        <w:spacing w:after="0" w:line="118" w:lineRule="exact"/>
        <w:rPr>
          <w:sz w:val="20"/>
          <w:szCs w:val="20"/>
          <w:color w:val="auto"/>
        </w:rPr>
      </w:pPr>
    </w:p>
    <w:p>
      <w:pPr>
        <w:ind w:right="140"/>
        <w:spacing w:after="0" w:line="272" w:lineRule="auto"/>
        <w:rPr>
          <w:sz w:val="20"/>
          <w:szCs w:val="20"/>
          <w:color w:val="auto"/>
        </w:rPr>
      </w:pPr>
      <w:r>
        <w:rPr>
          <w:rFonts w:ascii="Arial" w:cs="Arial" w:eastAsia="Arial" w:hAnsi="Arial"/>
          <w:sz w:val="12"/>
          <w:szCs w:val="12"/>
          <w:color w:val="auto"/>
        </w:rPr>
        <w:t>Further, our computations of EBITDA, Adjusted EBITDA, FFO and AFFO may not be comparable to that reported by other REITs or companies that do not define FFO in accordance with the current NAREIT definition or that interpret the current NAREIT definition or define EBITDA, Adjusted EBITDA and AFFO differently than we do</w:t>
      </w:r>
      <w:r>
        <w:rPr>
          <w:rFonts w:ascii="Arial" w:cs="Arial" w:eastAsia="Arial" w:hAnsi="Arial"/>
          <w:sz w:val="14"/>
          <w:szCs w:val="14"/>
          <w:color w:val="auto"/>
        </w:rPr>
        <w:t>.</w:t>
      </w:r>
    </w:p>
    <w:p>
      <w:pPr>
        <w:spacing w:after="0" w:line="112" w:lineRule="exact"/>
        <w:rPr>
          <w:sz w:val="20"/>
          <w:szCs w:val="20"/>
          <w:color w:val="auto"/>
        </w:rPr>
      </w:pPr>
    </w:p>
    <w:p>
      <w:pPr>
        <w:ind w:right="100"/>
        <w:spacing w:after="0" w:line="276" w:lineRule="auto"/>
        <w:rPr>
          <w:sz w:val="20"/>
          <w:szCs w:val="20"/>
          <w:color w:val="auto"/>
        </w:rPr>
      </w:pPr>
      <w:r>
        <w:rPr>
          <w:rFonts w:ascii="Arial" w:cs="Arial" w:eastAsia="Arial" w:hAnsi="Arial"/>
          <w:sz w:val="12"/>
          <w:szCs w:val="12"/>
          <w:color w:val="auto"/>
        </w:rPr>
        <w:t>The reconciliation of our net income to EBITDA and Adjusted EBITDA and of our net income attributable to common shareholders to FFO and AFFO for the years ended December 31, 2017, 2016 and for the period from April 24, 2015 to December 31, 2015 is as follows: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131" w:right="219" w:bottom="1440" w:gutter="0" w:footer="0" w:header="0"/>
        </w:sectPr>
      </w:pPr>
    </w:p>
    <w:bookmarkStart w:id="38" w:name="page39"/>
    <w:bookmarkEnd w:id="38"/>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280" w:type="dxa"/>
            <w:vAlign w:val="bottom"/>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228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0"/>
                <w:szCs w:val="10"/>
                <w:b w:val="1"/>
                <w:bCs w:val="1"/>
                <w:color w:val="auto"/>
              </w:rPr>
              <w:t>Year Ended December 31,</w:t>
            </w:r>
          </w:p>
        </w:tc>
        <w:tc>
          <w:tcPr>
            <w:tcW w:w="124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78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w w:val="89"/>
              </w:rPr>
              <w:t>Period from</w:t>
            </w:r>
          </w:p>
        </w:tc>
      </w:tr>
      <w:tr>
        <w:trPr>
          <w:trHeight w:val="97"/>
        </w:trPr>
        <w:tc>
          <w:tcPr>
            <w:tcW w:w="5280" w:type="dxa"/>
            <w:vAlign w:val="bottom"/>
            <w:tcBorders>
              <w:bottom w:val="single" w:sz="8" w:color="CFF0FC"/>
            </w:tcBorders>
          </w:tcPr>
          <w:p>
            <w:pPr>
              <w:spacing w:after="0" w:line="97" w:lineRule="exact"/>
              <w:rPr>
                <w:sz w:val="20"/>
                <w:szCs w:val="20"/>
                <w:color w:val="auto"/>
              </w:rPr>
            </w:pPr>
            <w:r>
              <w:rPr>
                <w:rFonts w:ascii="Arial" w:cs="Arial" w:eastAsia="Arial" w:hAnsi="Arial"/>
                <w:sz w:val="10"/>
                <w:szCs w:val="10"/>
                <w:color w:val="auto"/>
              </w:rPr>
              <w:t>(Thousands)</w:t>
            </w:r>
          </w:p>
        </w:tc>
        <w:tc>
          <w:tcPr>
            <w:tcW w:w="440" w:type="dxa"/>
            <w:vAlign w:val="bottom"/>
            <w:tcBorders>
              <w:bottom w:val="single" w:sz="8" w:color="auto"/>
            </w:tcBorders>
          </w:tcPr>
          <w:p>
            <w:pPr>
              <w:spacing w:after="0"/>
              <w:rPr>
                <w:sz w:val="8"/>
                <w:szCs w:val="8"/>
                <w:color w:val="auto"/>
              </w:rPr>
            </w:pPr>
          </w:p>
        </w:tc>
        <w:tc>
          <w:tcPr>
            <w:tcW w:w="1400" w:type="dxa"/>
            <w:vAlign w:val="bottom"/>
            <w:tcBorders>
              <w:bottom w:val="single" w:sz="8" w:color="auto"/>
            </w:tcBorders>
          </w:tcPr>
          <w:p>
            <w:pPr>
              <w:jc w:val="right"/>
              <w:ind w:right="782"/>
              <w:spacing w:after="0" w:line="97" w:lineRule="exact"/>
              <w:rPr>
                <w:sz w:val="20"/>
                <w:szCs w:val="20"/>
                <w:color w:val="auto"/>
              </w:rPr>
            </w:pPr>
            <w:r>
              <w:rPr>
                <w:rFonts w:ascii="Arial" w:cs="Arial" w:eastAsia="Arial" w:hAnsi="Arial"/>
                <w:sz w:val="10"/>
                <w:szCs w:val="10"/>
                <w:b w:val="1"/>
                <w:bCs w:val="1"/>
                <w:color w:val="auto"/>
              </w:rPr>
              <w:t>2017</w:t>
            </w:r>
          </w:p>
        </w:tc>
        <w:tc>
          <w:tcPr>
            <w:tcW w:w="260" w:type="dxa"/>
            <w:vAlign w:val="bottom"/>
            <w:tcBorders>
              <w:bottom w:val="single" w:sz="8" w:color="CFF0FC"/>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jc w:val="right"/>
              <w:ind w:right="781"/>
              <w:spacing w:after="0" w:line="97" w:lineRule="exact"/>
              <w:rPr>
                <w:sz w:val="20"/>
                <w:szCs w:val="20"/>
                <w:color w:val="auto"/>
              </w:rPr>
            </w:pPr>
            <w:r>
              <w:rPr>
                <w:rFonts w:ascii="Arial" w:cs="Arial" w:eastAsia="Arial" w:hAnsi="Arial"/>
                <w:sz w:val="10"/>
                <w:szCs w:val="10"/>
                <w:b w:val="1"/>
                <w:bCs w:val="1"/>
                <w:color w:val="auto"/>
              </w:rPr>
              <w:t>2016</w:t>
            </w:r>
          </w:p>
        </w:tc>
        <w:tc>
          <w:tcPr>
            <w:tcW w:w="280" w:type="dxa"/>
            <w:vAlign w:val="bottom"/>
            <w:tcBorders>
              <w:bottom w:val="single" w:sz="8" w:color="CFF0FC"/>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660" w:type="dxa"/>
            <w:vAlign w:val="bottom"/>
            <w:tcBorders>
              <w:bottom w:val="single" w:sz="8" w:color="auto"/>
            </w:tcBorders>
          </w:tcPr>
          <w:p>
            <w:pPr>
              <w:jc w:val="center"/>
              <w:ind w:right="122"/>
              <w:spacing w:after="0" w:line="97" w:lineRule="exact"/>
              <w:rPr>
                <w:sz w:val="20"/>
                <w:szCs w:val="20"/>
                <w:color w:val="auto"/>
              </w:rPr>
            </w:pPr>
            <w:r>
              <w:rPr>
                <w:rFonts w:ascii="Arial" w:cs="Arial" w:eastAsia="Arial" w:hAnsi="Arial"/>
                <w:sz w:val="10"/>
                <w:szCs w:val="10"/>
                <w:b w:val="1"/>
                <w:bCs w:val="1"/>
                <w:color w:val="auto"/>
                <w:w w:val="88"/>
              </w:rPr>
              <w:t>April 24 - December 31, 2015</w:t>
            </w:r>
          </w:p>
        </w:tc>
        <w:tc>
          <w:tcPr>
            <w:tcW w:w="120" w:type="dxa"/>
            <w:vAlign w:val="bottom"/>
            <w:tcBorders>
              <w:bottom w:val="single" w:sz="8" w:color="CFF0FC"/>
            </w:tcBorders>
          </w:tcPr>
          <w:p>
            <w:pPr>
              <w:spacing w:after="0"/>
              <w:rPr>
                <w:sz w:val="8"/>
                <w:szCs w:val="8"/>
                <w:color w:val="auto"/>
              </w:rPr>
            </w:pPr>
          </w:p>
        </w:tc>
      </w:tr>
      <w:tr>
        <w:trPr>
          <w:trHeight w:val="142"/>
        </w:trPr>
        <w:tc>
          <w:tcPr>
            <w:tcW w:w="5280" w:type="dxa"/>
            <w:vAlign w:val="bottom"/>
            <w:shd w:val="clear" w:color="auto" w:fill="CFF0FC"/>
          </w:tcPr>
          <w:p>
            <w:pPr>
              <w:spacing w:after="0"/>
              <w:rPr>
                <w:sz w:val="20"/>
                <w:szCs w:val="20"/>
                <w:color w:val="auto"/>
              </w:rPr>
            </w:pPr>
            <w:r>
              <w:rPr>
                <w:rFonts w:ascii="Arial" w:cs="Arial" w:eastAsia="Arial" w:hAnsi="Arial"/>
                <w:sz w:val="12"/>
                <w:szCs w:val="12"/>
                <w:b w:val="1"/>
                <w:bCs w:val="1"/>
                <w:color w:val="auto"/>
              </w:rPr>
              <w:t>Net (loss) income</w:t>
            </w:r>
          </w:p>
        </w:tc>
        <w:tc>
          <w:tcPr>
            <w:tcW w:w="440" w:type="dxa"/>
            <w:vAlign w:val="bottom"/>
            <w:shd w:val="clear" w:color="auto" w:fill="CFF0FC"/>
          </w:tcPr>
          <w:p>
            <w:pPr>
              <w:jc w:val="right"/>
              <w:ind w:right="330"/>
              <w:spacing w:after="0"/>
              <w:rPr>
                <w:sz w:val="20"/>
                <w:szCs w:val="20"/>
                <w:color w:val="auto"/>
              </w:rPr>
            </w:pPr>
            <w:r>
              <w:rPr>
                <w:rFonts w:ascii="Arial" w:cs="Arial" w:eastAsia="Arial" w:hAnsi="Arial"/>
                <w:sz w:val="10"/>
                <w:szCs w:val="10"/>
                <w:color w:val="auto"/>
                <w:w w:val="71"/>
              </w:rPr>
              <w:t>$</w:t>
            </w:r>
          </w:p>
        </w:tc>
        <w:tc>
          <w:tcPr>
            <w:tcW w:w="166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(8,828)</w:t>
            </w:r>
          </w:p>
        </w:tc>
        <w:tc>
          <w:tcPr>
            <w:tcW w:w="620" w:type="dxa"/>
            <w:vAlign w:val="bottom"/>
            <w:shd w:val="clear" w:color="auto" w:fill="CFF0FC"/>
          </w:tcPr>
          <w:p>
            <w:pPr>
              <w:jc w:val="right"/>
              <w:ind w:right="510"/>
              <w:spacing w:after="0"/>
              <w:rPr>
                <w:sz w:val="20"/>
                <w:szCs w:val="20"/>
                <w:color w:val="auto"/>
              </w:rPr>
            </w:pPr>
            <w:r>
              <w:rPr>
                <w:rFonts w:ascii="Arial" w:cs="Arial" w:eastAsia="Arial" w:hAnsi="Arial"/>
                <w:sz w:val="10"/>
                <w:szCs w:val="10"/>
                <w:color w:val="auto"/>
                <w:w w:val="71"/>
              </w:rPr>
              <w:t>$</w:t>
            </w:r>
          </w:p>
        </w:tc>
        <w:tc>
          <w:tcPr>
            <w:tcW w:w="152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(212)</w:t>
            </w:r>
          </w:p>
        </w:tc>
        <w:tc>
          <w:tcPr>
            <w:tcW w:w="180" w:type="dxa"/>
            <w:vAlign w:val="bottom"/>
            <w:shd w:val="clear" w:color="auto" w:fill="CFF0FC"/>
          </w:tcPr>
          <w:p>
            <w:pPr>
              <w:jc w:val="right"/>
              <w:ind w:right="70"/>
              <w:spacing w:after="0"/>
              <w:rPr>
                <w:sz w:val="20"/>
                <w:szCs w:val="20"/>
                <w:color w:val="auto"/>
              </w:rPr>
            </w:pPr>
            <w:r>
              <w:rPr>
                <w:rFonts w:ascii="Arial" w:cs="Arial" w:eastAsia="Arial" w:hAnsi="Arial"/>
                <w:sz w:val="10"/>
                <w:szCs w:val="10"/>
                <w:color w:val="auto"/>
                <w:w w:val="71"/>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24,870</w:t>
            </w:r>
          </w:p>
        </w:tc>
        <w:tc>
          <w:tcPr>
            <w:tcW w:w="120" w:type="dxa"/>
            <w:vAlign w:val="bottom"/>
            <w:shd w:val="clear" w:color="auto" w:fill="CFF0FC"/>
          </w:tcPr>
          <w:p>
            <w:pPr>
              <w:spacing w:after="0"/>
              <w:rPr>
                <w:sz w:val="12"/>
                <w:szCs w:val="12"/>
                <w:color w:val="auto"/>
              </w:rPr>
            </w:pPr>
          </w:p>
        </w:tc>
      </w:tr>
      <w:tr>
        <w:trPr>
          <w:trHeight w:val="153"/>
        </w:trPr>
        <w:tc>
          <w:tcPr>
            <w:tcW w:w="5280" w:type="dxa"/>
            <w:vAlign w:val="bottom"/>
          </w:tcPr>
          <w:p>
            <w:pPr>
              <w:ind w:left="80"/>
              <w:spacing w:after="0"/>
              <w:rPr>
                <w:sz w:val="20"/>
                <w:szCs w:val="20"/>
                <w:color w:val="auto"/>
              </w:rPr>
            </w:pPr>
            <w:r>
              <w:rPr>
                <w:rFonts w:ascii="Arial" w:cs="Arial" w:eastAsia="Arial" w:hAnsi="Arial"/>
                <w:sz w:val="12"/>
                <w:szCs w:val="12"/>
                <w:color w:val="auto"/>
              </w:rPr>
              <w:t>Depreciation and amortization</w:t>
            </w:r>
          </w:p>
        </w:tc>
        <w:tc>
          <w:tcPr>
            <w:tcW w:w="44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434,205</w:t>
            </w: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375,970</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tcPr>
          <w:p>
            <w:pPr>
              <w:jc w:val="right"/>
              <w:spacing w:after="0"/>
              <w:rPr>
                <w:sz w:val="20"/>
                <w:szCs w:val="20"/>
                <w:color w:val="auto"/>
              </w:rPr>
            </w:pPr>
            <w:r>
              <w:rPr>
                <w:rFonts w:ascii="Arial" w:cs="Arial" w:eastAsia="Arial" w:hAnsi="Arial"/>
                <w:sz w:val="12"/>
                <w:szCs w:val="12"/>
                <w:color w:val="auto"/>
              </w:rPr>
              <w:t>238,748</w:t>
            </w:r>
          </w:p>
        </w:tc>
        <w:tc>
          <w:tcPr>
            <w:tcW w:w="120" w:type="dxa"/>
            <w:vAlign w:val="bottom"/>
          </w:tcPr>
          <w:p>
            <w:pPr>
              <w:spacing w:after="0"/>
              <w:rPr>
                <w:sz w:val="13"/>
                <w:szCs w:val="13"/>
                <w:color w:val="auto"/>
              </w:rPr>
            </w:pPr>
          </w:p>
        </w:tc>
      </w:tr>
      <w:tr>
        <w:trPr>
          <w:trHeight w:val="153"/>
        </w:trPr>
        <w:tc>
          <w:tcPr>
            <w:tcW w:w="5280" w:type="dxa"/>
            <w:vAlign w:val="bottom"/>
            <w:shd w:val="clear" w:color="auto" w:fill="CFF0FC"/>
          </w:tcPr>
          <w:p>
            <w:pPr>
              <w:ind w:left="80"/>
              <w:spacing w:after="0"/>
              <w:rPr>
                <w:sz w:val="20"/>
                <w:szCs w:val="20"/>
                <w:color w:val="auto"/>
              </w:rPr>
            </w:pPr>
            <w:r>
              <w:rPr>
                <w:rFonts w:ascii="Arial" w:cs="Arial" w:eastAsia="Arial" w:hAnsi="Arial"/>
                <w:sz w:val="12"/>
                <w:szCs w:val="12"/>
                <w:color w:val="auto"/>
              </w:rPr>
              <w:t>Interest expense</w:t>
            </w:r>
          </w:p>
        </w:tc>
        <w:tc>
          <w:tcPr>
            <w:tcW w:w="44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305,994</w:t>
            </w:r>
          </w:p>
        </w:tc>
        <w:tc>
          <w:tcPr>
            <w:tcW w:w="26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275,394</w:t>
            </w:r>
          </w:p>
        </w:tc>
        <w:tc>
          <w:tcPr>
            <w:tcW w:w="2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181,797</w:t>
            </w:r>
          </w:p>
        </w:tc>
        <w:tc>
          <w:tcPr>
            <w:tcW w:w="120" w:type="dxa"/>
            <w:vAlign w:val="bottom"/>
            <w:shd w:val="clear" w:color="auto" w:fill="CFF0FC"/>
          </w:tcPr>
          <w:p>
            <w:pPr>
              <w:spacing w:after="0"/>
              <w:rPr>
                <w:sz w:val="13"/>
                <w:szCs w:val="13"/>
                <w:color w:val="auto"/>
              </w:rPr>
            </w:pPr>
          </w:p>
        </w:tc>
      </w:tr>
      <w:tr>
        <w:trPr>
          <w:trHeight w:val="153"/>
        </w:trPr>
        <w:tc>
          <w:tcPr>
            <w:tcW w:w="5280" w:type="dxa"/>
            <w:vAlign w:val="bottom"/>
          </w:tcPr>
          <w:p>
            <w:pPr>
              <w:ind w:left="80"/>
              <w:spacing w:after="0"/>
              <w:rPr>
                <w:sz w:val="20"/>
                <w:szCs w:val="20"/>
                <w:color w:val="auto"/>
              </w:rPr>
            </w:pPr>
            <w:r>
              <w:rPr>
                <w:rFonts w:ascii="Arial" w:cs="Arial" w:eastAsia="Arial" w:hAnsi="Arial"/>
                <w:sz w:val="12"/>
                <w:szCs w:val="12"/>
                <w:color w:val="auto"/>
              </w:rPr>
              <w:t>Income tax (benefit) expense</w:t>
            </w:r>
          </w:p>
        </w:tc>
        <w:tc>
          <w:tcPr>
            <w:tcW w:w="440" w:type="dxa"/>
            <w:vAlign w:val="bottom"/>
          </w:tcPr>
          <w:p>
            <w:pPr>
              <w:spacing w:after="0"/>
              <w:rPr>
                <w:sz w:val="13"/>
                <w:szCs w:val="13"/>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2"/>
                <w:szCs w:val="12"/>
                <w:color w:val="auto"/>
              </w:rPr>
              <w:t>(38,849)</w:t>
            </w:r>
          </w:p>
        </w:tc>
        <w:tc>
          <w:tcPr>
            <w:tcW w:w="62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517</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tcPr>
          <w:p>
            <w:pPr>
              <w:jc w:val="right"/>
              <w:spacing w:after="0"/>
              <w:rPr>
                <w:sz w:val="20"/>
                <w:szCs w:val="20"/>
                <w:color w:val="auto"/>
              </w:rPr>
            </w:pPr>
            <w:r>
              <w:rPr>
                <w:rFonts w:ascii="Arial" w:cs="Arial" w:eastAsia="Arial" w:hAnsi="Arial"/>
                <w:sz w:val="12"/>
                <w:szCs w:val="12"/>
                <w:color w:val="auto"/>
              </w:rPr>
              <w:t>738</w:t>
            </w:r>
          </w:p>
        </w:tc>
        <w:tc>
          <w:tcPr>
            <w:tcW w:w="120" w:type="dxa"/>
            <w:vAlign w:val="bottom"/>
          </w:tcPr>
          <w:p>
            <w:pPr>
              <w:spacing w:after="0"/>
              <w:rPr>
                <w:sz w:val="13"/>
                <w:szCs w:val="13"/>
                <w:color w:val="auto"/>
              </w:rPr>
            </w:pPr>
          </w:p>
        </w:tc>
      </w:tr>
      <w:tr>
        <w:trPr>
          <w:trHeight w:val="142"/>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2"/>
                <w:szCs w:val="12"/>
                <w:b w:val="1"/>
                <w:bCs w:val="1"/>
                <w:color w:val="auto"/>
              </w:rPr>
              <w:t>EBITDA</w:t>
            </w:r>
          </w:p>
        </w:tc>
        <w:tc>
          <w:tcPr>
            <w:tcW w:w="440" w:type="dxa"/>
            <w:vAlign w:val="bottom"/>
            <w:tcBorders>
              <w:top w:val="single" w:sz="8" w:color="auto"/>
            </w:tcBorders>
            <w:shd w:val="clear" w:color="auto" w:fill="CFF0FC"/>
          </w:tcPr>
          <w:p>
            <w:pPr>
              <w:jc w:val="right"/>
              <w:ind w:right="330"/>
              <w:spacing w:after="0"/>
              <w:rPr>
                <w:sz w:val="20"/>
                <w:szCs w:val="20"/>
                <w:color w:val="auto"/>
              </w:rPr>
            </w:pPr>
            <w:r>
              <w:rPr>
                <w:rFonts w:ascii="Arial" w:cs="Arial" w:eastAsia="Arial" w:hAnsi="Arial"/>
                <w:sz w:val="10"/>
                <w:szCs w:val="10"/>
                <w:color w:val="auto"/>
                <w:w w:val="71"/>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692,522</w:t>
            </w:r>
          </w:p>
        </w:tc>
        <w:tc>
          <w:tcPr>
            <w:tcW w:w="260" w:type="dxa"/>
            <w:vAlign w:val="bottom"/>
            <w:tcBorders>
              <w:top w:val="single" w:sz="8" w:color="CFF0FC"/>
            </w:tcBorders>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jc w:val="right"/>
              <w:ind w:right="510"/>
              <w:spacing w:after="0"/>
              <w:rPr>
                <w:sz w:val="20"/>
                <w:szCs w:val="20"/>
                <w:color w:val="auto"/>
              </w:rPr>
            </w:pPr>
            <w:r>
              <w:rPr>
                <w:rFonts w:ascii="Arial" w:cs="Arial" w:eastAsia="Arial" w:hAnsi="Arial"/>
                <w:sz w:val="10"/>
                <w:szCs w:val="10"/>
                <w:color w:val="auto"/>
                <w:w w:val="71"/>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651,669</w:t>
            </w:r>
          </w:p>
        </w:tc>
        <w:tc>
          <w:tcPr>
            <w:tcW w:w="28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0"/>
                <w:szCs w:val="10"/>
                <w:color w:val="auto"/>
                <w:w w:val="71"/>
              </w:rPr>
              <w:t>$</w:t>
            </w:r>
          </w:p>
        </w:tc>
        <w:tc>
          <w:tcPr>
            <w:tcW w:w="1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446,153</w:t>
            </w:r>
          </w:p>
        </w:tc>
        <w:tc>
          <w:tcPr>
            <w:tcW w:w="120" w:type="dxa"/>
            <w:vAlign w:val="bottom"/>
            <w:tcBorders>
              <w:top w:val="single" w:sz="8" w:color="CFF0FC"/>
            </w:tcBorders>
            <w:shd w:val="clear" w:color="auto" w:fill="CFF0FC"/>
          </w:tcPr>
          <w:p>
            <w:pPr>
              <w:spacing w:after="0"/>
              <w:rPr>
                <w:sz w:val="12"/>
                <w:szCs w:val="12"/>
                <w:color w:val="auto"/>
              </w:rPr>
            </w:pPr>
          </w:p>
        </w:tc>
      </w:tr>
      <w:tr>
        <w:trPr>
          <w:trHeight w:val="153"/>
        </w:trPr>
        <w:tc>
          <w:tcPr>
            <w:tcW w:w="5280" w:type="dxa"/>
            <w:vAlign w:val="bottom"/>
          </w:tcPr>
          <w:p>
            <w:pPr>
              <w:ind w:left="80"/>
              <w:spacing w:after="0"/>
              <w:rPr>
                <w:sz w:val="20"/>
                <w:szCs w:val="20"/>
                <w:color w:val="auto"/>
              </w:rPr>
            </w:pPr>
            <w:r>
              <w:rPr>
                <w:rFonts w:ascii="Arial" w:cs="Arial" w:eastAsia="Arial" w:hAnsi="Arial"/>
                <w:sz w:val="12"/>
                <w:szCs w:val="12"/>
                <w:color w:val="auto"/>
              </w:rPr>
              <w:t>Stock based compensation</w:t>
            </w:r>
          </w:p>
        </w:tc>
        <w:tc>
          <w:tcPr>
            <w:tcW w:w="44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7,713</w:t>
            </w: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4,846</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tcPr>
          <w:p>
            <w:pPr>
              <w:jc w:val="right"/>
              <w:spacing w:after="0"/>
              <w:rPr>
                <w:sz w:val="20"/>
                <w:szCs w:val="20"/>
                <w:color w:val="auto"/>
              </w:rPr>
            </w:pPr>
            <w:r>
              <w:rPr>
                <w:rFonts w:ascii="Arial" w:cs="Arial" w:eastAsia="Arial" w:hAnsi="Arial"/>
                <w:sz w:val="12"/>
                <w:szCs w:val="12"/>
                <w:color w:val="auto"/>
              </w:rPr>
              <w:t>1,934</w:t>
            </w:r>
          </w:p>
        </w:tc>
        <w:tc>
          <w:tcPr>
            <w:tcW w:w="120" w:type="dxa"/>
            <w:vAlign w:val="bottom"/>
          </w:tcPr>
          <w:p>
            <w:pPr>
              <w:spacing w:after="0"/>
              <w:rPr>
                <w:sz w:val="13"/>
                <w:szCs w:val="13"/>
                <w:color w:val="auto"/>
              </w:rPr>
            </w:pPr>
          </w:p>
        </w:tc>
      </w:tr>
      <w:tr>
        <w:trPr>
          <w:trHeight w:val="153"/>
        </w:trPr>
        <w:tc>
          <w:tcPr>
            <w:tcW w:w="5280" w:type="dxa"/>
            <w:vAlign w:val="bottom"/>
            <w:shd w:val="clear" w:color="auto" w:fill="CFF0FC"/>
          </w:tcPr>
          <w:p>
            <w:pPr>
              <w:ind w:left="80"/>
              <w:spacing w:after="0"/>
              <w:rPr>
                <w:sz w:val="20"/>
                <w:szCs w:val="20"/>
                <w:color w:val="auto"/>
              </w:rPr>
            </w:pPr>
            <w:r>
              <w:rPr>
                <w:rFonts w:ascii="Arial" w:cs="Arial" w:eastAsia="Arial" w:hAnsi="Arial"/>
                <w:sz w:val="12"/>
                <w:szCs w:val="12"/>
                <w:color w:val="auto"/>
              </w:rPr>
              <w:t>Other (income) expense</w:t>
            </w:r>
          </w:p>
        </w:tc>
        <w:tc>
          <w:tcPr>
            <w:tcW w:w="44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11,284</w:t>
            </w:r>
          </w:p>
        </w:tc>
        <w:tc>
          <w:tcPr>
            <w:tcW w:w="26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r>
      <w:tr>
        <w:trPr>
          <w:trHeight w:val="153"/>
        </w:trPr>
        <w:tc>
          <w:tcPr>
            <w:tcW w:w="5280" w:type="dxa"/>
            <w:vAlign w:val="bottom"/>
            <w:tcBorders>
              <w:bottom w:val="single" w:sz="8" w:color="CFF0FC"/>
            </w:tcBorders>
          </w:tcPr>
          <w:p>
            <w:pPr>
              <w:ind w:left="80"/>
              <w:spacing w:after="0"/>
              <w:rPr>
                <w:sz w:val="20"/>
                <w:szCs w:val="20"/>
                <w:color w:val="auto"/>
              </w:rPr>
            </w:pPr>
            <w:r>
              <w:rPr>
                <w:rFonts w:ascii="Arial" w:cs="Arial" w:eastAsia="Arial" w:hAnsi="Arial"/>
                <w:sz w:val="12"/>
                <w:szCs w:val="12"/>
                <w:color w:val="auto"/>
              </w:rPr>
              <w:t>Transaction related costs</w:t>
            </w:r>
          </w:p>
        </w:tc>
        <w:tc>
          <w:tcPr>
            <w:tcW w:w="44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38,005</w:t>
            </w:r>
          </w:p>
        </w:tc>
        <w:tc>
          <w:tcPr>
            <w:tcW w:w="260" w:type="dxa"/>
            <w:vAlign w:val="bottom"/>
            <w:tcBorders>
              <w:bottom w:val="single" w:sz="8" w:color="CFF0FC"/>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33,669</w:t>
            </w:r>
          </w:p>
        </w:tc>
        <w:tc>
          <w:tcPr>
            <w:tcW w:w="28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5,210</w:t>
            </w:r>
          </w:p>
        </w:tc>
        <w:tc>
          <w:tcPr>
            <w:tcW w:w="120" w:type="dxa"/>
            <w:vAlign w:val="bottom"/>
            <w:tcBorders>
              <w:bottom w:val="single" w:sz="8" w:color="CFF0FC"/>
            </w:tcBorders>
          </w:tcPr>
          <w:p>
            <w:pPr>
              <w:spacing w:after="0"/>
              <w:rPr>
                <w:sz w:val="13"/>
                <w:szCs w:val="13"/>
                <w:color w:val="auto"/>
              </w:rPr>
            </w:pPr>
          </w:p>
        </w:tc>
      </w:tr>
      <w:tr>
        <w:trPr>
          <w:trHeight w:val="142"/>
        </w:trPr>
        <w:tc>
          <w:tcPr>
            <w:tcW w:w="5280" w:type="dxa"/>
            <w:vAlign w:val="bottom"/>
            <w:shd w:val="clear" w:color="auto" w:fill="CFF0FC"/>
          </w:tcPr>
          <w:p>
            <w:pPr>
              <w:spacing w:after="0"/>
              <w:rPr>
                <w:sz w:val="20"/>
                <w:szCs w:val="20"/>
                <w:color w:val="auto"/>
              </w:rPr>
            </w:pPr>
            <w:r>
              <w:rPr>
                <w:rFonts w:ascii="Arial" w:cs="Arial" w:eastAsia="Arial" w:hAnsi="Arial"/>
                <w:sz w:val="12"/>
                <w:szCs w:val="12"/>
                <w:b w:val="1"/>
                <w:bCs w:val="1"/>
                <w:color w:val="auto"/>
              </w:rPr>
              <w:t>Adjusted EBITDA</w:t>
            </w:r>
          </w:p>
        </w:tc>
        <w:tc>
          <w:tcPr>
            <w:tcW w:w="440" w:type="dxa"/>
            <w:vAlign w:val="bottom"/>
            <w:tcBorders>
              <w:bottom w:val="single" w:sz="8" w:color="auto"/>
            </w:tcBorders>
            <w:shd w:val="clear" w:color="auto" w:fill="CFF0FC"/>
          </w:tcPr>
          <w:p>
            <w:pPr>
              <w:jc w:val="right"/>
              <w:ind w:right="330"/>
              <w:spacing w:after="0"/>
              <w:rPr>
                <w:sz w:val="20"/>
                <w:szCs w:val="20"/>
                <w:color w:val="auto"/>
              </w:rPr>
            </w:pPr>
            <w:r>
              <w:rPr>
                <w:rFonts w:ascii="Arial" w:cs="Arial" w:eastAsia="Arial" w:hAnsi="Arial"/>
                <w:sz w:val="10"/>
                <w:szCs w:val="10"/>
                <w:color w:val="auto"/>
                <w:w w:val="71"/>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749,524</w:t>
            </w:r>
          </w:p>
        </w:tc>
        <w:tc>
          <w:tcPr>
            <w:tcW w:w="260" w:type="dxa"/>
            <w:vAlign w:val="bottom"/>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jc w:val="right"/>
              <w:ind w:right="510"/>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690,184</w:t>
            </w:r>
          </w:p>
        </w:tc>
        <w:tc>
          <w:tcPr>
            <w:tcW w:w="280" w:type="dxa"/>
            <w:vAlign w:val="bottom"/>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0"/>
                <w:szCs w:val="10"/>
                <w:color w:val="auto"/>
                <w:w w:val="71"/>
              </w:rPr>
              <w:t>$</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453,297</w:t>
            </w:r>
          </w:p>
        </w:tc>
        <w:tc>
          <w:tcPr>
            <w:tcW w:w="120" w:type="dxa"/>
            <w:vAlign w:val="bottom"/>
            <w:shd w:val="clear" w:color="auto" w:fill="CFF0FC"/>
          </w:tcPr>
          <w:p>
            <w:pPr>
              <w:spacing w:after="0"/>
              <w:rPr>
                <w:sz w:val="12"/>
                <w:szCs w:val="12"/>
                <w:color w:val="auto"/>
              </w:rPr>
            </w:pPr>
          </w:p>
        </w:tc>
      </w:tr>
      <w:tr>
        <w:trPr>
          <w:trHeight w:val="466"/>
        </w:trPr>
        <w:tc>
          <w:tcPr>
            <w:tcW w:w="528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0"/>
                <w:szCs w:val="10"/>
                <w:b w:val="1"/>
                <w:bCs w:val="1"/>
                <w:color w:val="auto"/>
              </w:rPr>
              <w:t>Year Ended December 31,</w:t>
            </w:r>
          </w:p>
        </w:tc>
        <w:tc>
          <w:tcPr>
            <w:tcW w:w="124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w w:val="89"/>
              </w:rPr>
              <w:t>Period from</w:t>
            </w:r>
          </w:p>
        </w:tc>
      </w:tr>
      <w:tr>
        <w:trPr>
          <w:trHeight w:val="97"/>
        </w:trPr>
        <w:tc>
          <w:tcPr>
            <w:tcW w:w="5280" w:type="dxa"/>
            <w:vAlign w:val="bottom"/>
            <w:tcBorders>
              <w:bottom w:val="single" w:sz="8" w:color="CFF0FC"/>
            </w:tcBorders>
          </w:tcPr>
          <w:p>
            <w:pPr>
              <w:spacing w:after="0" w:line="97" w:lineRule="exact"/>
              <w:rPr>
                <w:sz w:val="20"/>
                <w:szCs w:val="20"/>
                <w:color w:val="auto"/>
              </w:rPr>
            </w:pPr>
            <w:r>
              <w:rPr>
                <w:rFonts w:ascii="Arial" w:cs="Arial" w:eastAsia="Arial" w:hAnsi="Arial"/>
                <w:sz w:val="10"/>
                <w:szCs w:val="10"/>
                <w:color w:val="auto"/>
              </w:rPr>
              <w:t>(Thousands)</w:t>
            </w:r>
          </w:p>
        </w:tc>
        <w:tc>
          <w:tcPr>
            <w:tcW w:w="440" w:type="dxa"/>
            <w:vAlign w:val="bottom"/>
            <w:tcBorders>
              <w:bottom w:val="single" w:sz="8" w:color="auto"/>
            </w:tcBorders>
          </w:tcPr>
          <w:p>
            <w:pPr>
              <w:spacing w:after="0"/>
              <w:rPr>
                <w:sz w:val="8"/>
                <w:szCs w:val="8"/>
                <w:color w:val="auto"/>
              </w:rPr>
            </w:pPr>
          </w:p>
        </w:tc>
        <w:tc>
          <w:tcPr>
            <w:tcW w:w="1400" w:type="dxa"/>
            <w:vAlign w:val="bottom"/>
            <w:tcBorders>
              <w:bottom w:val="single" w:sz="8" w:color="auto"/>
            </w:tcBorders>
          </w:tcPr>
          <w:p>
            <w:pPr>
              <w:jc w:val="right"/>
              <w:ind w:right="782"/>
              <w:spacing w:after="0" w:line="97" w:lineRule="exact"/>
              <w:rPr>
                <w:sz w:val="20"/>
                <w:szCs w:val="20"/>
                <w:color w:val="auto"/>
              </w:rPr>
            </w:pPr>
            <w:r>
              <w:rPr>
                <w:rFonts w:ascii="Arial" w:cs="Arial" w:eastAsia="Arial" w:hAnsi="Arial"/>
                <w:sz w:val="10"/>
                <w:szCs w:val="10"/>
                <w:b w:val="1"/>
                <w:bCs w:val="1"/>
                <w:color w:val="auto"/>
              </w:rPr>
              <w:t>2017</w:t>
            </w:r>
          </w:p>
        </w:tc>
        <w:tc>
          <w:tcPr>
            <w:tcW w:w="260" w:type="dxa"/>
            <w:vAlign w:val="bottom"/>
            <w:tcBorders>
              <w:bottom w:val="single" w:sz="8" w:color="CFF0FC"/>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jc w:val="right"/>
              <w:ind w:right="781"/>
              <w:spacing w:after="0" w:line="97" w:lineRule="exact"/>
              <w:rPr>
                <w:sz w:val="20"/>
                <w:szCs w:val="20"/>
                <w:color w:val="auto"/>
              </w:rPr>
            </w:pPr>
            <w:r>
              <w:rPr>
                <w:rFonts w:ascii="Arial" w:cs="Arial" w:eastAsia="Arial" w:hAnsi="Arial"/>
                <w:sz w:val="10"/>
                <w:szCs w:val="10"/>
                <w:b w:val="1"/>
                <w:bCs w:val="1"/>
                <w:color w:val="auto"/>
              </w:rPr>
              <w:t>2016</w:t>
            </w:r>
          </w:p>
        </w:tc>
        <w:tc>
          <w:tcPr>
            <w:tcW w:w="280" w:type="dxa"/>
            <w:vAlign w:val="bottom"/>
            <w:tcBorders>
              <w:bottom w:val="single" w:sz="8" w:color="CFF0FC"/>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660" w:type="dxa"/>
            <w:vAlign w:val="bottom"/>
            <w:tcBorders>
              <w:bottom w:val="single" w:sz="8" w:color="auto"/>
            </w:tcBorders>
          </w:tcPr>
          <w:p>
            <w:pPr>
              <w:jc w:val="center"/>
              <w:ind w:right="122"/>
              <w:spacing w:after="0" w:line="97" w:lineRule="exact"/>
              <w:rPr>
                <w:sz w:val="20"/>
                <w:szCs w:val="20"/>
                <w:color w:val="auto"/>
              </w:rPr>
            </w:pPr>
            <w:r>
              <w:rPr>
                <w:rFonts w:ascii="Arial" w:cs="Arial" w:eastAsia="Arial" w:hAnsi="Arial"/>
                <w:sz w:val="10"/>
                <w:szCs w:val="10"/>
                <w:b w:val="1"/>
                <w:bCs w:val="1"/>
                <w:color w:val="auto"/>
                <w:w w:val="88"/>
              </w:rPr>
              <w:t>April 24 - December 31, 2015</w:t>
            </w:r>
          </w:p>
        </w:tc>
        <w:tc>
          <w:tcPr>
            <w:tcW w:w="120" w:type="dxa"/>
            <w:vAlign w:val="bottom"/>
            <w:tcBorders>
              <w:bottom w:val="single" w:sz="8" w:color="CFF0FC"/>
            </w:tcBorders>
          </w:tcPr>
          <w:p>
            <w:pPr>
              <w:spacing w:after="0"/>
              <w:rPr>
                <w:sz w:val="8"/>
                <w:szCs w:val="8"/>
                <w:color w:val="auto"/>
              </w:rPr>
            </w:pPr>
          </w:p>
        </w:tc>
      </w:tr>
      <w:tr>
        <w:trPr>
          <w:trHeight w:val="142"/>
        </w:trPr>
        <w:tc>
          <w:tcPr>
            <w:tcW w:w="5280" w:type="dxa"/>
            <w:vAlign w:val="bottom"/>
            <w:shd w:val="clear" w:color="auto" w:fill="CFF0FC"/>
          </w:tcPr>
          <w:p>
            <w:pPr>
              <w:spacing w:after="0"/>
              <w:rPr>
                <w:sz w:val="20"/>
                <w:szCs w:val="20"/>
                <w:color w:val="auto"/>
              </w:rPr>
            </w:pPr>
            <w:r>
              <w:rPr>
                <w:rFonts w:ascii="Arial" w:cs="Arial" w:eastAsia="Arial" w:hAnsi="Arial"/>
                <w:sz w:val="12"/>
                <w:szCs w:val="12"/>
                <w:b w:val="1"/>
                <w:bCs w:val="1"/>
                <w:color w:val="auto"/>
              </w:rPr>
              <w:t>Net (loss) income attributable to common shareholders</w:t>
            </w:r>
          </w:p>
        </w:tc>
        <w:tc>
          <w:tcPr>
            <w:tcW w:w="440" w:type="dxa"/>
            <w:vAlign w:val="bottom"/>
            <w:shd w:val="clear" w:color="auto" w:fill="CFF0FC"/>
          </w:tcPr>
          <w:p>
            <w:pPr>
              <w:jc w:val="right"/>
              <w:ind w:right="330"/>
              <w:spacing w:after="0"/>
              <w:rPr>
                <w:sz w:val="20"/>
                <w:szCs w:val="20"/>
                <w:color w:val="auto"/>
              </w:rPr>
            </w:pPr>
            <w:r>
              <w:rPr>
                <w:rFonts w:ascii="Arial" w:cs="Arial" w:eastAsia="Arial" w:hAnsi="Arial"/>
                <w:sz w:val="10"/>
                <w:szCs w:val="10"/>
                <w:color w:val="auto"/>
                <w:w w:val="71"/>
              </w:rPr>
              <w:t>$</w:t>
            </w:r>
          </w:p>
        </w:tc>
        <w:tc>
          <w:tcPr>
            <w:tcW w:w="166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(16,552)</w:t>
            </w:r>
          </w:p>
        </w:tc>
        <w:tc>
          <w:tcPr>
            <w:tcW w:w="620" w:type="dxa"/>
            <w:vAlign w:val="bottom"/>
            <w:shd w:val="clear" w:color="auto" w:fill="CFF0FC"/>
          </w:tcPr>
          <w:p>
            <w:pPr>
              <w:jc w:val="right"/>
              <w:ind w:right="510"/>
              <w:spacing w:after="0"/>
              <w:rPr>
                <w:sz w:val="20"/>
                <w:szCs w:val="20"/>
                <w:color w:val="auto"/>
              </w:rPr>
            </w:pPr>
            <w:r>
              <w:rPr>
                <w:rFonts w:ascii="Arial" w:cs="Arial" w:eastAsia="Arial" w:hAnsi="Arial"/>
                <w:sz w:val="10"/>
                <w:szCs w:val="10"/>
                <w:color w:val="auto"/>
                <w:w w:val="71"/>
              </w:rPr>
              <w:t>$</w:t>
            </w:r>
          </w:p>
        </w:tc>
        <w:tc>
          <w:tcPr>
            <w:tcW w:w="152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(5,497)</w:t>
            </w:r>
          </w:p>
        </w:tc>
        <w:tc>
          <w:tcPr>
            <w:tcW w:w="180" w:type="dxa"/>
            <w:vAlign w:val="bottom"/>
            <w:shd w:val="clear" w:color="auto" w:fill="CFF0FC"/>
          </w:tcPr>
          <w:p>
            <w:pPr>
              <w:jc w:val="right"/>
              <w:ind w:right="70"/>
              <w:spacing w:after="0"/>
              <w:rPr>
                <w:sz w:val="20"/>
                <w:szCs w:val="20"/>
                <w:color w:val="auto"/>
              </w:rPr>
            </w:pPr>
            <w:r>
              <w:rPr>
                <w:rFonts w:ascii="Arial" w:cs="Arial" w:eastAsia="Arial" w:hAnsi="Arial"/>
                <w:sz w:val="10"/>
                <w:szCs w:val="10"/>
                <w:color w:val="auto"/>
                <w:w w:val="71"/>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23,718</w:t>
            </w:r>
          </w:p>
        </w:tc>
        <w:tc>
          <w:tcPr>
            <w:tcW w:w="120" w:type="dxa"/>
            <w:vAlign w:val="bottom"/>
            <w:shd w:val="clear" w:color="auto" w:fill="CFF0FC"/>
          </w:tcPr>
          <w:p>
            <w:pPr>
              <w:spacing w:after="0"/>
              <w:rPr>
                <w:sz w:val="12"/>
                <w:szCs w:val="12"/>
                <w:color w:val="auto"/>
              </w:rPr>
            </w:pPr>
          </w:p>
        </w:tc>
      </w:tr>
      <w:tr>
        <w:trPr>
          <w:trHeight w:val="153"/>
        </w:trPr>
        <w:tc>
          <w:tcPr>
            <w:tcW w:w="5280" w:type="dxa"/>
            <w:vAlign w:val="bottom"/>
          </w:tcPr>
          <w:p>
            <w:pPr>
              <w:ind w:left="80"/>
              <w:spacing w:after="0"/>
              <w:rPr>
                <w:sz w:val="20"/>
                <w:szCs w:val="20"/>
                <w:color w:val="auto"/>
              </w:rPr>
            </w:pPr>
            <w:r>
              <w:rPr>
                <w:rFonts w:ascii="Arial" w:cs="Arial" w:eastAsia="Arial" w:hAnsi="Arial"/>
                <w:sz w:val="12"/>
                <w:szCs w:val="12"/>
                <w:color w:val="auto"/>
              </w:rPr>
              <w:t>Real estate depreciation and amortization</w:t>
            </w:r>
          </w:p>
        </w:tc>
        <w:tc>
          <w:tcPr>
            <w:tcW w:w="44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373,449</w:t>
            </w: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351,548</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tcPr>
          <w:p>
            <w:pPr>
              <w:jc w:val="right"/>
              <w:spacing w:after="0"/>
              <w:rPr>
                <w:sz w:val="20"/>
                <w:szCs w:val="20"/>
                <w:color w:val="auto"/>
              </w:rPr>
            </w:pPr>
            <w:r>
              <w:rPr>
                <w:rFonts w:ascii="Arial" w:cs="Arial" w:eastAsia="Arial" w:hAnsi="Arial"/>
                <w:sz w:val="12"/>
                <w:szCs w:val="12"/>
                <w:color w:val="auto"/>
              </w:rPr>
              <w:t>236,177</w:t>
            </w:r>
          </w:p>
        </w:tc>
        <w:tc>
          <w:tcPr>
            <w:tcW w:w="120" w:type="dxa"/>
            <w:vAlign w:val="bottom"/>
          </w:tcPr>
          <w:p>
            <w:pPr>
              <w:spacing w:after="0"/>
              <w:rPr>
                <w:sz w:val="13"/>
                <w:szCs w:val="13"/>
                <w:color w:val="auto"/>
              </w:rPr>
            </w:pPr>
          </w:p>
        </w:tc>
      </w:tr>
      <w:tr>
        <w:trPr>
          <w:trHeight w:val="153"/>
        </w:trPr>
        <w:tc>
          <w:tcPr>
            <w:tcW w:w="5280" w:type="dxa"/>
            <w:vAlign w:val="bottom"/>
            <w:shd w:val="clear" w:color="auto" w:fill="CFF0FC"/>
          </w:tcPr>
          <w:p>
            <w:pPr>
              <w:ind w:left="80"/>
              <w:spacing w:after="0"/>
              <w:rPr>
                <w:sz w:val="20"/>
                <w:szCs w:val="20"/>
                <w:color w:val="auto"/>
              </w:rPr>
            </w:pPr>
            <w:r>
              <w:rPr>
                <w:rFonts w:ascii="Arial" w:cs="Arial" w:eastAsia="Arial" w:hAnsi="Arial"/>
                <w:sz w:val="12"/>
                <w:szCs w:val="12"/>
                <w:color w:val="auto"/>
              </w:rPr>
              <w:t>Participating securities' share in earnings</w:t>
            </w:r>
          </w:p>
        </w:tc>
        <w:tc>
          <w:tcPr>
            <w:tcW w:w="44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1,509</w:t>
            </w:r>
          </w:p>
        </w:tc>
        <w:tc>
          <w:tcPr>
            <w:tcW w:w="26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1,557</w:t>
            </w:r>
          </w:p>
        </w:tc>
        <w:tc>
          <w:tcPr>
            <w:tcW w:w="2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1,152</w:t>
            </w:r>
          </w:p>
        </w:tc>
        <w:tc>
          <w:tcPr>
            <w:tcW w:w="120" w:type="dxa"/>
            <w:vAlign w:val="bottom"/>
            <w:shd w:val="clear" w:color="auto" w:fill="CFF0FC"/>
          </w:tcPr>
          <w:p>
            <w:pPr>
              <w:spacing w:after="0"/>
              <w:rPr>
                <w:sz w:val="13"/>
                <w:szCs w:val="13"/>
                <w:color w:val="auto"/>
              </w:rPr>
            </w:pPr>
          </w:p>
        </w:tc>
      </w:tr>
      <w:tr>
        <w:trPr>
          <w:trHeight w:val="153"/>
        </w:trPr>
        <w:tc>
          <w:tcPr>
            <w:tcW w:w="5280" w:type="dxa"/>
            <w:vAlign w:val="bottom"/>
          </w:tcPr>
          <w:p>
            <w:pPr>
              <w:ind w:left="80"/>
              <w:spacing w:after="0"/>
              <w:rPr>
                <w:sz w:val="20"/>
                <w:szCs w:val="20"/>
                <w:color w:val="auto"/>
              </w:rPr>
            </w:pPr>
            <w:r>
              <w:rPr>
                <w:rFonts w:ascii="Arial" w:cs="Arial" w:eastAsia="Arial" w:hAnsi="Arial"/>
                <w:sz w:val="12"/>
                <w:szCs w:val="12"/>
                <w:color w:val="auto"/>
              </w:rPr>
              <w:t>Participating securities' share in FFO</w:t>
            </w:r>
          </w:p>
        </w:tc>
        <w:tc>
          <w:tcPr>
            <w:tcW w:w="440" w:type="dxa"/>
            <w:vAlign w:val="bottom"/>
          </w:tcPr>
          <w:p>
            <w:pPr>
              <w:spacing w:after="0"/>
              <w:rPr>
                <w:sz w:val="13"/>
                <w:szCs w:val="13"/>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2"/>
                <w:szCs w:val="12"/>
                <w:color w:val="auto"/>
              </w:rPr>
              <w:t>(1,509)</w:t>
            </w:r>
          </w:p>
        </w:tc>
        <w:tc>
          <w:tcPr>
            <w:tcW w:w="620" w:type="dxa"/>
            <w:vAlign w:val="bottom"/>
          </w:tcPr>
          <w:p>
            <w:pPr>
              <w:spacing w:after="0"/>
              <w:rPr>
                <w:sz w:val="13"/>
                <w:szCs w:val="13"/>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2"/>
                <w:szCs w:val="12"/>
                <w:color w:val="auto"/>
              </w:rPr>
              <w:t>(1,557)</w:t>
            </w:r>
          </w:p>
        </w:tc>
        <w:tc>
          <w:tcPr>
            <w:tcW w:w="180" w:type="dxa"/>
            <w:vAlign w:val="bottom"/>
          </w:tcPr>
          <w:p>
            <w:pPr>
              <w:spacing w:after="0"/>
              <w:rPr>
                <w:sz w:val="13"/>
                <w:szCs w:val="13"/>
                <w:color w:val="auto"/>
              </w:rPr>
            </w:pPr>
          </w:p>
        </w:tc>
        <w:tc>
          <w:tcPr>
            <w:tcW w:w="1780" w:type="dxa"/>
            <w:vAlign w:val="bottom"/>
            <w:gridSpan w:val="2"/>
          </w:tcPr>
          <w:p>
            <w:pPr>
              <w:jc w:val="right"/>
              <w:ind w:right="80"/>
              <w:spacing w:after="0"/>
              <w:rPr>
                <w:sz w:val="20"/>
                <w:szCs w:val="20"/>
                <w:color w:val="auto"/>
              </w:rPr>
            </w:pPr>
            <w:r>
              <w:rPr>
                <w:rFonts w:ascii="Arial" w:cs="Arial" w:eastAsia="Arial" w:hAnsi="Arial"/>
                <w:sz w:val="12"/>
                <w:szCs w:val="12"/>
                <w:color w:val="auto"/>
              </w:rPr>
              <w:t>(1,218)</w:t>
            </w:r>
          </w:p>
        </w:tc>
      </w:tr>
      <w:tr>
        <w:trPr>
          <w:trHeight w:val="153"/>
        </w:trPr>
        <w:tc>
          <w:tcPr>
            <w:tcW w:w="5280" w:type="dxa"/>
            <w:vAlign w:val="bottom"/>
            <w:shd w:val="clear" w:color="auto" w:fill="CFF0FC"/>
          </w:tcPr>
          <w:p>
            <w:pPr>
              <w:ind w:left="80"/>
              <w:spacing w:after="0"/>
              <w:rPr>
                <w:sz w:val="20"/>
                <w:szCs w:val="20"/>
                <w:color w:val="auto"/>
              </w:rPr>
            </w:pPr>
            <w:r>
              <w:rPr>
                <w:rFonts w:ascii="Arial" w:cs="Arial" w:eastAsia="Arial" w:hAnsi="Arial"/>
                <w:sz w:val="12"/>
                <w:szCs w:val="12"/>
                <w:color w:val="auto"/>
              </w:rPr>
              <w:t>Adjustments for noncontrolling interests</w:t>
            </w:r>
          </w:p>
        </w:tc>
        <w:tc>
          <w:tcPr>
            <w:tcW w:w="440" w:type="dxa"/>
            <w:vAlign w:val="bottom"/>
            <w:shd w:val="clear" w:color="auto" w:fill="CFF0FC"/>
          </w:tcPr>
          <w:p>
            <w:pPr>
              <w:spacing w:after="0"/>
              <w:rPr>
                <w:sz w:val="13"/>
                <w:szCs w:val="13"/>
                <w:color w:val="auto"/>
              </w:rPr>
            </w:pPr>
          </w:p>
        </w:tc>
        <w:tc>
          <w:tcPr>
            <w:tcW w:w="166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(4,420)</w:t>
            </w:r>
          </w:p>
        </w:tc>
        <w:tc>
          <w:tcPr>
            <w:tcW w:w="620" w:type="dxa"/>
            <w:vAlign w:val="bottom"/>
            <w:shd w:val="clear" w:color="auto" w:fill="CFF0FC"/>
          </w:tcPr>
          <w:p>
            <w:pPr>
              <w:spacing w:after="0"/>
              <w:rPr>
                <w:sz w:val="13"/>
                <w:szCs w:val="13"/>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r>
      <w:tr>
        <w:trPr>
          <w:trHeight w:val="142"/>
        </w:trPr>
        <w:tc>
          <w:tcPr>
            <w:tcW w:w="5280" w:type="dxa"/>
            <w:vAlign w:val="bottom"/>
          </w:tcPr>
          <w:p>
            <w:pPr>
              <w:spacing w:after="0"/>
              <w:rPr>
                <w:sz w:val="20"/>
                <w:szCs w:val="20"/>
                <w:color w:val="auto"/>
              </w:rPr>
            </w:pPr>
            <w:r>
              <w:rPr>
                <w:rFonts w:ascii="Arial" w:cs="Arial" w:eastAsia="Arial" w:hAnsi="Arial"/>
                <w:sz w:val="12"/>
                <w:szCs w:val="12"/>
                <w:b w:val="1"/>
                <w:bCs w:val="1"/>
                <w:color w:val="auto"/>
              </w:rPr>
              <w:t>FFO attributable to common shareholders</w:t>
            </w:r>
          </w:p>
        </w:tc>
        <w:tc>
          <w:tcPr>
            <w:tcW w:w="440" w:type="dxa"/>
            <w:vAlign w:val="bottom"/>
            <w:tcBorders>
              <w:top w:val="single" w:sz="8" w:color="auto"/>
            </w:tcBorders>
          </w:tcPr>
          <w:p>
            <w:pPr>
              <w:jc w:val="right"/>
              <w:ind w:right="330"/>
              <w:spacing w:after="0"/>
              <w:rPr>
                <w:sz w:val="20"/>
                <w:szCs w:val="20"/>
                <w:color w:val="auto"/>
              </w:rPr>
            </w:pPr>
            <w:r>
              <w:rPr>
                <w:rFonts w:ascii="Arial" w:cs="Arial" w:eastAsia="Arial" w:hAnsi="Arial"/>
                <w:sz w:val="10"/>
                <w:szCs w:val="10"/>
                <w:color w:val="auto"/>
                <w:w w:val="71"/>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352,477</w:t>
            </w:r>
          </w:p>
        </w:tc>
        <w:tc>
          <w:tcPr>
            <w:tcW w:w="260" w:type="dxa"/>
            <w:vAlign w:val="bottom"/>
          </w:tcPr>
          <w:p>
            <w:pPr>
              <w:spacing w:after="0"/>
              <w:rPr>
                <w:sz w:val="12"/>
                <w:szCs w:val="12"/>
                <w:color w:val="auto"/>
              </w:rPr>
            </w:pPr>
          </w:p>
        </w:tc>
        <w:tc>
          <w:tcPr>
            <w:tcW w:w="620" w:type="dxa"/>
            <w:vAlign w:val="bottom"/>
            <w:tcBorders>
              <w:top w:val="single" w:sz="8" w:color="auto"/>
            </w:tcBorders>
          </w:tcPr>
          <w:p>
            <w:pPr>
              <w:jc w:val="right"/>
              <w:ind w:right="510"/>
              <w:spacing w:after="0"/>
              <w:rPr>
                <w:sz w:val="20"/>
                <w:szCs w:val="20"/>
                <w:color w:val="auto"/>
              </w:rPr>
            </w:pPr>
            <w:r>
              <w:rPr>
                <w:rFonts w:ascii="Arial" w:cs="Arial" w:eastAsia="Arial" w:hAnsi="Arial"/>
                <w:sz w:val="10"/>
                <w:szCs w:val="10"/>
                <w:color w:val="auto"/>
                <w:w w:val="71"/>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346,051</w:t>
            </w:r>
          </w:p>
        </w:tc>
        <w:tc>
          <w:tcPr>
            <w:tcW w:w="280" w:type="dxa"/>
            <w:vAlign w:val="bottom"/>
          </w:tcPr>
          <w:p>
            <w:pPr>
              <w:spacing w:after="0"/>
              <w:rPr>
                <w:sz w:val="12"/>
                <w:szCs w:val="12"/>
                <w:color w:val="auto"/>
              </w:rPr>
            </w:pPr>
          </w:p>
        </w:tc>
        <w:tc>
          <w:tcPr>
            <w:tcW w:w="180" w:type="dxa"/>
            <w:vAlign w:val="bottom"/>
            <w:tcBorders>
              <w:top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259,829</w:t>
            </w:r>
          </w:p>
        </w:tc>
        <w:tc>
          <w:tcPr>
            <w:tcW w:w="120" w:type="dxa"/>
            <w:vAlign w:val="bottom"/>
          </w:tcPr>
          <w:p>
            <w:pPr>
              <w:spacing w:after="0"/>
              <w:rPr>
                <w:sz w:val="12"/>
                <w:szCs w:val="12"/>
                <w:color w:val="auto"/>
              </w:rPr>
            </w:pPr>
          </w:p>
        </w:tc>
      </w:tr>
      <w:tr>
        <w:trPr>
          <w:trHeight w:val="153"/>
        </w:trPr>
        <w:tc>
          <w:tcPr>
            <w:tcW w:w="5280" w:type="dxa"/>
            <w:vAlign w:val="bottom"/>
            <w:shd w:val="clear" w:color="auto" w:fill="CFF0FC"/>
          </w:tcPr>
          <w:p>
            <w:pPr>
              <w:ind w:left="80"/>
              <w:spacing w:after="0"/>
              <w:rPr>
                <w:sz w:val="20"/>
                <w:szCs w:val="20"/>
                <w:color w:val="auto"/>
              </w:rPr>
            </w:pPr>
            <w:r>
              <w:rPr>
                <w:rFonts w:ascii="Arial" w:cs="Arial" w:eastAsia="Arial" w:hAnsi="Arial"/>
                <w:sz w:val="12"/>
                <w:szCs w:val="12"/>
                <w:color w:val="auto"/>
              </w:rPr>
              <w:t>Transaction related costs</w:t>
            </w:r>
          </w:p>
        </w:tc>
        <w:tc>
          <w:tcPr>
            <w:tcW w:w="44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38,005</w:t>
            </w:r>
          </w:p>
        </w:tc>
        <w:tc>
          <w:tcPr>
            <w:tcW w:w="26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33,669</w:t>
            </w:r>
          </w:p>
        </w:tc>
        <w:tc>
          <w:tcPr>
            <w:tcW w:w="2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5,210</w:t>
            </w:r>
          </w:p>
        </w:tc>
        <w:tc>
          <w:tcPr>
            <w:tcW w:w="120" w:type="dxa"/>
            <w:vAlign w:val="bottom"/>
            <w:shd w:val="clear" w:color="auto" w:fill="CFF0FC"/>
          </w:tcPr>
          <w:p>
            <w:pPr>
              <w:spacing w:after="0"/>
              <w:rPr>
                <w:sz w:val="13"/>
                <w:szCs w:val="13"/>
                <w:color w:val="auto"/>
              </w:rPr>
            </w:pPr>
          </w:p>
        </w:tc>
      </w:tr>
      <w:tr>
        <w:trPr>
          <w:trHeight w:val="153"/>
        </w:trPr>
        <w:tc>
          <w:tcPr>
            <w:tcW w:w="5280" w:type="dxa"/>
            <w:vAlign w:val="bottom"/>
          </w:tcPr>
          <w:p>
            <w:pPr>
              <w:ind w:left="80"/>
              <w:spacing w:after="0"/>
              <w:rPr>
                <w:sz w:val="20"/>
                <w:szCs w:val="20"/>
                <w:color w:val="auto"/>
              </w:rPr>
            </w:pPr>
            <w:r>
              <w:rPr>
                <w:rFonts w:ascii="Arial" w:cs="Arial" w:eastAsia="Arial" w:hAnsi="Arial"/>
                <w:sz w:val="12"/>
                <w:szCs w:val="12"/>
                <w:color w:val="auto"/>
              </w:rPr>
              <w:t>Change in fair value of contingent consideration</w:t>
            </w:r>
          </w:p>
        </w:tc>
        <w:tc>
          <w:tcPr>
            <w:tcW w:w="44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10,736</w:t>
            </w: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r>
      <w:tr>
        <w:trPr>
          <w:trHeight w:val="153"/>
        </w:trPr>
        <w:tc>
          <w:tcPr>
            <w:tcW w:w="5280" w:type="dxa"/>
            <w:vAlign w:val="bottom"/>
            <w:shd w:val="clear" w:color="auto" w:fill="CFF0FC"/>
          </w:tcPr>
          <w:p>
            <w:pPr>
              <w:ind w:left="80"/>
              <w:spacing w:after="0"/>
              <w:rPr>
                <w:sz w:val="20"/>
                <w:szCs w:val="20"/>
                <w:color w:val="auto"/>
              </w:rPr>
            </w:pPr>
            <w:r>
              <w:rPr>
                <w:rFonts w:ascii="Arial" w:cs="Arial" w:eastAsia="Arial" w:hAnsi="Arial"/>
                <w:sz w:val="12"/>
                <w:szCs w:val="12"/>
                <w:color w:val="auto"/>
              </w:rPr>
              <w:t>Amortization of deferred financing costs and debt discount</w:t>
            </w:r>
          </w:p>
        </w:tc>
        <w:tc>
          <w:tcPr>
            <w:tcW w:w="44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23,102</w:t>
            </w:r>
          </w:p>
        </w:tc>
        <w:tc>
          <w:tcPr>
            <w:tcW w:w="26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16,002</w:t>
            </w:r>
          </w:p>
        </w:tc>
        <w:tc>
          <w:tcPr>
            <w:tcW w:w="2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10,004</w:t>
            </w:r>
          </w:p>
        </w:tc>
        <w:tc>
          <w:tcPr>
            <w:tcW w:w="120" w:type="dxa"/>
            <w:vAlign w:val="bottom"/>
            <w:shd w:val="clear" w:color="auto" w:fill="CFF0FC"/>
          </w:tcPr>
          <w:p>
            <w:pPr>
              <w:spacing w:after="0"/>
              <w:rPr>
                <w:sz w:val="13"/>
                <w:szCs w:val="13"/>
                <w:color w:val="auto"/>
              </w:rPr>
            </w:pPr>
          </w:p>
        </w:tc>
      </w:tr>
      <w:tr>
        <w:trPr>
          <w:trHeight w:val="153"/>
        </w:trPr>
        <w:tc>
          <w:tcPr>
            <w:tcW w:w="5280" w:type="dxa"/>
            <w:vAlign w:val="bottom"/>
          </w:tcPr>
          <w:p>
            <w:pPr>
              <w:ind w:left="80"/>
              <w:spacing w:after="0"/>
              <w:rPr>
                <w:sz w:val="20"/>
                <w:szCs w:val="20"/>
                <w:color w:val="auto"/>
              </w:rPr>
            </w:pPr>
            <w:r>
              <w:rPr>
                <w:rFonts w:ascii="Arial" w:cs="Arial" w:eastAsia="Arial" w:hAnsi="Arial"/>
                <w:sz w:val="12"/>
                <w:szCs w:val="12"/>
                <w:color w:val="auto"/>
              </w:rPr>
              <w:t>Stock-based compensation</w:t>
            </w:r>
          </w:p>
        </w:tc>
        <w:tc>
          <w:tcPr>
            <w:tcW w:w="44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7,713</w:t>
            </w: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4,846</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tcPr>
          <w:p>
            <w:pPr>
              <w:jc w:val="right"/>
              <w:spacing w:after="0"/>
              <w:rPr>
                <w:sz w:val="20"/>
                <w:szCs w:val="20"/>
                <w:color w:val="auto"/>
              </w:rPr>
            </w:pPr>
            <w:r>
              <w:rPr>
                <w:rFonts w:ascii="Arial" w:cs="Arial" w:eastAsia="Arial" w:hAnsi="Arial"/>
                <w:sz w:val="12"/>
                <w:szCs w:val="12"/>
                <w:color w:val="auto"/>
              </w:rPr>
              <w:t>1,934</w:t>
            </w:r>
          </w:p>
        </w:tc>
        <w:tc>
          <w:tcPr>
            <w:tcW w:w="120" w:type="dxa"/>
            <w:vAlign w:val="bottom"/>
          </w:tcPr>
          <w:p>
            <w:pPr>
              <w:spacing w:after="0"/>
              <w:rPr>
                <w:sz w:val="13"/>
                <w:szCs w:val="13"/>
                <w:color w:val="auto"/>
              </w:rPr>
            </w:pPr>
          </w:p>
        </w:tc>
      </w:tr>
      <w:tr>
        <w:trPr>
          <w:trHeight w:val="153"/>
        </w:trPr>
        <w:tc>
          <w:tcPr>
            <w:tcW w:w="5280" w:type="dxa"/>
            <w:vAlign w:val="bottom"/>
            <w:shd w:val="clear" w:color="auto" w:fill="CFF0FC"/>
          </w:tcPr>
          <w:p>
            <w:pPr>
              <w:ind w:left="80"/>
              <w:spacing w:after="0"/>
              <w:rPr>
                <w:sz w:val="20"/>
                <w:szCs w:val="20"/>
                <w:color w:val="auto"/>
              </w:rPr>
            </w:pPr>
            <w:r>
              <w:rPr>
                <w:rFonts w:ascii="Arial" w:cs="Arial" w:eastAsia="Arial" w:hAnsi="Arial"/>
                <w:sz w:val="12"/>
                <w:szCs w:val="12"/>
                <w:color w:val="auto"/>
              </w:rPr>
              <w:t>Non-real estate depreciation and amortization</w:t>
            </w:r>
          </w:p>
        </w:tc>
        <w:tc>
          <w:tcPr>
            <w:tcW w:w="44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60,756</w:t>
            </w:r>
          </w:p>
        </w:tc>
        <w:tc>
          <w:tcPr>
            <w:tcW w:w="26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24,422</w:t>
            </w:r>
          </w:p>
        </w:tc>
        <w:tc>
          <w:tcPr>
            <w:tcW w:w="2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2,571</w:t>
            </w:r>
          </w:p>
        </w:tc>
        <w:tc>
          <w:tcPr>
            <w:tcW w:w="120" w:type="dxa"/>
            <w:vAlign w:val="bottom"/>
            <w:shd w:val="clear" w:color="auto" w:fill="CFF0FC"/>
          </w:tcPr>
          <w:p>
            <w:pPr>
              <w:spacing w:after="0"/>
              <w:rPr>
                <w:sz w:val="13"/>
                <w:szCs w:val="13"/>
                <w:color w:val="auto"/>
              </w:rPr>
            </w:pPr>
          </w:p>
        </w:tc>
      </w:tr>
      <w:tr>
        <w:trPr>
          <w:trHeight w:val="153"/>
        </w:trPr>
        <w:tc>
          <w:tcPr>
            <w:tcW w:w="5280" w:type="dxa"/>
            <w:vAlign w:val="bottom"/>
          </w:tcPr>
          <w:p>
            <w:pPr>
              <w:ind w:left="80"/>
              <w:spacing w:after="0"/>
              <w:rPr>
                <w:sz w:val="20"/>
                <w:szCs w:val="20"/>
                <w:color w:val="auto"/>
              </w:rPr>
            </w:pPr>
            <w:r>
              <w:rPr>
                <w:rFonts w:ascii="Arial" w:cs="Arial" w:eastAsia="Arial" w:hAnsi="Arial"/>
                <w:sz w:val="12"/>
                <w:szCs w:val="12"/>
                <w:color w:val="auto"/>
              </w:rPr>
              <w:t>Straight-line revenue</w:t>
            </w:r>
          </w:p>
        </w:tc>
        <w:tc>
          <w:tcPr>
            <w:tcW w:w="440" w:type="dxa"/>
            <w:vAlign w:val="bottom"/>
          </w:tcPr>
          <w:p>
            <w:pPr>
              <w:spacing w:after="0"/>
              <w:rPr>
                <w:sz w:val="13"/>
                <w:szCs w:val="13"/>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2"/>
                <w:szCs w:val="12"/>
                <w:color w:val="auto"/>
              </w:rPr>
              <w:t>(15,136)</w:t>
            </w:r>
          </w:p>
        </w:tc>
        <w:tc>
          <w:tcPr>
            <w:tcW w:w="620" w:type="dxa"/>
            <w:vAlign w:val="bottom"/>
          </w:tcPr>
          <w:p>
            <w:pPr>
              <w:spacing w:after="0"/>
              <w:rPr>
                <w:sz w:val="13"/>
                <w:szCs w:val="13"/>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2"/>
                <w:szCs w:val="12"/>
                <w:color w:val="auto"/>
              </w:rPr>
              <w:t>(17,293)</w:t>
            </w:r>
          </w:p>
        </w:tc>
        <w:tc>
          <w:tcPr>
            <w:tcW w:w="180" w:type="dxa"/>
            <w:vAlign w:val="bottom"/>
          </w:tcPr>
          <w:p>
            <w:pPr>
              <w:spacing w:after="0"/>
              <w:rPr>
                <w:sz w:val="13"/>
                <w:szCs w:val="13"/>
                <w:color w:val="auto"/>
              </w:rPr>
            </w:pPr>
          </w:p>
        </w:tc>
        <w:tc>
          <w:tcPr>
            <w:tcW w:w="1780" w:type="dxa"/>
            <w:vAlign w:val="bottom"/>
            <w:gridSpan w:val="2"/>
          </w:tcPr>
          <w:p>
            <w:pPr>
              <w:jc w:val="right"/>
              <w:ind w:right="80"/>
              <w:spacing w:after="0"/>
              <w:rPr>
                <w:sz w:val="20"/>
                <w:szCs w:val="20"/>
                <w:color w:val="auto"/>
              </w:rPr>
            </w:pPr>
            <w:r>
              <w:rPr>
                <w:rFonts w:ascii="Arial" w:cs="Arial" w:eastAsia="Arial" w:hAnsi="Arial"/>
                <w:sz w:val="12"/>
                <w:szCs w:val="12"/>
                <w:color w:val="auto"/>
              </w:rPr>
              <w:t>(11,795)</w:t>
            </w:r>
          </w:p>
        </w:tc>
      </w:tr>
      <w:tr>
        <w:trPr>
          <w:trHeight w:val="153"/>
        </w:trPr>
        <w:tc>
          <w:tcPr>
            <w:tcW w:w="5280" w:type="dxa"/>
            <w:vAlign w:val="bottom"/>
            <w:shd w:val="clear" w:color="auto" w:fill="CFF0FC"/>
          </w:tcPr>
          <w:p>
            <w:pPr>
              <w:ind w:left="80"/>
              <w:spacing w:after="0"/>
              <w:rPr>
                <w:sz w:val="20"/>
                <w:szCs w:val="20"/>
                <w:color w:val="auto"/>
              </w:rPr>
            </w:pPr>
            <w:r>
              <w:rPr>
                <w:rFonts w:ascii="Arial" w:cs="Arial" w:eastAsia="Arial" w:hAnsi="Arial"/>
                <w:sz w:val="12"/>
                <w:szCs w:val="12"/>
                <w:color w:val="auto"/>
              </w:rPr>
              <w:t>Maintenance capital expenditures</w:t>
            </w:r>
          </w:p>
        </w:tc>
        <w:tc>
          <w:tcPr>
            <w:tcW w:w="440" w:type="dxa"/>
            <w:vAlign w:val="bottom"/>
            <w:shd w:val="clear" w:color="auto" w:fill="CFF0FC"/>
          </w:tcPr>
          <w:p>
            <w:pPr>
              <w:spacing w:after="0"/>
              <w:rPr>
                <w:sz w:val="13"/>
                <w:szCs w:val="13"/>
                <w:color w:val="auto"/>
              </w:rPr>
            </w:pPr>
          </w:p>
        </w:tc>
        <w:tc>
          <w:tcPr>
            <w:tcW w:w="166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(4,434)</w:t>
            </w:r>
          </w:p>
        </w:tc>
        <w:tc>
          <w:tcPr>
            <w:tcW w:w="620" w:type="dxa"/>
            <w:vAlign w:val="bottom"/>
            <w:shd w:val="clear" w:color="auto" w:fill="CFF0FC"/>
          </w:tcPr>
          <w:p>
            <w:pPr>
              <w:spacing w:after="0"/>
              <w:rPr>
                <w:sz w:val="13"/>
                <w:szCs w:val="13"/>
                <w:color w:val="auto"/>
              </w:rPr>
            </w:pPr>
          </w:p>
        </w:tc>
        <w:tc>
          <w:tcPr>
            <w:tcW w:w="152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(3,327)</w:t>
            </w:r>
          </w:p>
        </w:tc>
        <w:tc>
          <w:tcPr>
            <w:tcW w:w="180" w:type="dxa"/>
            <w:vAlign w:val="bottom"/>
            <w:shd w:val="clear" w:color="auto" w:fill="CFF0FC"/>
          </w:tcPr>
          <w:p>
            <w:pPr>
              <w:spacing w:after="0"/>
              <w:rPr>
                <w:sz w:val="13"/>
                <w:szCs w:val="13"/>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r>
      <w:tr>
        <w:trPr>
          <w:trHeight w:val="153"/>
        </w:trPr>
        <w:tc>
          <w:tcPr>
            <w:tcW w:w="5280" w:type="dxa"/>
            <w:vAlign w:val="bottom"/>
          </w:tcPr>
          <w:p>
            <w:pPr>
              <w:ind w:left="80"/>
              <w:spacing w:after="0"/>
              <w:rPr>
                <w:sz w:val="20"/>
                <w:szCs w:val="20"/>
                <w:color w:val="auto"/>
              </w:rPr>
            </w:pPr>
            <w:r>
              <w:rPr>
                <w:rFonts w:ascii="Arial" w:cs="Arial" w:eastAsia="Arial" w:hAnsi="Arial"/>
                <w:sz w:val="12"/>
                <w:szCs w:val="12"/>
                <w:color w:val="auto"/>
              </w:rPr>
              <w:t>Amortization of discount on convertible preferred stock</w:t>
            </w:r>
          </w:p>
        </w:tc>
        <w:tc>
          <w:tcPr>
            <w:tcW w:w="44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2,980</w:t>
            </w: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1,985</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r>
      <w:tr>
        <w:trPr>
          <w:trHeight w:val="153"/>
        </w:trPr>
        <w:tc>
          <w:tcPr>
            <w:tcW w:w="5280" w:type="dxa"/>
            <w:vAlign w:val="bottom"/>
            <w:shd w:val="clear" w:color="auto" w:fill="CFF0FC"/>
          </w:tcPr>
          <w:p>
            <w:pPr>
              <w:ind w:left="80"/>
              <w:spacing w:after="0"/>
              <w:rPr>
                <w:sz w:val="20"/>
                <w:szCs w:val="20"/>
                <w:color w:val="auto"/>
              </w:rPr>
            </w:pPr>
            <w:r>
              <w:rPr>
                <w:rFonts w:ascii="Arial" w:cs="Arial" w:eastAsia="Arial" w:hAnsi="Arial"/>
                <w:sz w:val="12"/>
                <w:szCs w:val="12"/>
                <w:color w:val="auto"/>
              </w:rPr>
              <w:t>Adjustment to deferred tax valuation allowance and tax rate change</w:t>
            </w:r>
          </w:p>
        </w:tc>
        <w:tc>
          <w:tcPr>
            <w:tcW w:w="440" w:type="dxa"/>
            <w:vAlign w:val="bottom"/>
            <w:shd w:val="clear" w:color="auto" w:fill="CFF0FC"/>
          </w:tcPr>
          <w:p>
            <w:pPr>
              <w:spacing w:after="0"/>
              <w:rPr>
                <w:sz w:val="13"/>
                <w:szCs w:val="13"/>
                <w:color w:val="auto"/>
              </w:rPr>
            </w:pPr>
          </w:p>
        </w:tc>
        <w:tc>
          <w:tcPr>
            <w:tcW w:w="166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(36,240)</w:t>
            </w:r>
          </w:p>
        </w:tc>
        <w:tc>
          <w:tcPr>
            <w:tcW w:w="620" w:type="dxa"/>
            <w:vAlign w:val="bottom"/>
            <w:shd w:val="clear" w:color="auto" w:fill="CFF0FC"/>
          </w:tcPr>
          <w:p>
            <w:pPr>
              <w:spacing w:after="0"/>
              <w:rPr>
                <w:sz w:val="13"/>
                <w:szCs w:val="13"/>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r>
      <w:tr>
        <w:trPr>
          <w:trHeight w:val="153"/>
        </w:trPr>
        <w:tc>
          <w:tcPr>
            <w:tcW w:w="5280" w:type="dxa"/>
            <w:vAlign w:val="bottom"/>
          </w:tcPr>
          <w:p>
            <w:pPr>
              <w:ind w:left="80"/>
              <w:spacing w:after="0"/>
              <w:rPr>
                <w:sz w:val="20"/>
                <w:szCs w:val="20"/>
                <w:color w:val="auto"/>
              </w:rPr>
            </w:pPr>
            <w:r>
              <w:rPr>
                <w:rFonts w:ascii="Arial" w:cs="Arial" w:eastAsia="Arial" w:hAnsi="Arial"/>
                <w:sz w:val="12"/>
                <w:szCs w:val="12"/>
                <w:color w:val="auto"/>
              </w:rPr>
              <w:t>Other non-cash (revenue) expense, net</w:t>
            </w:r>
          </w:p>
        </w:tc>
        <w:tc>
          <w:tcPr>
            <w:tcW w:w="440" w:type="dxa"/>
            <w:vAlign w:val="bottom"/>
          </w:tcPr>
          <w:p>
            <w:pPr>
              <w:spacing w:after="0"/>
              <w:rPr>
                <w:sz w:val="13"/>
                <w:szCs w:val="13"/>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2"/>
                <w:szCs w:val="12"/>
                <w:color w:val="auto"/>
              </w:rPr>
              <w:t>(14,871)</w:t>
            </w:r>
          </w:p>
        </w:tc>
        <w:tc>
          <w:tcPr>
            <w:tcW w:w="620" w:type="dxa"/>
            <w:vAlign w:val="bottom"/>
          </w:tcPr>
          <w:p>
            <w:pPr>
              <w:spacing w:after="0"/>
              <w:rPr>
                <w:sz w:val="13"/>
                <w:szCs w:val="13"/>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2"/>
                <w:szCs w:val="12"/>
                <w:color w:val="auto"/>
              </w:rPr>
              <w:t>(7,818)</w:t>
            </w:r>
          </w:p>
        </w:tc>
        <w:tc>
          <w:tcPr>
            <w:tcW w:w="180" w:type="dxa"/>
            <w:vAlign w:val="bottom"/>
          </w:tcPr>
          <w:p>
            <w:pPr>
              <w:spacing w:after="0"/>
              <w:rPr>
                <w:sz w:val="13"/>
                <w:szCs w:val="13"/>
                <w:color w:val="auto"/>
              </w:rPr>
            </w:pPr>
          </w:p>
        </w:tc>
        <w:tc>
          <w:tcPr>
            <w:tcW w:w="1780" w:type="dxa"/>
            <w:vAlign w:val="bottom"/>
            <w:gridSpan w:val="2"/>
          </w:tcPr>
          <w:p>
            <w:pPr>
              <w:jc w:val="right"/>
              <w:ind w:right="80"/>
              <w:spacing w:after="0"/>
              <w:rPr>
                <w:sz w:val="20"/>
                <w:szCs w:val="20"/>
                <w:color w:val="auto"/>
              </w:rPr>
            </w:pPr>
            <w:r>
              <w:rPr>
                <w:rFonts w:ascii="Arial" w:cs="Arial" w:eastAsia="Arial" w:hAnsi="Arial"/>
                <w:sz w:val="12"/>
                <w:szCs w:val="12"/>
                <w:color w:val="auto"/>
              </w:rPr>
              <w:t>(676)</w:t>
            </w:r>
          </w:p>
        </w:tc>
      </w:tr>
      <w:tr>
        <w:trPr>
          <w:trHeight w:val="153"/>
        </w:trPr>
        <w:tc>
          <w:tcPr>
            <w:tcW w:w="5280" w:type="dxa"/>
            <w:vAlign w:val="bottom"/>
            <w:shd w:val="clear" w:color="auto" w:fill="CFF0FC"/>
          </w:tcPr>
          <w:p>
            <w:pPr>
              <w:ind w:left="80"/>
              <w:spacing w:after="0"/>
              <w:rPr>
                <w:sz w:val="20"/>
                <w:szCs w:val="20"/>
                <w:color w:val="auto"/>
              </w:rPr>
            </w:pPr>
            <w:r>
              <w:rPr>
                <w:rFonts w:ascii="Arial" w:cs="Arial" w:eastAsia="Arial" w:hAnsi="Arial"/>
                <w:sz w:val="12"/>
                <w:szCs w:val="12"/>
                <w:color w:val="auto"/>
              </w:rPr>
              <w:t>Adjustments for noncontrolling interests</w:t>
            </w:r>
          </w:p>
        </w:tc>
        <w:tc>
          <w:tcPr>
            <w:tcW w:w="440" w:type="dxa"/>
            <w:vAlign w:val="bottom"/>
            <w:shd w:val="clear" w:color="auto" w:fill="CFF0FC"/>
          </w:tcPr>
          <w:p>
            <w:pPr>
              <w:spacing w:after="0"/>
              <w:rPr>
                <w:sz w:val="13"/>
                <w:szCs w:val="13"/>
                <w:color w:val="auto"/>
              </w:rPr>
            </w:pPr>
          </w:p>
        </w:tc>
        <w:tc>
          <w:tcPr>
            <w:tcW w:w="166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(264)</w:t>
            </w:r>
          </w:p>
        </w:tc>
        <w:tc>
          <w:tcPr>
            <w:tcW w:w="620" w:type="dxa"/>
            <w:vAlign w:val="bottom"/>
            <w:shd w:val="clear" w:color="auto" w:fill="CFF0FC"/>
          </w:tcPr>
          <w:p>
            <w:pPr>
              <w:spacing w:after="0"/>
              <w:rPr>
                <w:sz w:val="13"/>
                <w:szCs w:val="13"/>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r>
      <w:tr>
        <w:trPr>
          <w:trHeight w:val="149"/>
        </w:trPr>
        <w:tc>
          <w:tcPr>
            <w:tcW w:w="5280" w:type="dxa"/>
            <w:vAlign w:val="bottom"/>
          </w:tcPr>
          <w:p>
            <w:pPr>
              <w:spacing w:after="0"/>
              <w:rPr>
                <w:sz w:val="20"/>
                <w:szCs w:val="20"/>
                <w:color w:val="auto"/>
              </w:rPr>
            </w:pPr>
            <w:r>
              <w:rPr>
                <w:rFonts w:ascii="Arial" w:cs="Arial" w:eastAsia="Arial" w:hAnsi="Arial"/>
                <w:sz w:val="12"/>
                <w:szCs w:val="12"/>
                <w:b w:val="1"/>
                <w:bCs w:val="1"/>
                <w:color w:val="auto"/>
              </w:rPr>
              <w:t>AFFO attributable to common shareholders</w:t>
            </w:r>
          </w:p>
        </w:tc>
        <w:tc>
          <w:tcPr>
            <w:tcW w:w="4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0"/>
                <w:szCs w:val="10"/>
                <w:color w:val="auto"/>
                <w:w w:val="71"/>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424,824</w:t>
            </w:r>
          </w:p>
        </w:tc>
        <w:tc>
          <w:tcPr>
            <w:tcW w:w="26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0"/>
                <w:szCs w:val="10"/>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398,537</w:t>
            </w:r>
          </w:p>
        </w:tc>
        <w:tc>
          <w:tcPr>
            <w:tcW w:w="28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267,077</w:t>
            </w:r>
          </w:p>
        </w:tc>
        <w:tc>
          <w:tcPr>
            <w:tcW w:w="120" w:type="dxa"/>
            <w:vAlign w:val="bottom"/>
          </w:tcPr>
          <w:p>
            <w:pPr>
              <w:spacing w:after="0"/>
              <w:rPr>
                <w:sz w:val="12"/>
                <w:szCs w:val="12"/>
                <w:color w:val="auto"/>
              </w:rPr>
            </w:pPr>
          </w:p>
        </w:tc>
      </w:tr>
    </w:tbl>
    <w:p>
      <w:pPr>
        <w:spacing w:after="0" w:line="20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Critical Accounting Estimates</w:t>
      </w:r>
    </w:p>
    <w:p>
      <w:pPr>
        <w:spacing w:after="0" w:line="82" w:lineRule="exact"/>
        <w:rPr>
          <w:sz w:val="20"/>
          <w:szCs w:val="20"/>
          <w:color w:val="auto"/>
        </w:rPr>
      </w:pPr>
    </w:p>
    <w:p>
      <w:pPr>
        <w:ind w:right="20"/>
        <w:spacing w:after="0" w:line="340" w:lineRule="auto"/>
        <w:rPr>
          <w:sz w:val="20"/>
          <w:szCs w:val="20"/>
          <w:color w:val="auto"/>
        </w:rPr>
      </w:pPr>
      <w:r>
        <w:rPr>
          <w:rFonts w:ascii="Arial" w:cs="Arial" w:eastAsia="Arial" w:hAnsi="Arial"/>
          <w:sz w:val="10"/>
          <w:szCs w:val="10"/>
          <w:color w:val="auto"/>
        </w:rPr>
        <w:t>We make certain judgments and use certain estimates and assumptions when applying accounting principles in the preparation of our financial statements. The nature of the estimates and assumptions are material due to the levels of subjectivity and judgment necessary to account for highly uncertain factors or the susceptibility of such factors to change. We have identified the accounting for income taxes, revenue recognition, useful lives of assets, the impairment of property, plant and equipment, goodwill impairment and business combinations as critical accounting estimates, as they are the most important to our financial statement presentation and require difficult, subjective and complex judgments.</w:t>
      </w:r>
    </w:p>
    <w:p>
      <w:pPr>
        <w:spacing w:after="0" w:line="88" w:lineRule="exact"/>
        <w:rPr>
          <w:sz w:val="20"/>
          <w:szCs w:val="20"/>
          <w:color w:val="auto"/>
        </w:rPr>
      </w:pPr>
    </w:p>
    <w:p>
      <w:pPr>
        <w:ind w:right="360"/>
        <w:spacing w:after="0" w:line="276" w:lineRule="auto"/>
        <w:rPr>
          <w:sz w:val="20"/>
          <w:szCs w:val="20"/>
          <w:color w:val="auto"/>
        </w:rPr>
      </w:pPr>
      <w:r>
        <w:rPr>
          <w:rFonts w:ascii="Arial" w:cs="Arial" w:eastAsia="Arial" w:hAnsi="Arial"/>
          <w:sz w:val="12"/>
          <w:szCs w:val="12"/>
          <w:color w:val="auto"/>
        </w:rPr>
        <w:t>We believe the current assumptions and other considerations used to estimate amounts reflected in our financial statements are appropriate. However, if actual experience differs from the assumptions and other considerations used in estimating amounts reflected in our financial statements, the resulting changes could have a material adverse</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39" w:name="page40"/>
    <w:bookmarkEnd w:id="39"/>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effect on our results of operations and, in certain situations, could have a material adverse effect on our financial condition.</w:t>
      </w:r>
    </w:p>
    <w:p>
      <w:pPr>
        <w:spacing w:after="0" w:line="2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Income Taxes</w:t>
      </w:r>
    </w:p>
    <w:p>
      <w:pPr>
        <w:spacing w:after="0" w:line="82" w:lineRule="exact"/>
        <w:rPr>
          <w:sz w:val="20"/>
          <w:szCs w:val="20"/>
          <w:color w:val="auto"/>
        </w:rPr>
      </w:pPr>
    </w:p>
    <w:p>
      <w:pPr>
        <w:spacing w:after="0" w:line="255" w:lineRule="auto"/>
        <w:rPr>
          <w:sz w:val="20"/>
          <w:szCs w:val="20"/>
          <w:color w:val="auto"/>
        </w:rPr>
      </w:pPr>
      <w:r>
        <w:rPr>
          <w:rFonts w:ascii="Arial" w:cs="Arial" w:eastAsia="Arial" w:hAnsi="Arial"/>
          <w:sz w:val="12"/>
          <w:szCs w:val="12"/>
          <w:color w:val="auto"/>
        </w:rPr>
        <w:t>We have elected on our U.S. federal income tax return for the taxable year ending December 31, 2015 to be treated as a REIT under the Internal Revenue Code of 1986, as amended (the “Code”). To qualify as a REIT, we must distribute at least 90% of our annual REIT taxable income to shareholders, and meet certain organizational and operational requirements, including asset holding requirements. As a REIT, we will generally not be subject to U.S. federal income tax on income that we distribute as dividends to our shareholders. If we fail to qualify as a REIT in any taxable year, we will be subject to U.S. federal income tax, including any applicable alternative minimum tax for open taxable years through 2017, on our taxable income at regular corporate income tax rates, and we could not deduct dividends paid to our shareholders in computing taxable income. Any resulting corporate liability could be substantial and could materially and adversely affect our net income and net cash available for distribution to shareholders. Unless we were entitled to relief under certain Code provisions, we also would be disqualified from reelecting to be taxed as a REIT for the four taxable years following the year in which we failed to qualify as a REIT.</w:t>
      </w:r>
    </w:p>
    <w:p>
      <w:pPr>
        <w:spacing w:after="0" w:line="129" w:lineRule="exact"/>
        <w:rPr>
          <w:sz w:val="20"/>
          <w:szCs w:val="20"/>
          <w:color w:val="auto"/>
        </w:rPr>
      </w:pPr>
    </w:p>
    <w:p>
      <w:pPr>
        <w:ind w:right="60"/>
        <w:spacing w:after="0" w:line="263" w:lineRule="auto"/>
        <w:rPr>
          <w:sz w:val="20"/>
          <w:szCs w:val="20"/>
          <w:color w:val="auto"/>
        </w:rPr>
      </w:pPr>
      <w:r>
        <w:rPr>
          <w:rFonts w:ascii="Arial" w:cs="Arial" w:eastAsia="Arial" w:hAnsi="Arial"/>
          <w:sz w:val="12"/>
          <w:szCs w:val="12"/>
          <w:color w:val="auto"/>
        </w:rPr>
        <w:t>We intend to make regular quarterly dividend payments of all or substantially all of our annual REIT taxable income to holders of our common stock, and therefore no provision is required in the accompanying Consolidated Financial Statements for U.S. federal income taxes related to the activities of the REIT and its passthrough subsidiaries. We are subject to the statutory requirements of the locations in which we conduct business, and state and local income taxes are accrued as deemed required in the best judgment of management based on analysis and interpretation of respective tax laws.</w:t>
      </w:r>
    </w:p>
    <w:p>
      <w:pPr>
        <w:spacing w:after="0" w:line="123" w:lineRule="exact"/>
        <w:rPr>
          <w:sz w:val="20"/>
          <w:szCs w:val="20"/>
          <w:color w:val="auto"/>
        </w:rPr>
      </w:pPr>
    </w:p>
    <w:p>
      <w:pPr>
        <w:ind w:right="140"/>
        <w:spacing w:after="0" w:line="276" w:lineRule="auto"/>
        <w:rPr>
          <w:sz w:val="20"/>
          <w:szCs w:val="20"/>
          <w:color w:val="auto"/>
        </w:rPr>
      </w:pPr>
      <w:r>
        <w:rPr>
          <w:rFonts w:ascii="Arial" w:cs="Arial" w:eastAsia="Arial" w:hAnsi="Arial"/>
          <w:sz w:val="12"/>
          <w:szCs w:val="12"/>
          <w:color w:val="auto"/>
        </w:rPr>
        <w:t>We have elected to treat the subsidiaries through which we operate Uniti Fiber and Talk America as TRSs. TRSs enable us to engage in activities that result in income that does not constitute qualifying income for a REIT. Our TRSs are subject to U.S. federal, state and local corporate income taxes.</w:t>
      </w:r>
    </w:p>
    <w:p>
      <w:pPr>
        <w:spacing w:after="0" w:line="115" w:lineRule="exact"/>
        <w:rPr>
          <w:sz w:val="20"/>
          <w:szCs w:val="20"/>
          <w:color w:val="auto"/>
        </w:rPr>
      </w:pPr>
    </w:p>
    <w:p>
      <w:pPr>
        <w:ind w:right="40"/>
        <w:spacing w:after="0" w:line="259" w:lineRule="auto"/>
        <w:rPr>
          <w:sz w:val="20"/>
          <w:szCs w:val="20"/>
          <w:color w:val="auto"/>
        </w:rPr>
      </w:pPr>
      <w:r>
        <w:rPr>
          <w:rFonts w:ascii="Arial" w:cs="Arial" w:eastAsia="Arial" w:hAnsi="Arial"/>
          <w:sz w:val="12"/>
          <w:szCs w:val="12"/>
          <w:color w:val="auto"/>
        </w:rPr>
        <w:t>Deferred tax assets and liabilities are recognized under the asset and liability method for the estimated future tax consequences attributable to differences between the financial statement carrying amounts of existing assets and liabilities and their respective tax bases. Deferred tax balances are adjusted to reflect tax rates based on currently enacted tax laws, which will be in effect in the years in which the temporary differences are expected to reverse. The effect on deferred tax assets and liabilities of a change in tax rates is recognized in the results of operations in the period of the enactment date. A valuation allowance is recorded to reduce the carrying amounts of deferred tax assets unless it is more likely than not that such assets will be realized.</w:t>
      </w:r>
    </w:p>
    <w:p>
      <w:pPr>
        <w:spacing w:after="0" w:line="125" w:lineRule="exact"/>
        <w:rPr>
          <w:sz w:val="20"/>
          <w:szCs w:val="20"/>
          <w:color w:val="auto"/>
        </w:rPr>
      </w:pPr>
    </w:p>
    <w:p>
      <w:pPr>
        <w:ind w:right="280"/>
        <w:spacing w:after="0" w:line="276" w:lineRule="auto"/>
        <w:rPr>
          <w:sz w:val="20"/>
          <w:szCs w:val="20"/>
          <w:color w:val="auto"/>
        </w:rPr>
      </w:pPr>
      <w:r>
        <w:rPr>
          <w:rFonts w:ascii="Arial" w:cs="Arial" w:eastAsia="Arial" w:hAnsi="Arial"/>
          <w:sz w:val="12"/>
          <w:szCs w:val="12"/>
          <w:color w:val="auto"/>
        </w:rPr>
        <w:t>We recognize the benefit of tax positions that are "more likely than not" to be sustained upon examination based on their technical merit. The benefit of a tax position is measured at the largest amount that has a greater than 50 percent likelihood of being realized upon ultimate settlement. If applicable, we will report tax-related penalties and interest expense as a component of income tax expense.</w:t>
      </w:r>
    </w:p>
    <w:p>
      <w:pPr>
        <w:spacing w:after="0" w:line="43" w:lineRule="exact"/>
        <w:rPr>
          <w:sz w:val="20"/>
          <w:szCs w:val="20"/>
          <w:color w:val="auto"/>
        </w:rPr>
      </w:pPr>
    </w:p>
    <w:p>
      <w:pPr>
        <w:ind w:right="140"/>
        <w:spacing w:after="0" w:line="276" w:lineRule="auto"/>
        <w:rPr>
          <w:sz w:val="20"/>
          <w:szCs w:val="20"/>
          <w:color w:val="auto"/>
        </w:rPr>
      </w:pPr>
      <w:r>
        <w:rPr>
          <w:rFonts w:ascii="Arial" w:cs="Arial" w:eastAsia="Arial" w:hAnsi="Arial"/>
          <w:sz w:val="12"/>
          <w:szCs w:val="12"/>
          <w:color w:val="auto"/>
        </w:rPr>
        <w:t>The Company will be subject to a federal corporate level tax (currently 35%, and 21% starting in 2018) on any gain recognized from the sale of assets occurring within a five year recognition period after the Spin-Off up to the amount of the built in gain that existed on April 24, 2015, which is based on the fair market value of the assets in excess of the Company’s tax basis as of such date.</w:t>
      </w:r>
    </w:p>
    <w:p>
      <w:pPr>
        <w:spacing w:after="0" w:line="18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Revenue Recognition</w:t>
      </w:r>
    </w:p>
    <w:p>
      <w:pPr>
        <w:spacing w:after="0" w:line="82" w:lineRule="exact"/>
        <w:rPr>
          <w:sz w:val="20"/>
          <w:szCs w:val="20"/>
          <w:color w:val="auto"/>
        </w:rPr>
      </w:pPr>
    </w:p>
    <w:p>
      <w:pPr>
        <w:ind w:right="360"/>
        <w:spacing w:after="0" w:line="263" w:lineRule="auto"/>
        <w:rPr>
          <w:sz w:val="20"/>
          <w:szCs w:val="20"/>
          <w:color w:val="auto"/>
        </w:rPr>
      </w:pPr>
      <w:r>
        <w:rPr>
          <w:rFonts w:ascii="Arial" w:cs="Arial" w:eastAsia="Arial" w:hAnsi="Arial"/>
          <w:sz w:val="12"/>
          <w:szCs w:val="12"/>
          <w:color w:val="auto"/>
        </w:rPr>
        <w:t>Leasing revenues are primarily derived from providing access to or usage of leased networks and facilities. Leasing revenues are recognized on a straight-line basis over the initial lease term. Revenues derived from other telecommunications services, including broadband, long distance and enhanced service revenues are recognized monthly as services are provided. Sales of customer premise equipment and modems are recognized when products are delivered to and accepted by customers.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40" w:name="page41"/>
    <w:bookmarkEnd w:id="40"/>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spacing w:after="0" w:line="146" w:lineRule="exact"/>
        <w:rPr>
          <w:sz w:val="20"/>
          <w:szCs w:val="20"/>
          <w:color w:val="auto"/>
        </w:rPr>
      </w:pPr>
      <w:r>
        <w:rPr>
          <w:rFonts w:ascii="Arial" w:cs="Arial" w:eastAsia="Arial" w:hAnsi="Arial"/>
          <w:sz w:val="11"/>
          <w:szCs w:val="11"/>
          <w:color w:val="auto"/>
        </w:rPr>
        <w:t>Service revenues are primarily derived from providing broadband transport and backhaul communications services and are recognized when (i) persuasive evidence of an arrangement exists, (ii) the services have been provided to the customer, (iii) the sales price is fixed or determinable, and (iv) the collection of the sales price is reasonably assured. Services provided to the Company’s customers are pursuant to contractual fee</w:t>
      </w:r>
      <w:r>
        <w:rPr>
          <w:rFonts w:ascii="MS PGothic" w:cs="MS PGothic" w:eastAsia="MS PGothic" w:hAnsi="MS PGothic"/>
          <w:sz w:val="11"/>
          <w:szCs w:val="11"/>
          <w:color w:val="auto"/>
        </w:rPr>
        <w:t>‑</w:t>
      </w:r>
      <w:r>
        <w:rPr>
          <w:rFonts w:ascii="Arial" w:cs="Arial" w:eastAsia="Arial" w:hAnsi="Arial"/>
          <w:sz w:val="11"/>
          <w:szCs w:val="11"/>
          <w:color w:val="auto"/>
        </w:rPr>
        <w:t>based arrangements, which generally provide for recurring fees charged for the use of designated portions of the Company’s network and typically range for a period of three to ten years. The Company’s revenue arrangements often include upfront fees charged to the customer for the cost of establishing the necessary components of the Company’s network prior to the commencement of use by the customer. Fees charged to customers for the recurring use of the Company’s network are recognized during the related periods of service. Upfront fees that are billed in advance of providing services are deferred until such time the customer accepts the Company’s network and then are recognized as service revenues ratably over a period in which substantive services required under the revenue arrangement are expected to be performed, which is the initial term of the arrangement.</w:t>
      </w:r>
    </w:p>
    <w:p>
      <w:pPr>
        <w:spacing w:after="0" w:line="20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Useful Lives of Assets</w:t>
      </w:r>
    </w:p>
    <w:p>
      <w:pPr>
        <w:spacing w:after="0" w:line="82" w:lineRule="exact"/>
        <w:rPr>
          <w:sz w:val="20"/>
          <w:szCs w:val="20"/>
          <w:color w:val="auto"/>
        </w:rPr>
      </w:pPr>
    </w:p>
    <w:p>
      <w:pPr>
        <w:ind w:right="240"/>
        <w:spacing w:after="0" w:line="263" w:lineRule="auto"/>
        <w:rPr>
          <w:sz w:val="20"/>
          <w:szCs w:val="20"/>
          <w:color w:val="auto"/>
        </w:rPr>
      </w:pPr>
      <w:r>
        <w:rPr>
          <w:rFonts w:ascii="Arial" w:cs="Arial" w:eastAsia="Arial" w:hAnsi="Arial"/>
          <w:sz w:val="12"/>
          <w:szCs w:val="12"/>
          <w:color w:val="auto"/>
        </w:rPr>
        <w:t>The calculation of depreciation and amortization expense is based on the estimated economic useful lives of the underlying property, plant and equipment and customer lists, tenant contracts and network intangible assets. Some of our Distribution Systems assets use a group composite depreciation method. Under this method, when plant is retired, the original cost, net of salvage value, is charged against accumulated depreciation and no immediate gain or loss is recognized on the disposition of the plant.</w:t>
      </w:r>
    </w:p>
    <w:p>
      <w:pPr>
        <w:spacing w:after="0" w:line="123" w:lineRule="exact"/>
        <w:rPr>
          <w:sz w:val="20"/>
          <w:szCs w:val="20"/>
          <w:color w:val="auto"/>
        </w:rPr>
      </w:pPr>
    </w:p>
    <w:p>
      <w:pPr>
        <w:ind w:right="20"/>
        <w:spacing w:after="0" w:line="263" w:lineRule="auto"/>
        <w:rPr>
          <w:sz w:val="20"/>
          <w:szCs w:val="20"/>
          <w:color w:val="auto"/>
        </w:rPr>
      </w:pPr>
      <w:r>
        <w:rPr>
          <w:rFonts w:ascii="Arial" w:cs="Arial" w:eastAsia="Arial" w:hAnsi="Arial"/>
          <w:sz w:val="12"/>
          <w:szCs w:val="12"/>
          <w:color w:val="auto"/>
        </w:rPr>
        <w:t>Rapid changes in technology or changes in market conditions could result in significant changes to the estimated useful lives of our property, plant and equipment that could materially affect the carrying value of these assets and our future operating results. An extension of the average useful life of our property, plant and equipment of one year would decrease depreciation expense by approximately $29.4 million per year, while a reduction in the average useful life of one year would increase depreciation expense by approximately $36.5 million per year.</w:t>
      </w:r>
    </w:p>
    <w:p>
      <w:pPr>
        <w:spacing w:after="0" w:line="123" w:lineRule="exact"/>
        <w:rPr>
          <w:sz w:val="20"/>
          <w:szCs w:val="20"/>
          <w:color w:val="auto"/>
        </w:rPr>
      </w:pPr>
    </w:p>
    <w:p>
      <w:pPr>
        <w:ind w:right="40"/>
        <w:spacing w:after="0" w:line="298" w:lineRule="auto"/>
        <w:rPr>
          <w:sz w:val="20"/>
          <w:szCs w:val="20"/>
          <w:color w:val="auto"/>
        </w:rPr>
      </w:pPr>
      <w:r>
        <w:rPr>
          <w:rFonts w:ascii="Arial" w:cs="Arial" w:eastAsia="Arial" w:hAnsi="Arial"/>
          <w:sz w:val="11"/>
          <w:szCs w:val="11"/>
          <w:color w:val="auto"/>
        </w:rPr>
        <w:t>At December 31, 2017, our unamortized finite lived intangible assets totaled $429.4 million, and are amortized using the straight-line method over their estimated useful lives with the exception of the customer list intangible assets related to our Consumer CLEC Business, which were brought over at carry-over basis at the time of the Company’s spin-off from Windstream Holdings, Inc. in 2015, and are amortized using the sum-of-the-years’-digits method over their estimated useful lives. A reduction in the average useful lives of our finite lived intangible asset of one year would have increased the amount of amortization expense recorded in 2017 by approximately $0.7 million.</w:t>
      </w:r>
    </w:p>
    <w:p>
      <w:pPr>
        <w:spacing w:after="0" w:line="17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Impairment of Property, Plant, and Equipment</w:t>
      </w:r>
    </w:p>
    <w:p>
      <w:pPr>
        <w:spacing w:after="0" w:line="82" w:lineRule="exact"/>
        <w:rPr>
          <w:sz w:val="20"/>
          <w:szCs w:val="20"/>
          <w:color w:val="auto"/>
        </w:rPr>
      </w:pPr>
    </w:p>
    <w:p>
      <w:pPr>
        <w:ind w:right="20"/>
        <w:spacing w:after="0" w:line="259" w:lineRule="auto"/>
        <w:rPr>
          <w:sz w:val="20"/>
          <w:szCs w:val="20"/>
          <w:color w:val="auto"/>
        </w:rPr>
      </w:pPr>
      <w:r>
        <w:rPr>
          <w:rFonts w:ascii="Arial" w:cs="Arial" w:eastAsia="Arial" w:hAnsi="Arial"/>
          <w:sz w:val="12"/>
          <w:szCs w:val="12"/>
          <w:color w:val="auto"/>
        </w:rPr>
        <w:t>We continually monitor events and changes in circumstances that could indicate that the carrying amount of our property, plant and equipment may not be recoverable or realized. When indicators of potential impairment suggest that the carrying value may not be recoverable, we assess the recoverability by estimating whether we will recover the carrying value of those assets through its undiscounted future cash flows and the eventual disposition of the asset. If, based on this analysis, we do not believe that we will be able to recover the carrying value of our property, plant and equipment, we would record an impairment loss to the extent that the carrying value exceeds the estimated fair value of the related assets.</w:t>
      </w:r>
    </w:p>
    <w:p>
      <w:pPr>
        <w:spacing w:after="0" w:line="19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Business Combinations</w:t>
      </w:r>
    </w:p>
    <w:p>
      <w:pPr>
        <w:spacing w:after="0" w:line="82" w:lineRule="exact"/>
        <w:rPr>
          <w:sz w:val="20"/>
          <w:szCs w:val="20"/>
          <w:color w:val="auto"/>
        </w:rPr>
      </w:pPr>
    </w:p>
    <w:p>
      <w:pPr>
        <w:spacing w:after="0" w:line="286" w:lineRule="auto"/>
        <w:rPr>
          <w:sz w:val="20"/>
          <w:szCs w:val="20"/>
          <w:color w:val="auto"/>
        </w:rPr>
      </w:pPr>
      <w:r>
        <w:rPr>
          <w:rFonts w:ascii="Arial" w:cs="Arial" w:eastAsia="Arial" w:hAnsi="Arial"/>
          <w:sz w:val="11"/>
          <w:szCs w:val="11"/>
          <w:color w:val="auto"/>
        </w:rPr>
        <w:t xml:space="preserve">We apply the acquisition method of accounting for acquisitions meeting the definition of a business combination, where assets acquired and liabilities assumed are recorded at fair value at the date of each acquisition, and the results of operations are included with those of the Company from the dates of the respective acquisitions. Any excess of the purchase price paid by the Company over the amounts recognized for assets acquired and liabilities assumed is recorded as goodwill. ASC 805, </w:t>
      </w:r>
      <w:r>
        <w:rPr>
          <w:rFonts w:ascii="Arial" w:cs="Arial" w:eastAsia="Arial" w:hAnsi="Arial"/>
          <w:sz w:val="11"/>
          <w:szCs w:val="11"/>
          <w:i w:val="1"/>
          <w:iCs w:val="1"/>
          <w:color w:val="auto"/>
        </w:rPr>
        <w:t>Business Combinations</w:t>
      </w:r>
      <w:r>
        <w:rPr>
          <w:rFonts w:ascii="Arial" w:cs="Arial" w:eastAsia="Arial" w:hAnsi="Arial"/>
          <w:sz w:val="11"/>
          <w:szCs w:val="11"/>
          <w:color w:val="auto"/>
        </w:rPr>
        <w:t>, also requires acquirers, among other things, to estimate the acquisition date fair value of any contingent consideration and to recognize any subsequent changes in the fair value of contingent consideration in earnings. When provisional amounts are initially recorded, the Company continues to evaluate acquisitions for a period not to exceed one year after the applicable acquisition date of each transaction to determine whether any additional adjustments are needed to the allocation of the purchase price paid for the assets acquired and liabilities assumed.</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40"/>
          </w:cols>
          <w:pgMar w:left="220" w:top="131" w:right="239" w:bottom="1440" w:gutter="0" w:footer="0" w:header="0"/>
        </w:sectPr>
      </w:pPr>
    </w:p>
    <w:bookmarkStart w:id="41" w:name="page42"/>
    <w:bookmarkEnd w:id="41"/>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Goodwill</w:t>
      </w:r>
    </w:p>
    <w:p>
      <w:pPr>
        <w:spacing w:after="0" w:line="82"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Goodwill is recognized for the excess of purchase price over the fair value of net assets of businesses acquired. Goodwill is reviewed for impairment at least annually. In accordance with ASC 350-20, Intangibles-Goodwill and Other, we evaluate goodwill for impairment between annual impairment tests if an event occurs or circumstances change that would more likely than not reduce the fair value of a reporting unit below its carrying amount. Unless circumstances otherwise dictate, the annual impairment test is performed in the fourth quarter. Application of the goodwill impairment test requires judgment, including: the identification of reporting units; assignment of assets and liabilities to reporting units; assignment of goodwill to reporting units; determination of the fair value of each reporting unit; and an assumption as to the form of the transaction in which the reporting unit would be acquired by a market participant (either a taxable or nontaxable transaction).</w:t>
      </w:r>
    </w:p>
    <w:p>
      <w:pPr>
        <w:spacing w:after="0" w:line="126"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We estimate the fair value of our reporting units (which are our segments) using a combination of an income approach based on the present value of estimated future cash flows and a market approach based on market data of comparable businesses and acquisition multiples paid in recent transactions. If the carrying value of a reporting unit's net assets is less than its fair value, no indication of impairment exists. If the carrying amount of the reporting unit's goodwill is greater than the implied fair value of its goodwill, an impairment loss must be recognized for the excess and charged to operations.</w:t>
      </w:r>
    </w:p>
    <w:p>
      <w:pPr>
        <w:spacing w:after="0" w:line="123" w:lineRule="exact"/>
        <w:rPr>
          <w:sz w:val="20"/>
          <w:szCs w:val="20"/>
          <w:color w:val="auto"/>
        </w:rPr>
      </w:pPr>
    </w:p>
    <w:p>
      <w:pPr>
        <w:jc w:val="both"/>
        <w:ind w:right="40"/>
        <w:spacing w:after="0" w:line="298" w:lineRule="auto"/>
        <w:rPr>
          <w:sz w:val="20"/>
          <w:szCs w:val="20"/>
          <w:color w:val="auto"/>
        </w:rPr>
      </w:pPr>
      <w:r>
        <w:rPr>
          <w:rFonts w:ascii="Arial" w:cs="Arial" w:eastAsia="Arial" w:hAnsi="Arial"/>
          <w:sz w:val="11"/>
          <w:szCs w:val="11"/>
          <w:color w:val="auto"/>
        </w:rPr>
        <w:t>Inherent in our preparation of cash flow projections are significant assumptions and estimates derived from a review of our operating results, business plans, expected growth rates, capital expenditure plans, cost of capital and tax rates. We also make certain forecasts about future economic conditions, interest rates and other market data. Many of the factors used in assessing fair value are outside the control of management, and these assumptions and estimates may change in future periods. Small changes in assumptions or estimates could materially affect the estimate of the fair value of a reporting unit, and therefore could affect the likelihood and amount of potential impairment.</w:t>
      </w:r>
    </w:p>
    <w:p>
      <w:pPr>
        <w:spacing w:after="0" w:line="105" w:lineRule="exact"/>
        <w:rPr>
          <w:sz w:val="20"/>
          <w:szCs w:val="20"/>
          <w:color w:val="auto"/>
        </w:rPr>
      </w:pPr>
    </w:p>
    <w:p>
      <w:pPr>
        <w:ind w:right="160"/>
        <w:spacing w:after="0" w:line="380" w:lineRule="auto"/>
        <w:rPr>
          <w:sz w:val="20"/>
          <w:szCs w:val="20"/>
          <w:color w:val="auto"/>
        </w:rPr>
      </w:pPr>
      <w:r>
        <w:rPr>
          <w:rFonts w:ascii="Arial" w:cs="Arial" w:eastAsia="Arial" w:hAnsi="Arial"/>
          <w:sz w:val="10"/>
          <w:szCs w:val="10"/>
          <w:color w:val="auto"/>
        </w:rPr>
        <w:t>As of December 31, 2017 and 2016, all of our Goodwill is included in our Fiber Infrastructure segment. We performed our goodwill impairment analysis during the fourth quarter and we concluded the implied fair value of our Fiber Infrastructure reporting unit was in excess of its carrying value by less than 2%. During the year ended December 31, 2017 and 2016 and for the period April 24, 2015 through December 31, 2015, no impairment losses were recognized.</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Liquidity and Capital Resources</w:t>
      </w:r>
    </w:p>
    <w:p>
      <w:pPr>
        <w:spacing w:after="0" w:line="82" w:lineRule="exact"/>
        <w:rPr>
          <w:sz w:val="20"/>
          <w:szCs w:val="20"/>
          <w:color w:val="auto"/>
        </w:rPr>
      </w:pPr>
    </w:p>
    <w:p>
      <w:pPr>
        <w:spacing w:after="0" w:line="298" w:lineRule="auto"/>
        <w:rPr>
          <w:sz w:val="20"/>
          <w:szCs w:val="20"/>
          <w:color w:val="auto"/>
        </w:rPr>
      </w:pPr>
      <w:r>
        <w:rPr>
          <w:rFonts w:ascii="Arial" w:cs="Arial" w:eastAsia="Arial" w:hAnsi="Arial"/>
          <w:sz w:val="11"/>
          <w:szCs w:val="11"/>
          <w:color w:val="auto"/>
        </w:rPr>
        <w:t>Our principal liquidity needs are to fund operating expenses, meet debt service requirements, fund investment activities, and make dividend distributions. Our primary sources of liquidity and capital resources are cash on hand, cash provided by operating activities (primarily arising under the Master Lease with Windstream), borrowings under our credit agreement by and among the Operating Partnership, CSL Capital, LLC and Uniti Group Finance Inc., the guarantors and lenders party thereto and Bank of America, N.A., as administrative agent and collateral agent (the “Credit Agreement”), and proceeds from the issuance of debt and equity securities.</w:t>
      </w:r>
    </w:p>
    <w:p>
      <w:pPr>
        <w:spacing w:after="0" w:line="33" w:lineRule="exact"/>
        <w:rPr>
          <w:sz w:val="20"/>
          <w:szCs w:val="20"/>
          <w:color w:val="auto"/>
        </w:rPr>
      </w:pPr>
    </w:p>
    <w:p>
      <w:pPr>
        <w:ind w:right="220"/>
        <w:spacing w:after="0" w:line="276" w:lineRule="auto"/>
        <w:rPr>
          <w:sz w:val="20"/>
          <w:szCs w:val="20"/>
          <w:color w:val="auto"/>
        </w:rPr>
      </w:pPr>
      <w:r>
        <w:rPr>
          <w:rFonts w:ascii="Arial" w:cs="Arial" w:eastAsia="Arial" w:hAnsi="Arial"/>
          <w:sz w:val="12"/>
          <w:szCs w:val="12"/>
          <w:color w:val="auto"/>
        </w:rPr>
        <w:t>As of December 31, 2017, we had $59.8 million of unrestricted cash and cash equivalents, and $470.0 million of undrawn borrowing capacity under the senior secured revolving credit facility pursuant to the Credit Agreement, variable rate, that matures April 24, 2020 (the “Revolving Credit Facility”).</w:t>
      </w:r>
    </w:p>
    <w:p>
      <w:pPr>
        <w:spacing w:after="0" w:line="43" w:lineRule="exact"/>
        <w:rPr>
          <w:sz w:val="20"/>
          <w:szCs w:val="20"/>
          <w:color w:val="auto"/>
        </w:rPr>
      </w:pPr>
    </w:p>
    <w:p>
      <w:pPr>
        <w:ind w:right="300"/>
        <w:spacing w:after="0" w:line="276" w:lineRule="auto"/>
        <w:rPr>
          <w:sz w:val="20"/>
          <w:szCs w:val="20"/>
          <w:color w:val="auto"/>
        </w:rPr>
      </w:pPr>
      <w:r>
        <w:rPr>
          <w:rFonts w:ascii="Arial" w:cs="Arial" w:eastAsia="Arial" w:hAnsi="Arial"/>
          <w:sz w:val="12"/>
          <w:szCs w:val="12"/>
          <w:color w:val="auto"/>
        </w:rPr>
        <w:t>Cash provided by operating activities totaled $405.3 million, $375.9 million and $293.2 million for the years ended December 31, 2017 and 2016 and for the period from April 24, 2015 through December 31, 2015, respectively. Cash provided by operating activities is primarily attributable to our leasing activities.</w:t>
      </w:r>
    </w:p>
    <w:p>
      <w:pPr>
        <w:spacing w:after="0" w:line="43" w:lineRule="exact"/>
        <w:rPr>
          <w:sz w:val="20"/>
          <w:szCs w:val="20"/>
          <w:color w:val="auto"/>
        </w:rPr>
      </w:pPr>
    </w:p>
    <w:p>
      <w:pPr>
        <w:ind w:right="140"/>
        <w:spacing w:after="0" w:line="259" w:lineRule="auto"/>
        <w:rPr>
          <w:sz w:val="20"/>
          <w:szCs w:val="20"/>
          <w:color w:val="auto"/>
        </w:rPr>
      </w:pPr>
      <w:r>
        <w:rPr>
          <w:rFonts w:ascii="Arial" w:cs="Arial" w:eastAsia="Arial" w:hAnsi="Arial"/>
          <w:sz w:val="12"/>
          <w:szCs w:val="12"/>
          <w:color w:val="auto"/>
        </w:rPr>
        <w:t>Cash used in investing activities was $1.0 billion for the year ended December 31, 2017, which was driven by the acquisitions of Southern Light ($636.1 million), Hunt ($126.0 million), NMS assets ($69.7 million), ground lease investments ($21.8 million), partially offset by a Tower Cloud working capital adjustment ($0.2 million) and capital expenditures ($166.0 million), primarily related to our Uniti Fiber and Uniti Towers businesses. Cash used in investing activities was $535.2 million for the year ended December 31, 2016, which was driven by the acquisitions of PEG Bandwidth ($315.4 million) and Tower Cloud ($173.4 million) and capital expenditures ($46.4 million). Cash used in investing activities was $1.1 billion for the period from April 24, 2015 through December 31, 2015,</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42" w:name="page43"/>
    <w:bookmarkEnd w:id="42"/>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78" w:lineRule="exact"/>
        <w:rPr>
          <w:sz w:val="20"/>
          <w:szCs w:val="20"/>
          <w:color w:val="auto"/>
        </w:rPr>
      </w:pPr>
    </w:p>
    <w:p>
      <w:pPr>
        <w:ind w:right="240"/>
        <w:spacing w:after="0" w:line="276" w:lineRule="auto"/>
        <w:rPr>
          <w:sz w:val="20"/>
          <w:szCs w:val="20"/>
          <w:color w:val="auto"/>
        </w:rPr>
      </w:pPr>
      <w:r>
        <w:rPr>
          <w:rFonts w:ascii="Arial" w:cs="Arial" w:eastAsia="Arial" w:hAnsi="Arial"/>
          <w:sz w:val="12"/>
          <w:szCs w:val="12"/>
          <w:color w:val="auto"/>
        </w:rPr>
        <w:t>due to consideration paid to Windstream for its contribution of the Distribution Systems and the Consumer CLEC Business in connection with the Spin-Off ($1.04 billion) and capital expenditures ($44 million), primarily related to the funding of capital expenditures related to the Distribution Systems.</w:t>
      </w:r>
    </w:p>
    <w:p>
      <w:pPr>
        <w:spacing w:after="0" w:line="115" w:lineRule="exact"/>
        <w:rPr>
          <w:sz w:val="20"/>
          <w:szCs w:val="20"/>
          <w:color w:val="auto"/>
        </w:rPr>
      </w:pPr>
    </w:p>
    <w:p>
      <w:pPr>
        <w:spacing w:after="0"/>
        <w:rPr>
          <w:sz w:val="20"/>
          <w:szCs w:val="20"/>
          <w:color w:val="auto"/>
        </w:rPr>
      </w:pPr>
      <w:r>
        <w:rPr>
          <w:rFonts w:ascii="Arial" w:cs="Arial" w:eastAsia="Arial" w:hAnsi="Arial"/>
          <w:sz w:val="10"/>
          <w:szCs w:val="10"/>
          <w:color w:val="auto"/>
        </w:rPr>
        <w:t>Cash provided by financing activities was $502.0 million for the year ended December 31, 2017, which primarily represents the net proceeds from the sale of common stock through a public offering ($498.9 million) and proceeds from the</w:t>
      </w:r>
    </w:p>
    <w:p>
      <w:pPr>
        <w:spacing w:after="0" w:line="38" w:lineRule="exact"/>
        <w:rPr>
          <w:sz w:val="20"/>
          <w:szCs w:val="20"/>
          <w:color w:val="auto"/>
        </w:rPr>
      </w:pPr>
    </w:p>
    <w:p>
      <w:pPr>
        <w:spacing w:after="0"/>
        <w:rPr>
          <w:sz w:val="20"/>
          <w:szCs w:val="20"/>
          <w:color w:val="auto"/>
        </w:rPr>
      </w:pPr>
      <w:r>
        <w:rPr>
          <w:rFonts w:ascii="Arial" w:cs="Arial" w:eastAsia="Arial" w:hAnsi="Arial"/>
          <w:sz w:val="11"/>
          <w:szCs w:val="11"/>
          <w:color w:val="auto"/>
        </w:rPr>
        <w:t>2024 Notes issued in May 2017 ($201.0 million), which were used to fund the acquisitions of Southern Light and Hunt, and net borrowings under the Revolving Credit Facility ($280.0 million), partially offset by dividend payments</w:t>
      </w:r>
    </w:p>
    <w:p>
      <w:pPr>
        <w:spacing w:after="0" w:line="18" w:lineRule="exact"/>
        <w:rPr>
          <w:sz w:val="20"/>
          <w:szCs w:val="20"/>
          <w:color w:val="auto"/>
        </w:rPr>
      </w:pPr>
    </w:p>
    <w:p>
      <w:pPr>
        <w:spacing w:after="0"/>
        <w:rPr>
          <w:sz w:val="20"/>
          <w:szCs w:val="20"/>
          <w:color w:val="auto"/>
        </w:rPr>
      </w:pPr>
      <w:r>
        <w:rPr>
          <w:rFonts w:ascii="Arial" w:cs="Arial" w:eastAsia="Arial" w:hAnsi="Arial"/>
          <w:sz w:val="11"/>
          <w:szCs w:val="11"/>
          <w:color w:val="auto"/>
        </w:rPr>
        <w:t>($400.2 million), deferred financing costs related to the term loan repricing and 2024 Notes issued in May 2017 ($28.5 million), contingent consideration payments ($19.9 million), and principal payments related to the $2.14 billion senior</w:t>
      </w:r>
    </w:p>
    <w:p>
      <w:pPr>
        <w:spacing w:after="0" w:line="18" w:lineRule="exact"/>
        <w:rPr>
          <w:sz w:val="20"/>
          <w:szCs w:val="20"/>
          <w:color w:val="auto"/>
        </w:rPr>
      </w:pPr>
    </w:p>
    <w:p>
      <w:pPr>
        <w:spacing w:after="0"/>
        <w:rPr>
          <w:sz w:val="20"/>
          <w:szCs w:val="20"/>
          <w:color w:val="auto"/>
        </w:rPr>
      </w:pPr>
      <w:r>
        <w:rPr>
          <w:rFonts w:ascii="Arial" w:cs="Arial" w:eastAsia="Arial" w:hAnsi="Arial"/>
          <w:sz w:val="11"/>
          <w:szCs w:val="11"/>
          <w:color w:val="auto"/>
        </w:rPr>
        <w:t>secured term loan B facility that matures on October 24, 2022 (the “Term Loan Facility” and together with the Revolving Credit Facility, the “Facilities”) ($21.1 million). Cash provided by financing activities was $188.8 million for the</w:t>
      </w:r>
    </w:p>
    <w:p>
      <w:pPr>
        <w:spacing w:after="0" w:line="18" w:lineRule="exact"/>
        <w:rPr>
          <w:sz w:val="20"/>
          <w:szCs w:val="20"/>
          <w:color w:val="auto"/>
        </w:rPr>
      </w:pPr>
    </w:p>
    <w:p>
      <w:pPr>
        <w:spacing w:after="0"/>
        <w:rPr>
          <w:sz w:val="20"/>
          <w:szCs w:val="20"/>
          <w:color w:val="auto"/>
        </w:rPr>
      </w:pPr>
      <w:r>
        <w:rPr>
          <w:rFonts w:ascii="Arial" w:cs="Arial" w:eastAsia="Arial" w:hAnsi="Arial"/>
          <w:sz w:val="11"/>
          <w:szCs w:val="11"/>
          <w:color w:val="auto"/>
        </w:rPr>
        <w:t>year ended December 31, 2016, which primarily represents the proceeds from the 2024 Notes ($400 million), add-on Notes issued in June 2016 ($148.9 million), proceeds from the sale of common stock ($54.2 million), partially offset by</w:t>
      </w:r>
    </w:p>
    <w:p>
      <w:pPr>
        <w:spacing w:after="0" w:line="18" w:lineRule="exact"/>
        <w:rPr>
          <w:sz w:val="20"/>
          <w:szCs w:val="20"/>
          <w:color w:val="auto"/>
        </w:rPr>
      </w:pPr>
    </w:p>
    <w:p>
      <w:pPr>
        <w:spacing w:after="0"/>
        <w:rPr>
          <w:sz w:val="20"/>
          <w:szCs w:val="20"/>
          <w:color w:val="auto"/>
        </w:rPr>
      </w:pPr>
      <w:r>
        <w:rPr>
          <w:rFonts w:ascii="Arial" w:cs="Arial" w:eastAsia="Arial" w:hAnsi="Arial"/>
          <w:sz w:val="11"/>
          <w:szCs w:val="11"/>
          <w:color w:val="auto"/>
        </w:rPr>
        <w:t>dividend payments ($367.8 million) and principal payments related to the Term Loan Facility ($22.0 million). Cash provided by financing activities was $928.7 million for the period from April 24, 2015 through December 31, 2015, which</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primarily represents the proceeds received from the Term Loan Facility of $1.1 billion, partially offset by dividend payments of $156.9 million.</w:t>
      </w:r>
    </w:p>
    <w:p>
      <w:pPr>
        <w:spacing w:after="0" w:line="213"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Master Lease</w:t>
      </w:r>
    </w:p>
    <w:p>
      <w:pPr>
        <w:spacing w:after="0" w:line="78" w:lineRule="exact"/>
        <w:rPr>
          <w:sz w:val="20"/>
          <w:szCs w:val="20"/>
          <w:color w:val="auto"/>
        </w:rPr>
      </w:pPr>
    </w:p>
    <w:p>
      <w:pPr>
        <w:ind w:right="40"/>
        <w:spacing w:after="0" w:line="257" w:lineRule="auto"/>
        <w:rPr>
          <w:sz w:val="20"/>
          <w:szCs w:val="20"/>
          <w:color w:val="auto"/>
        </w:rPr>
      </w:pPr>
      <w:r>
        <w:rPr>
          <w:rFonts w:ascii="Arial" w:cs="Arial" w:eastAsia="Arial" w:hAnsi="Arial"/>
          <w:sz w:val="12"/>
          <w:szCs w:val="12"/>
          <w:color w:val="auto"/>
        </w:rPr>
        <w:t>The Master Lease has an initial term of 15 years which, at the option of Windstream, may be extended for up to four renewal terms of five years each beyond the initial term. In addition, Windstream has the right to extend the initial term from 15 years to 20 years and, if exercised, the number of renewal terms will be reduced to three so that the maximum term (taking into account all renewals) is 35 years. The initial annual rent under the Master Lease is $650 million during the first three years. Commencing with the fourth year, the rent is subject to annual escalation of 0.5%. The rent for the first year of each renewal term will be an amount agreed to by us and Windstream, or if we are unable to agree, the renewal rent will be determined by an independent appraisal process. Commencing with the second year of each renewal term, the renewal rent will increase at an escalation rate of 0.5%. In addition, if we fund any capital improvements requested by Windstream, the rent will be increased to account for such funding.</w:t>
      </w:r>
    </w:p>
    <w:p>
      <w:pPr>
        <w:spacing w:after="0" w:line="198"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At-the-Market Common Stock Offering Program</w:t>
      </w:r>
    </w:p>
    <w:p>
      <w:pPr>
        <w:spacing w:after="0" w:line="78" w:lineRule="exact"/>
        <w:rPr>
          <w:sz w:val="20"/>
          <w:szCs w:val="20"/>
          <w:color w:val="auto"/>
        </w:rPr>
      </w:pPr>
    </w:p>
    <w:p>
      <w:pPr>
        <w:ind w:right="40"/>
        <w:spacing w:after="0" w:line="259" w:lineRule="auto"/>
        <w:rPr>
          <w:sz w:val="20"/>
          <w:szCs w:val="20"/>
          <w:color w:val="auto"/>
        </w:rPr>
      </w:pPr>
      <w:r>
        <w:rPr>
          <w:rFonts w:ascii="Arial" w:cs="Arial" w:eastAsia="Arial" w:hAnsi="Arial"/>
          <w:sz w:val="12"/>
          <w:szCs w:val="12"/>
          <w:color w:val="auto"/>
        </w:rPr>
        <w:t>We have an effective shelf registration statement on file with the SEC (the “Registration Statement”) to offer and sell various securities from time to time. Under the Registration Statement, we have established an at-the-market common stock offering program (the “ATM Program”) to sell shares of common stock having an aggregate offering price of up to $250.0 million. During the year ended December 31, 2017, no sales were made under the ATM Program. This program provides additional financial flexibility and an alternative mechanism to access the capital markets at an efficient cost as and when we need financing, including for acquisitions. While we have not used the program to date, we currently intend to utilize the program when we believe the price we can obtain for our common stock is attractive.</w:t>
      </w:r>
    </w:p>
    <w:p>
      <w:pPr>
        <w:spacing w:after="0" w:line="197"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UPREIT Operating Partnership Units</w:t>
      </w:r>
    </w:p>
    <w:p>
      <w:pPr>
        <w:spacing w:after="0" w:line="78" w:lineRule="exact"/>
        <w:rPr>
          <w:sz w:val="20"/>
          <w:szCs w:val="20"/>
          <w:color w:val="auto"/>
        </w:rPr>
      </w:pPr>
    </w:p>
    <w:p>
      <w:pPr>
        <w:ind w:right="540"/>
        <w:spacing w:after="0" w:line="276" w:lineRule="auto"/>
        <w:rPr>
          <w:sz w:val="20"/>
          <w:szCs w:val="20"/>
          <w:color w:val="auto"/>
        </w:rPr>
      </w:pPr>
      <w:r>
        <w:rPr>
          <w:rFonts w:ascii="Arial" w:cs="Arial" w:eastAsia="Arial" w:hAnsi="Arial"/>
          <w:sz w:val="12"/>
          <w:szCs w:val="12"/>
          <w:color w:val="auto"/>
        </w:rPr>
        <w:t>On May 9, 2017, the Company completed its previously announced reorganization (the “up-REIT Reorganization”) to operate through a customary “up-REIT” structure. Under this structure, the Operating Partnership now holds substantially all of the Company’s assets and is the parent company of, among others, CSL Capital, LLC, Uniti Group Finance Inc. and Uniti Fiber Holdings Inc.</w:t>
      </w:r>
    </w:p>
    <w:p>
      <w:pPr>
        <w:spacing w:after="0" w:line="43" w:lineRule="exact"/>
        <w:rPr>
          <w:sz w:val="20"/>
          <w:szCs w:val="20"/>
          <w:color w:val="auto"/>
        </w:rPr>
      </w:pPr>
    </w:p>
    <w:p>
      <w:pPr>
        <w:ind w:right="100"/>
        <w:spacing w:after="0" w:line="298" w:lineRule="auto"/>
        <w:rPr>
          <w:sz w:val="20"/>
          <w:szCs w:val="20"/>
          <w:color w:val="auto"/>
        </w:rPr>
      </w:pPr>
      <w:r>
        <w:rPr>
          <w:rFonts w:ascii="Arial" w:cs="Arial" w:eastAsia="Arial" w:hAnsi="Arial"/>
          <w:sz w:val="11"/>
          <w:szCs w:val="11"/>
          <w:color w:val="auto"/>
        </w:rPr>
        <w:t>Our UPREIT structure, enables us to acquire properties by issuing to sellers, as a form of consideration, limited partnership interests in our operating partnership, (commonly called “OP Units”). The limited partner equity interests in our operating partnership are exchangeable on a one-for-one basis for shares of our common stock or, at our election, cash of equivalent value. We believe that this structure will facilitate our ability to acquire individual properties and portfolios of properties by enabling us to structure transactions which will defer taxes payable by a seller while preserving our available cash for other purposes, including the possible payment of dividends. We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131" w:right="219" w:bottom="1440" w:gutter="0" w:footer="0" w:header="0"/>
        </w:sectPr>
      </w:pPr>
    </w:p>
    <w:bookmarkStart w:id="43" w:name="page44"/>
    <w:bookmarkEnd w:id="43"/>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78" w:lineRule="exact"/>
        <w:rPr>
          <w:sz w:val="20"/>
          <w:szCs w:val="20"/>
          <w:color w:val="auto"/>
        </w:rPr>
      </w:pPr>
    </w:p>
    <w:p>
      <w:pPr>
        <w:spacing w:after="0"/>
        <w:rPr>
          <w:sz w:val="20"/>
          <w:szCs w:val="20"/>
          <w:color w:val="auto"/>
        </w:rPr>
      </w:pPr>
      <w:r>
        <w:rPr>
          <w:rFonts w:ascii="Arial" w:cs="Arial" w:eastAsia="Arial" w:hAnsi="Arial"/>
          <w:sz w:val="12"/>
          <w:szCs w:val="12"/>
          <w:color w:val="auto"/>
        </w:rPr>
        <w:t>issued limited partnership interests as part of the acquisition consideration for the recently completed acquisitions of Hunt and Southern Light.</w:t>
      </w:r>
    </w:p>
    <w:p>
      <w:pPr>
        <w:spacing w:after="0" w:line="222"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Senior Notes</w:t>
      </w:r>
    </w:p>
    <w:p>
      <w:pPr>
        <w:spacing w:after="0" w:line="78" w:lineRule="exact"/>
        <w:rPr>
          <w:sz w:val="20"/>
          <w:szCs w:val="20"/>
          <w:color w:val="auto"/>
        </w:rPr>
      </w:pPr>
    </w:p>
    <w:p>
      <w:pPr>
        <w:ind w:right="120"/>
        <w:spacing w:after="0" w:line="263" w:lineRule="auto"/>
        <w:rPr>
          <w:sz w:val="20"/>
          <w:szCs w:val="20"/>
          <w:color w:val="auto"/>
        </w:rPr>
      </w:pPr>
      <w:r>
        <w:rPr>
          <w:rFonts w:ascii="Arial" w:cs="Arial" w:eastAsia="Arial" w:hAnsi="Arial"/>
          <w:sz w:val="12"/>
          <w:szCs w:val="12"/>
          <w:color w:val="auto"/>
        </w:rPr>
        <w:t>At December 31, 2017, the Operating Partnership and its wholly-owned subsidiaries, CSL Capital, LLC, and Uniti Group Finance Inc. (collectively, the “Borrowers”) had outstanding $550.0 million aggregate principal amount of 6.00% Senior Secured Notes due April 15, 2023 (the “Secured Notes”), $1.11 billion aggregate principal amount of 8.25% Senior Notes due October 15, 2023 (the “2023 Notes”) and $600 million aggregate principal amount of 7.125% Senior Unsecured Notes due December 15, 2024 (the “2024 Notes,” and together with the Secured Notes and 2023 Notes, the “Notes”).</w:t>
      </w:r>
    </w:p>
    <w:p>
      <w:pPr>
        <w:spacing w:after="0" w:line="123" w:lineRule="exact"/>
        <w:rPr>
          <w:sz w:val="20"/>
          <w:szCs w:val="20"/>
          <w:color w:val="auto"/>
        </w:rPr>
      </w:pPr>
    </w:p>
    <w:p>
      <w:pPr>
        <w:ind w:right="20"/>
        <w:spacing w:after="0" w:line="269" w:lineRule="auto"/>
        <w:rPr>
          <w:sz w:val="20"/>
          <w:szCs w:val="20"/>
          <w:color w:val="auto"/>
        </w:rPr>
      </w:pPr>
      <w:r>
        <w:rPr>
          <w:rFonts w:ascii="Arial" w:cs="Arial" w:eastAsia="Arial" w:hAnsi="Arial"/>
          <w:sz w:val="12"/>
          <w:szCs w:val="12"/>
          <w:color w:val="auto"/>
        </w:rPr>
        <w:t>In connection with the up-REIT Reorganization, the Operating Partnership replaced the Company and assumed its obligations as an obligor under the Notes and Facilities. The Company subsequently became a guarantor of the Notes and Facilities. Because the Operating Partnership is not a corporation, a corporate co-obligor that is a subsidiary of the Operating Partnership was also added to the Notes and Credit Agreement as part of the up-REIT Reorganization. Uniti Group Finance Inc. is the corporate co-obligor under the Credit Agreement and co-issuer of the Secured Notes and the 2023 Notes, and Uniti Fiber Holdings Inc. is the co-issuer of the 2024 Notes. Separate financial statements of the Operating Partnership have not been included since the Operating Partnership is not a registrant.</w:t>
      </w:r>
    </w:p>
    <w:p>
      <w:pPr>
        <w:spacing w:after="0" w:line="192"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Credit Agreement</w:t>
      </w:r>
    </w:p>
    <w:p>
      <w:pPr>
        <w:spacing w:after="0" w:line="78" w:lineRule="exact"/>
        <w:rPr>
          <w:sz w:val="20"/>
          <w:szCs w:val="20"/>
          <w:color w:val="auto"/>
        </w:rPr>
      </w:pPr>
    </w:p>
    <w:p>
      <w:pPr>
        <w:ind w:right="100"/>
        <w:spacing w:after="0" w:line="286" w:lineRule="auto"/>
        <w:rPr>
          <w:sz w:val="20"/>
          <w:szCs w:val="20"/>
          <w:color w:val="auto"/>
        </w:rPr>
      </w:pPr>
      <w:r>
        <w:rPr>
          <w:rFonts w:ascii="Arial" w:cs="Arial" w:eastAsia="Arial" w:hAnsi="Arial"/>
          <w:sz w:val="11"/>
          <w:szCs w:val="11"/>
          <w:color w:val="auto"/>
        </w:rPr>
        <w:t>The Borrowers are party to the Credit Agreement, which provides for the Term Loan Facility (in an initial principal amount of $2.14 billion) and the Revolving Credit Facility. The term loans bear interest at a rate equal to LIBOR, subject to a 1.0% floor, plus an applicable margin equal to 3.00%, and are subject to amortization of 1.0% per annum. All obligations under the Credit Agreement are guaranteed by (i) the Company and (ii) certain of the Operating Partnership’s wholly-owned subsidiaries (the “Subsidiary Guarantors”), and are secured by substantially all of the assets of the Borrowers and the Subsidiary Guarantors, which assets also secure the Secured Notes. The Revolving Credit Facility bears interest at a rate equal to LIBOR plus 1.75% to 2.25% based on our consolidated secured leverage ratio, as defined in the Credit Agreement. On April 28, 2017, we amended the Credit Agreement to increase the commitments under our Revolving Credit Facility from $500 million to $750 million. Other terms of the Revolving Credit Facility remain unchanged.</w:t>
      </w:r>
    </w:p>
    <w:p>
      <w:pPr>
        <w:spacing w:after="0" w:line="111" w:lineRule="exact"/>
        <w:rPr>
          <w:sz w:val="20"/>
          <w:szCs w:val="20"/>
          <w:color w:val="auto"/>
        </w:rPr>
      </w:pPr>
    </w:p>
    <w:p>
      <w:pPr>
        <w:spacing w:after="0" w:line="312" w:lineRule="auto"/>
        <w:rPr>
          <w:sz w:val="20"/>
          <w:szCs w:val="20"/>
          <w:color w:val="auto"/>
        </w:rPr>
      </w:pPr>
      <w:r>
        <w:rPr>
          <w:rFonts w:ascii="Arial" w:cs="Arial" w:eastAsia="Arial" w:hAnsi="Arial"/>
          <w:sz w:val="10"/>
          <w:szCs w:val="10"/>
          <w:color w:val="auto"/>
        </w:rPr>
        <w:t>The Borrowers are subject to customary covenants under the Credit Agreement, including an obligation to maintain a consolidated secured leverage ratio, as defined in the Credit Agreement, not to exceed 5.00 to 1.00. We are permitted, subject to customary conditions, to incur (i) incremental term loan borrowings and/or increased commitments under the Credit Agreement in an unlimited amount, so long as, on a pro forma basis after giving effect to any such borrowings or increases, our consolidated secured leverage ratio, as defined in the Credit Agreement, does not exceed 4.00 to 1.00 and (ii) other indebtedness, so long as, on a pro forma basis after giving effect to any such indebtedness, our consolidated total leverage ratio, as defined in the Credit Agreement, does not exceed 6.50 to 1.00 and our consolidated secured leverage ratio, as defined in the Credit Agreement, does not exceed 4.00 to 1.00. In addition, the Credit Agreement contains customary events of default, including a cross default provision whereby the failure of the Borrowers or certain of their subsidiaries to make payments under other debt obligations, or the occurrence of certain events affecting those other borrowing arrangements, could trigger an obligation to repay any amounts outstanding under the Credit Agreement. In particular, a repayment obligation could be triggered if (i) the Borrowers or certain of their subsidiaries fail to make a payment when due of any principal or interest on any other indebtedness aggregating $75.0 million or more, or (ii) an event occurs that causes, or would permit the holders of any other indebtedness aggregating $75.0 million or more to cause, such indebtedness to become due prior to its stated maturity. As of September 30, 2017, the Borrowers were in compliance with all of the covenants under the Credit Agreement.</w:t>
      </w:r>
    </w:p>
    <w:p>
      <w:pPr>
        <w:spacing w:after="0" w:line="173"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Interest Rate Swaps</w:t>
      </w:r>
    </w:p>
    <w:p>
      <w:pPr>
        <w:spacing w:after="0" w:line="78" w:lineRule="exact"/>
        <w:rPr>
          <w:sz w:val="20"/>
          <w:szCs w:val="20"/>
          <w:color w:val="auto"/>
        </w:rPr>
      </w:pPr>
    </w:p>
    <w:p>
      <w:pPr>
        <w:spacing w:after="0"/>
        <w:rPr>
          <w:sz w:val="20"/>
          <w:szCs w:val="20"/>
          <w:color w:val="auto"/>
        </w:rPr>
      </w:pPr>
      <w:r>
        <w:rPr>
          <w:rFonts w:ascii="Arial" w:cs="Arial" w:eastAsia="Arial" w:hAnsi="Arial"/>
          <w:sz w:val="11"/>
          <w:szCs w:val="11"/>
          <w:color w:val="auto"/>
        </w:rPr>
        <w:t>On April 27, 2015 we entered into interest rate swap agreements to mitigate the interest rate risk inherent in our variable rate Term Loan Facility. These interest rate swaps are designated as cash flow hedges and have a notional</w:t>
      </w:r>
    </w:p>
    <w:p>
      <w:pPr>
        <w:spacing w:after="0" w:line="162"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00"/>
          </w:cols>
          <w:pgMar w:left="220" w:top="131" w:right="279" w:bottom="1440" w:gutter="0" w:footer="0" w:header="0"/>
        </w:sectPr>
      </w:pPr>
    </w:p>
    <w:bookmarkStart w:id="44" w:name="page45"/>
    <w:bookmarkEnd w:id="44"/>
    <w:p>
      <w:pPr>
        <w:ind w:left="8"/>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78" w:lineRule="exact"/>
        <w:rPr>
          <w:sz w:val="20"/>
          <w:szCs w:val="20"/>
          <w:color w:val="auto"/>
        </w:rPr>
      </w:pPr>
    </w:p>
    <w:p>
      <w:pPr>
        <w:ind w:left="8"/>
        <w:spacing w:after="0"/>
        <w:rPr>
          <w:sz w:val="20"/>
          <w:szCs w:val="20"/>
          <w:color w:val="auto"/>
        </w:rPr>
      </w:pPr>
      <w:r>
        <w:rPr>
          <w:rFonts w:ascii="Arial" w:cs="Arial" w:eastAsia="Arial" w:hAnsi="Arial"/>
          <w:sz w:val="12"/>
          <w:szCs w:val="12"/>
          <w:color w:val="auto"/>
        </w:rPr>
        <w:t>value of $2.13 billion and mature on October 24, 2022. The weighted average fixed rate paid is 2.105%, and the variable rate received resets monthly to the one-month LIBOR subject to a minimum rate of 1.0%.</w:t>
      </w:r>
    </w:p>
    <w:p>
      <w:pPr>
        <w:spacing w:after="0" w:line="222" w:lineRule="exact"/>
        <w:rPr>
          <w:sz w:val="20"/>
          <w:szCs w:val="20"/>
          <w:color w:val="auto"/>
        </w:rPr>
      </w:pPr>
    </w:p>
    <w:p>
      <w:pPr>
        <w:ind w:left="8"/>
        <w:spacing w:after="0"/>
        <w:rPr>
          <w:sz w:val="20"/>
          <w:szCs w:val="20"/>
          <w:color w:val="auto"/>
        </w:rPr>
      </w:pPr>
      <w:r>
        <w:rPr>
          <w:rFonts w:ascii="Arial" w:cs="Arial" w:eastAsia="Arial" w:hAnsi="Arial"/>
          <w:sz w:val="12"/>
          <w:szCs w:val="12"/>
          <w:u w:val="single" w:color="auto"/>
          <w:color w:val="auto"/>
        </w:rPr>
        <w:t>Outlook</w:t>
      </w:r>
    </w:p>
    <w:p>
      <w:pPr>
        <w:spacing w:after="0" w:line="78" w:lineRule="exact"/>
        <w:rPr>
          <w:sz w:val="20"/>
          <w:szCs w:val="20"/>
          <w:color w:val="auto"/>
        </w:rPr>
      </w:pPr>
    </w:p>
    <w:p>
      <w:pPr>
        <w:ind w:left="8" w:right="20"/>
        <w:spacing w:after="0" w:line="286" w:lineRule="auto"/>
        <w:rPr>
          <w:sz w:val="20"/>
          <w:szCs w:val="20"/>
          <w:color w:val="auto"/>
        </w:rPr>
      </w:pPr>
      <w:r>
        <w:rPr>
          <w:rFonts w:ascii="Arial" w:cs="Arial" w:eastAsia="Arial" w:hAnsi="Arial"/>
          <w:sz w:val="11"/>
          <w:szCs w:val="11"/>
          <w:color w:val="auto"/>
        </w:rPr>
        <w:t>We anticipate our cash on hand and borrowing availability under our Revolving Credit Facility, combined with our cash flows provided by leasing activities will be sufficient to fund our business operations, debt service and distributions to our shareholders over the next twelve months. However, we may take advantage of opportunities to generate additional liquidity through capital markets transactions. The amount, nature and timing of any capital markets transactions will depend on: our operating performance and other circumstances; our then-current commitments and obligations; the amount, nature and timing of our capital requirements; any limitations imposed by our current credit arrangements; and overall market conditions. These expectations are forward-looking and subject to a number of uncertainties and assumptions. If our expectations about our liquidity prove to be incorrect, we could be subject to a shortfall in liquidity in the future, and this shortfall may occur rapidly and with little or no notice, which would limit our ability to address the shortfall on a timely basis.</w:t>
      </w:r>
    </w:p>
    <w:p>
      <w:pPr>
        <w:spacing w:after="0" w:line="179"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Contractual Obligations</w:t>
      </w:r>
    </w:p>
    <w:p>
      <w:pPr>
        <w:spacing w:after="0" w:line="82" w:lineRule="exact"/>
        <w:rPr>
          <w:sz w:val="20"/>
          <w:szCs w:val="20"/>
          <w:color w:val="auto"/>
        </w:rPr>
      </w:pPr>
    </w:p>
    <w:p>
      <w:pPr>
        <w:ind w:left="8"/>
        <w:spacing w:after="0"/>
        <w:rPr>
          <w:sz w:val="20"/>
          <w:szCs w:val="20"/>
          <w:color w:val="auto"/>
        </w:rPr>
      </w:pPr>
      <w:r>
        <w:rPr>
          <w:rFonts w:ascii="Arial" w:cs="Arial" w:eastAsia="Arial" w:hAnsi="Arial"/>
          <w:sz w:val="12"/>
          <w:szCs w:val="12"/>
          <w:color w:val="auto"/>
        </w:rPr>
        <w:t>As of December 31, 2017, we had contractual obligations and commitments as follows:</w:t>
      </w:r>
    </w:p>
    <w:p>
      <w:pPr>
        <w:spacing w:after="0" w:line="197"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34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gridSpan w:val="2"/>
          </w:tcPr>
          <w:p>
            <w:pPr>
              <w:jc w:val="right"/>
              <w:ind w:right="151"/>
              <w:spacing w:after="0"/>
              <w:rPr>
                <w:sz w:val="20"/>
                <w:szCs w:val="20"/>
                <w:color w:val="auto"/>
              </w:rPr>
            </w:pPr>
            <w:r>
              <w:rPr>
                <w:rFonts w:ascii="Arial" w:cs="Arial" w:eastAsia="Arial" w:hAnsi="Arial"/>
                <w:sz w:val="10"/>
                <w:szCs w:val="10"/>
                <w:b w:val="1"/>
                <w:bCs w:val="1"/>
                <w:color w:val="auto"/>
                <w:w w:val="92"/>
              </w:rPr>
              <w:t>Payments Due by Period</w:t>
            </w:r>
          </w:p>
        </w:tc>
        <w:tc>
          <w:tcPr>
            <w:tcW w:w="3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83"/>
        </w:trPr>
        <w:tc>
          <w:tcPr>
            <w:tcW w:w="34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60" w:type="dxa"/>
            <w:vAlign w:val="bottom"/>
          </w:tcPr>
          <w:p>
            <w:pPr>
              <w:spacing w:after="0"/>
              <w:rPr>
                <w:sz w:val="7"/>
                <w:szCs w:val="7"/>
                <w:color w:val="auto"/>
              </w:rPr>
            </w:pPr>
          </w:p>
        </w:tc>
        <w:tc>
          <w:tcPr>
            <w:tcW w:w="880" w:type="dxa"/>
            <w:vAlign w:val="bottom"/>
          </w:tcPr>
          <w:p>
            <w:pPr>
              <w:jc w:val="right"/>
              <w:ind w:right="152"/>
              <w:spacing w:after="0" w:line="83" w:lineRule="exact"/>
              <w:rPr>
                <w:sz w:val="20"/>
                <w:szCs w:val="20"/>
                <w:color w:val="auto"/>
              </w:rPr>
            </w:pPr>
            <w:r>
              <w:rPr>
                <w:rFonts w:ascii="Arial" w:cs="Arial" w:eastAsia="Arial" w:hAnsi="Arial"/>
                <w:sz w:val="8"/>
                <w:szCs w:val="8"/>
                <w:b w:val="1"/>
                <w:bCs w:val="1"/>
                <w:color w:val="auto"/>
              </w:rPr>
              <w:t>1-3</w:t>
            </w:r>
          </w:p>
        </w:tc>
        <w:tc>
          <w:tcPr>
            <w:tcW w:w="360" w:type="dxa"/>
            <w:vAlign w:val="bottom"/>
          </w:tcPr>
          <w:p>
            <w:pPr>
              <w:spacing w:after="0"/>
              <w:rPr>
                <w:sz w:val="7"/>
                <w:szCs w:val="7"/>
                <w:color w:val="auto"/>
              </w:rPr>
            </w:pPr>
          </w:p>
        </w:tc>
        <w:tc>
          <w:tcPr>
            <w:tcW w:w="1300" w:type="dxa"/>
            <w:vAlign w:val="bottom"/>
            <w:gridSpan w:val="2"/>
          </w:tcPr>
          <w:p>
            <w:pPr>
              <w:jc w:val="right"/>
              <w:ind w:right="111"/>
              <w:spacing w:after="0" w:line="83" w:lineRule="exact"/>
              <w:rPr>
                <w:sz w:val="20"/>
                <w:szCs w:val="20"/>
                <w:color w:val="auto"/>
              </w:rPr>
            </w:pPr>
            <w:r>
              <w:rPr>
                <w:rFonts w:ascii="Arial" w:cs="Arial" w:eastAsia="Arial" w:hAnsi="Arial"/>
                <w:sz w:val="8"/>
                <w:szCs w:val="8"/>
                <w:b w:val="1"/>
                <w:bCs w:val="1"/>
                <w:color w:val="auto"/>
              </w:rPr>
              <w:t>3-5</w:t>
            </w: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80" w:type="dxa"/>
            <w:vAlign w:val="bottom"/>
          </w:tcPr>
          <w:p>
            <w:pPr>
              <w:jc w:val="right"/>
              <w:ind w:right="12"/>
              <w:spacing w:after="0" w:line="83" w:lineRule="exact"/>
              <w:rPr>
                <w:sz w:val="20"/>
                <w:szCs w:val="20"/>
                <w:color w:val="auto"/>
              </w:rPr>
            </w:pPr>
            <w:r>
              <w:rPr>
                <w:rFonts w:ascii="Arial" w:cs="Arial" w:eastAsia="Arial" w:hAnsi="Arial"/>
                <w:sz w:val="8"/>
                <w:szCs w:val="8"/>
                <w:b w:val="1"/>
                <w:bCs w:val="1"/>
                <w:color w:val="auto"/>
              </w:rPr>
              <w:t>More than</w:t>
            </w: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 w:type="dxa"/>
            <w:vAlign w:val="bottom"/>
          </w:tcPr>
          <w:p>
            <w:pPr>
              <w:spacing w:after="0"/>
              <w:rPr>
                <w:sz w:val="7"/>
                <w:szCs w:val="7"/>
                <w:color w:val="auto"/>
              </w:rPr>
            </w:pPr>
          </w:p>
        </w:tc>
      </w:tr>
      <w:tr>
        <w:trPr>
          <w:trHeight w:val="114"/>
        </w:trPr>
        <w:tc>
          <w:tcPr>
            <w:tcW w:w="3400" w:type="dxa"/>
            <w:vAlign w:val="bottom"/>
            <w:tcBorders>
              <w:bottom w:val="single" w:sz="8" w:color="auto"/>
            </w:tcBorders>
          </w:tcPr>
          <w:p>
            <w:pPr>
              <w:spacing w:after="0" w:line="114" w:lineRule="exact"/>
              <w:rPr>
                <w:sz w:val="20"/>
                <w:szCs w:val="20"/>
                <w:color w:val="auto"/>
              </w:rPr>
            </w:pPr>
            <w:r>
              <w:rPr>
                <w:rFonts w:ascii="Arial" w:cs="Arial" w:eastAsia="Arial" w:hAnsi="Arial"/>
                <w:sz w:val="10"/>
                <w:szCs w:val="10"/>
                <w:color w:val="auto"/>
              </w:rPr>
              <w:t>(millions)</w:t>
            </w:r>
          </w:p>
        </w:tc>
        <w:tc>
          <w:tcPr>
            <w:tcW w:w="9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jc w:val="right"/>
              <w:ind w:right="222"/>
              <w:spacing w:after="0" w:line="114" w:lineRule="exact"/>
              <w:rPr>
                <w:sz w:val="20"/>
                <w:szCs w:val="20"/>
                <w:color w:val="auto"/>
              </w:rPr>
            </w:pPr>
            <w:r>
              <w:rPr>
                <w:rFonts w:ascii="Arial" w:cs="Arial" w:eastAsia="Arial" w:hAnsi="Arial"/>
                <w:sz w:val="10"/>
                <w:szCs w:val="10"/>
                <w:b w:val="1"/>
                <w:bCs w:val="1"/>
                <w:color w:val="auto"/>
                <w:w w:val="98"/>
              </w:rPr>
              <w:t>Less than 1 Year</w:t>
            </w:r>
          </w:p>
        </w:tc>
        <w:tc>
          <w:tcPr>
            <w:tcW w:w="460" w:type="dxa"/>
            <w:vAlign w:val="bottom"/>
            <w:tcBorders>
              <w:bottom w:val="single" w:sz="8" w:color="CFF0FC"/>
            </w:tcBorders>
          </w:tcPr>
          <w:p>
            <w:pPr>
              <w:spacing w:after="0"/>
              <w:rPr>
                <w:sz w:val="9"/>
                <w:szCs w:val="9"/>
                <w:color w:val="auto"/>
              </w:rPr>
            </w:pPr>
          </w:p>
        </w:tc>
        <w:tc>
          <w:tcPr>
            <w:tcW w:w="880" w:type="dxa"/>
            <w:vAlign w:val="bottom"/>
            <w:tcBorders>
              <w:bottom w:val="single" w:sz="8" w:color="auto"/>
            </w:tcBorders>
          </w:tcPr>
          <w:p>
            <w:pPr>
              <w:jc w:val="right"/>
              <w:ind w:right="112"/>
              <w:spacing w:after="0" w:line="114" w:lineRule="exact"/>
              <w:rPr>
                <w:sz w:val="20"/>
                <w:szCs w:val="20"/>
                <w:color w:val="auto"/>
              </w:rPr>
            </w:pPr>
            <w:r>
              <w:rPr>
                <w:rFonts w:ascii="Arial" w:cs="Arial" w:eastAsia="Arial" w:hAnsi="Arial"/>
                <w:sz w:val="10"/>
                <w:szCs w:val="10"/>
                <w:b w:val="1"/>
                <w:bCs w:val="1"/>
                <w:color w:val="auto"/>
              </w:rPr>
              <w:t>Years</w:t>
            </w:r>
          </w:p>
        </w:tc>
        <w:tc>
          <w:tcPr>
            <w:tcW w:w="360" w:type="dxa"/>
            <w:vAlign w:val="bottom"/>
            <w:tcBorders>
              <w:bottom w:val="single" w:sz="8" w:color="auto"/>
            </w:tcBorders>
          </w:tcPr>
          <w:p>
            <w:pPr>
              <w:spacing w:after="0"/>
              <w:rPr>
                <w:sz w:val="9"/>
                <w:szCs w:val="9"/>
                <w:color w:val="auto"/>
              </w:rPr>
            </w:pPr>
          </w:p>
        </w:tc>
        <w:tc>
          <w:tcPr>
            <w:tcW w:w="460" w:type="dxa"/>
            <w:vAlign w:val="bottom"/>
            <w:tcBorders>
              <w:bottom w:val="single" w:sz="8" w:color="CFF0FC"/>
            </w:tcBorders>
          </w:tcPr>
          <w:p>
            <w:pPr>
              <w:spacing w:after="0"/>
              <w:rPr>
                <w:sz w:val="9"/>
                <w:szCs w:val="9"/>
                <w:color w:val="auto"/>
              </w:rPr>
            </w:pPr>
          </w:p>
        </w:tc>
        <w:tc>
          <w:tcPr>
            <w:tcW w:w="840" w:type="dxa"/>
            <w:vAlign w:val="bottom"/>
            <w:tcBorders>
              <w:bottom w:val="single" w:sz="8" w:color="auto"/>
            </w:tcBorders>
          </w:tcPr>
          <w:p>
            <w:pPr>
              <w:jc w:val="right"/>
              <w:ind w:right="71"/>
              <w:spacing w:after="0" w:line="114" w:lineRule="exact"/>
              <w:rPr>
                <w:sz w:val="20"/>
                <w:szCs w:val="20"/>
                <w:color w:val="auto"/>
              </w:rPr>
            </w:pPr>
            <w:r>
              <w:rPr>
                <w:rFonts w:ascii="Arial" w:cs="Arial" w:eastAsia="Arial" w:hAnsi="Arial"/>
                <w:sz w:val="10"/>
                <w:szCs w:val="10"/>
                <w:b w:val="1"/>
                <w:bCs w:val="1"/>
                <w:color w:val="auto"/>
              </w:rPr>
              <w:t>Years</w:t>
            </w:r>
          </w:p>
        </w:tc>
        <w:tc>
          <w:tcPr>
            <w:tcW w:w="380" w:type="dxa"/>
            <w:vAlign w:val="bottom"/>
            <w:tcBorders>
              <w:bottom w:val="single" w:sz="8" w:color="auto"/>
            </w:tcBorders>
          </w:tcPr>
          <w:p>
            <w:pPr>
              <w:spacing w:after="0"/>
              <w:rPr>
                <w:sz w:val="9"/>
                <w:szCs w:val="9"/>
                <w:color w:val="auto"/>
              </w:rPr>
            </w:pPr>
          </w:p>
        </w:tc>
        <w:tc>
          <w:tcPr>
            <w:tcW w:w="440" w:type="dxa"/>
            <w:vAlign w:val="bottom"/>
            <w:tcBorders>
              <w:bottom w:val="single" w:sz="8" w:color="CFF0FC"/>
            </w:tcBorders>
          </w:tcPr>
          <w:p>
            <w:pPr>
              <w:spacing w:after="0"/>
              <w:rPr>
                <w:sz w:val="9"/>
                <w:szCs w:val="9"/>
                <w:color w:val="auto"/>
              </w:rPr>
            </w:pPr>
          </w:p>
        </w:tc>
        <w:tc>
          <w:tcPr>
            <w:tcW w:w="880" w:type="dxa"/>
            <w:vAlign w:val="bottom"/>
            <w:tcBorders>
              <w:bottom w:val="single" w:sz="8" w:color="auto"/>
            </w:tcBorders>
          </w:tcPr>
          <w:p>
            <w:pPr>
              <w:jc w:val="right"/>
              <w:ind w:right="92"/>
              <w:spacing w:after="0" w:line="114" w:lineRule="exact"/>
              <w:rPr>
                <w:sz w:val="20"/>
                <w:szCs w:val="20"/>
                <w:color w:val="auto"/>
              </w:rPr>
            </w:pPr>
            <w:r>
              <w:rPr>
                <w:rFonts w:ascii="Arial" w:cs="Arial" w:eastAsia="Arial" w:hAnsi="Arial"/>
                <w:sz w:val="10"/>
                <w:szCs w:val="10"/>
                <w:b w:val="1"/>
                <w:bCs w:val="1"/>
                <w:color w:val="auto"/>
              </w:rPr>
              <w:t>5 Years</w:t>
            </w:r>
          </w:p>
        </w:tc>
        <w:tc>
          <w:tcPr>
            <w:tcW w:w="320" w:type="dxa"/>
            <w:vAlign w:val="bottom"/>
            <w:tcBorders>
              <w:bottom w:val="single" w:sz="8" w:color="auto"/>
            </w:tcBorders>
          </w:tcPr>
          <w:p>
            <w:pPr>
              <w:spacing w:after="0"/>
              <w:rPr>
                <w:sz w:val="9"/>
                <w:szCs w:val="9"/>
                <w:color w:val="auto"/>
              </w:rPr>
            </w:pPr>
          </w:p>
        </w:tc>
        <w:tc>
          <w:tcPr>
            <w:tcW w:w="200" w:type="dxa"/>
            <w:vAlign w:val="bottom"/>
            <w:tcBorders>
              <w:bottom w:val="single" w:sz="8" w:color="CFF0FC"/>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jc w:val="right"/>
              <w:ind w:right="162"/>
              <w:spacing w:after="0" w:line="114" w:lineRule="exact"/>
              <w:rPr>
                <w:sz w:val="20"/>
                <w:szCs w:val="20"/>
                <w:color w:val="auto"/>
              </w:rPr>
            </w:pPr>
            <w:r>
              <w:rPr>
                <w:rFonts w:ascii="Arial" w:cs="Arial" w:eastAsia="Arial" w:hAnsi="Arial"/>
                <w:sz w:val="10"/>
                <w:szCs w:val="10"/>
                <w:b w:val="1"/>
                <w:bCs w:val="1"/>
                <w:color w:val="auto"/>
              </w:rPr>
              <w:t>Total</w:t>
            </w:r>
          </w:p>
        </w:tc>
        <w:tc>
          <w:tcPr>
            <w:tcW w:w="40" w:type="dxa"/>
            <w:vAlign w:val="bottom"/>
            <w:tcBorders>
              <w:bottom w:val="single" w:sz="8" w:color="CFF0FC"/>
            </w:tcBorders>
          </w:tcPr>
          <w:p>
            <w:pPr>
              <w:spacing w:after="0"/>
              <w:rPr>
                <w:sz w:val="9"/>
                <w:szCs w:val="9"/>
                <w:color w:val="auto"/>
              </w:rPr>
            </w:pPr>
          </w:p>
        </w:tc>
      </w:tr>
      <w:tr>
        <w:trPr>
          <w:trHeight w:val="142"/>
        </w:trPr>
        <w:tc>
          <w:tcPr>
            <w:tcW w:w="3400" w:type="dxa"/>
            <w:vAlign w:val="bottom"/>
            <w:shd w:val="clear" w:color="auto" w:fill="CFF0FC"/>
          </w:tcPr>
          <w:p>
            <w:pPr>
              <w:spacing w:after="0"/>
              <w:rPr>
                <w:sz w:val="20"/>
                <w:szCs w:val="20"/>
                <w:color w:val="auto"/>
              </w:rPr>
            </w:pPr>
            <w:r>
              <w:rPr>
                <w:rFonts w:ascii="Arial" w:cs="Arial" w:eastAsia="Arial" w:hAnsi="Arial"/>
                <w:sz w:val="12"/>
                <w:szCs w:val="12"/>
                <w:color w:val="auto"/>
              </w:rPr>
              <w:t>Long-term debt</w:t>
            </w:r>
            <w:r>
              <w:rPr>
                <w:rFonts w:ascii="Arial" w:cs="Arial" w:eastAsia="Arial" w:hAnsi="Arial"/>
                <w:sz w:val="10"/>
                <w:szCs w:val="10"/>
                <w:color w:val="auto"/>
              </w:rPr>
              <w:t>(a)</w:t>
            </w:r>
          </w:p>
        </w:tc>
        <w:tc>
          <w:tcPr>
            <w:tcW w:w="1120" w:type="dxa"/>
            <w:vAlign w:val="bottom"/>
            <w:gridSpan w:val="2"/>
            <w:shd w:val="clear" w:color="auto" w:fill="CFF0FC"/>
          </w:tcPr>
          <w:p>
            <w:pPr>
              <w:jc w:val="right"/>
              <w:ind w:right="50"/>
              <w:spacing w:after="0"/>
              <w:rPr>
                <w:sz w:val="20"/>
                <w:szCs w:val="20"/>
                <w:color w:val="auto"/>
              </w:rPr>
            </w:pPr>
            <w:r>
              <w:rPr>
                <w:rFonts w:ascii="Arial" w:cs="Arial" w:eastAsia="Arial" w:hAnsi="Arial"/>
                <w:sz w:val="12"/>
                <w:szCs w:val="12"/>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w:t>
            </w:r>
          </w:p>
        </w:tc>
        <w:tc>
          <w:tcPr>
            <w:tcW w:w="460" w:type="dxa"/>
            <w:vAlign w:val="bottom"/>
            <w:shd w:val="clear" w:color="auto" w:fill="CFF0FC"/>
          </w:tcPr>
          <w:p>
            <w:pPr>
              <w:spacing w:after="0"/>
              <w:rPr>
                <w:sz w:val="12"/>
                <w:szCs w:val="12"/>
                <w:color w:val="auto"/>
              </w:rPr>
            </w:pPr>
          </w:p>
        </w:tc>
        <w:tc>
          <w:tcPr>
            <w:tcW w:w="880" w:type="dxa"/>
            <w:vAlign w:val="bottom"/>
            <w:shd w:val="clear" w:color="auto" w:fill="CFF0FC"/>
          </w:tcPr>
          <w:p>
            <w:pPr>
              <w:jc w:val="right"/>
              <w:ind w:right="772"/>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322</w:t>
            </w:r>
          </w:p>
        </w:tc>
        <w:tc>
          <w:tcPr>
            <w:tcW w:w="1300" w:type="dxa"/>
            <w:vAlign w:val="bottom"/>
            <w:gridSpan w:val="2"/>
            <w:shd w:val="clear" w:color="auto" w:fill="CFF0FC"/>
          </w:tcPr>
          <w:p>
            <w:pPr>
              <w:jc w:val="right"/>
              <w:ind w:right="731"/>
              <w:spacing w:after="0"/>
              <w:rPr>
                <w:sz w:val="20"/>
                <w:szCs w:val="20"/>
                <w:color w:val="auto"/>
              </w:rPr>
            </w:pPr>
            <w:r>
              <w:rPr>
                <w:rFonts w:ascii="Arial" w:cs="Arial" w:eastAsia="Arial" w:hAnsi="Arial"/>
                <w:sz w:val="12"/>
                <w:szCs w:val="12"/>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2,024</w:t>
            </w:r>
          </w:p>
        </w:tc>
        <w:tc>
          <w:tcPr>
            <w:tcW w:w="440" w:type="dxa"/>
            <w:vAlign w:val="bottom"/>
            <w:shd w:val="clear" w:color="auto" w:fill="CFF0FC"/>
          </w:tcPr>
          <w:p>
            <w:pPr>
              <w:spacing w:after="0"/>
              <w:rPr>
                <w:sz w:val="12"/>
                <w:szCs w:val="12"/>
                <w:color w:val="auto"/>
              </w:rPr>
            </w:pPr>
          </w:p>
        </w:tc>
        <w:tc>
          <w:tcPr>
            <w:tcW w:w="880" w:type="dxa"/>
            <w:vAlign w:val="bottom"/>
            <w:shd w:val="clear" w:color="auto" w:fill="CFF0FC"/>
          </w:tcPr>
          <w:p>
            <w:pPr>
              <w:jc w:val="right"/>
              <w:ind w:right="772"/>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9"/>
              </w:rPr>
              <w:t>2,260</w:t>
            </w: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jc w:val="right"/>
              <w:ind w:right="30"/>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4,627</w:t>
            </w:r>
          </w:p>
        </w:tc>
        <w:tc>
          <w:tcPr>
            <w:tcW w:w="40" w:type="dxa"/>
            <w:vAlign w:val="bottom"/>
            <w:shd w:val="clear" w:color="auto" w:fill="CFF0FC"/>
          </w:tcPr>
          <w:p>
            <w:pPr>
              <w:spacing w:after="0"/>
              <w:rPr>
                <w:sz w:val="12"/>
                <w:szCs w:val="12"/>
                <w:color w:val="auto"/>
              </w:rPr>
            </w:pPr>
          </w:p>
        </w:tc>
      </w:tr>
      <w:tr>
        <w:trPr>
          <w:trHeight w:val="153"/>
        </w:trPr>
        <w:tc>
          <w:tcPr>
            <w:tcW w:w="3400" w:type="dxa"/>
            <w:vAlign w:val="bottom"/>
          </w:tcPr>
          <w:p>
            <w:pPr>
              <w:spacing w:after="0"/>
              <w:rPr>
                <w:sz w:val="20"/>
                <w:szCs w:val="20"/>
                <w:color w:val="auto"/>
              </w:rPr>
            </w:pPr>
            <w:r>
              <w:rPr>
                <w:rFonts w:ascii="Arial" w:cs="Arial" w:eastAsia="Arial" w:hAnsi="Arial"/>
                <w:sz w:val="12"/>
                <w:szCs w:val="12"/>
                <w:color w:val="auto"/>
              </w:rPr>
              <w:t>Interest payments on long-term debt obligations</w:t>
            </w:r>
            <w:r>
              <w:rPr>
                <w:rFonts w:ascii="Arial" w:cs="Arial" w:eastAsia="Arial" w:hAnsi="Arial"/>
                <w:sz w:val="10"/>
                <w:szCs w:val="10"/>
                <w:color w:val="auto"/>
              </w:rPr>
              <w:t>(b)</w:t>
            </w: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250</w:t>
            </w:r>
          </w:p>
        </w:tc>
        <w:tc>
          <w:tcPr>
            <w:tcW w:w="4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498</w:t>
            </w:r>
          </w:p>
        </w:tc>
        <w:tc>
          <w:tcPr>
            <w:tcW w:w="4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481</w:t>
            </w:r>
          </w:p>
        </w:tc>
        <w:tc>
          <w:tcPr>
            <w:tcW w:w="4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rPr>
              <w:t>194</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1,423</w:t>
            </w:r>
          </w:p>
        </w:tc>
        <w:tc>
          <w:tcPr>
            <w:tcW w:w="40" w:type="dxa"/>
            <w:vAlign w:val="bottom"/>
          </w:tcPr>
          <w:p>
            <w:pPr>
              <w:spacing w:after="0"/>
              <w:rPr>
                <w:sz w:val="13"/>
                <w:szCs w:val="13"/>
                <w:color w:val="auto"/>
              </w:rPr>
            </w:pPr>
          </w:p>
        </w:tc>
      </w:tr>
      <w:tr>
        <w:trPr>
          <w:trHeight w:val="153"/>
        </w:trPr>
        <w:tc>
          <w:tcPr>
            <w:tcW w:w="3400" w:type="dxa"/>
            <w:vAlign w:val="bottom"/>
            <w:shd w:val="clear" w:color="auto" w:fill="CFF0FC"/>
          </w:tcPr>
          <w:p>
            <w:pPr>
              <w:spacing w:after="0"/>
              <w:rPr>
                <w:sz w:val="20"/>
                <w:szCs w:val="20"/>
                <w:color w:val="auto"/>
              </w:rPr>
            </w:pPr>
            <w:r>
              <w:rPr>
                <w:rFonts w:ascii="Arial" w:cs="Arial" w:eastAsia="Arial" w:hAnsi="Arial"/>
                <w:sz w:val="12"/>
                <w:szCs w:val="12"/>
                <w:color w:val="auto"/>
              </w:rPr>
              <w:t>Operating leases</w:t>
            </w:r>
          </w:p>
        </w:tc>
        <w:tc>
          <w:tcPr>
            <w:tcW w:w="9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w:t>
            </w:r>
          </w:p>
        </w:tc>
        <w:tc>
          <w:tcPr>
            <w:tcW w:w="4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w:t>
            </w:r>
          </w:p>
        </w:tc>
        <w:tc>
          <w:tcPr>
            <w:tcW w:w="46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w:t>
            </w:r>
          </w:p>
        </w:tc>
        <w:tc>
          <w:tcPr>
            <w:tcW w:w="44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w:t>
            </w: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54</w:t>
            </w:r>
          </w:p>
        </w:tc>
        <w:tc>
          <w:tcPr>
            <w:tcW w:w="40" w:type="dxa"/>
            <w:vAlign w:val="bottom"/>
            <w:shd w:val="clear" w:color="auto" w:fill="CFF0FC"/>
          </w:tcPr>
          <w:p>
            <w:pPr>
              <w:spacing w:after="0"/>
              <w:rPr>
                <w:sz w:val="13"/>
                <w:szCs w:val="13"/>
                <w:color w:val="auto"/>
              </w:rPr>
            </w:pPr>
          </w:p>
        </w:tc>
      </w:tr>
      <w:tr>
        <w:trPr>
          <w:trHeight w:val="153"/>
        </w:trPr>
        <w:tc>
          <w:tcPr>
            <w:tcW w:w="3400" w:type="dxa"/>
            <w:vAlign w:val="bottom"/>
          </w:tcPr>
          <w:p>
            <w:pPr>
              <w:spacing w:after="0"/>
              <w:rPr>
                <w:sz w:val="20"/>
                <w:szCs w:val="20"/>
                <w:color w:val="auto"/>
              </w:rPr>
            </w:pPr>
            <w:r>
              <w:rPr>
                <w:rFonts w:ascii="Arial" w:cs="Arial" w:eastAsia="Arial" w:hAnsi="Arial"/>
                <w:sz w:val="12"/>
                <w:szCs w:val="12"/>
                <w:color w:val="auto"/>
              </w:rPr>
              <w:t>Capital leases</w:t>
            </w: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8</w:t>
            </w:r>
          </w:p>
        </w:tc>
        <w:tc>
          <w:tcPr>
            <w:tcW w:w="4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15</w:t>
            </w:r>
          </w:p>
        </w:tc>
        <w:tc>
          <w:tcPr>
            <w:tcW w:w="4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12</w:t>
            </w:r>
          </w:p>
        </w:tc>
        <w:tc>
          <w:tcPr>
            <w:tcW w:w="4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rPr>
              <w:t>54</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89</w:t>
            </w:r>
          </w:p>
        </w:tc>
        <w:tc>
          <w:tcPr>
            <w:tcW w:w="40" w:type="dxa"/>
            <w:vAlign w:val="bottom"/>
          </w:tcPr>
          <w:p>
            <w:pPr>
              <w:spacing w:after="0"/>
              <w:rPr>
                <w:sz w:val="13"/>
                <w:szCs w:val="13"/>
                <w:color w:val="auto"/>
              </w:rPr>
            </w:pPr>
          </w:p>
        </w:tc>
      </w:tr>
      <w:tr>
        <w:trPr>
          <w:trHeight w:val="153"/>
        </w:trPr>
        <w:tc>
          <w:tcPr>
            <w:tcW w:w="3400" w:type="dxa"/>
            <w:vAlign w:val="bottom"/>
            <w:shd w:val="clear" w:color="auto" w:fill="CFF0FC"/>
          </w:tcPr>
          <w:p>
            <w:pPr>
              <w:spacing w:after="0"/>
              <w:rPr>
                <w:sz w:val="20"/>
                <w:szCs w:val="20"/>
                <w:color w:val="auto"/>
              </w:rPr>
            </w:pPr>
            <w:r>
              <w:rPr>
                <w:rFonts w:ascii="Arial" w:cs="Arial" w:eastAsia="Arial" w:hAnsi="Arial"/>
                <w:sz w:val="12"/>
                <w:szCs w:val="12"/>
                <w:color w:val="auto"/>
              </w:rPr>
              <w:t>Network deployment</w:t>
            </w:r>
            <w:r>
              <w:rPr>
                <w:rFonts w:ascii="Arial" w:cs="Arial" w:eastAsia="Arial" w:hAnsi="Arial"/>
                <w:sz w:val="10"/>
                <w:szCs w:val="10"/>
                <w:color w:val="auto"/>
              </w:rPr>
              <w:t>(c)</w:t>
            </w:r>
          </w:p>
        </w:tc>
        <w:tc>
          <w:tcPr>
            <w:tcW w:w="960" w:type="dxa"/>
            <w:vAlign w:val="bottom"/>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64</w:t>
            </w:r>
          </w:p>
        </w:tc>
        <w:tc>
          <w:tcPr>
            <w:tcW w:w="460" w:type="dxa"/>
            <w:vAlign w:val="bottom"/>
            <w:shd w:val="clear" w:color="auto" w:fill="CFF0FC"/>
          </w:tcPr>
          <w:p>
            <w:pPr>
              <w:spacing w:after="0"/>
              <w:rPr>
                <w:sz w:val="13"/>
                <w:szCs w:val="13"/>
                <w:color w:val="auto"/>
              </w:rPr>
            </w:pPr>
          </w:p>
        </w:tc>
        <w:tc>
          <w:tcPr>
            <w:tcW w:w="880" w:type="dxa"/>
            <w:vAlign w:val="bottom"/>
            <w:tcBorders>
              <w:bottom w:val="single" w:sz="8" w:color="auto"/>
            </w:tcBorders>
            <w:shd w:val="clear" w:color="auto" w:fill="CFF0FC"/>
          </w:tcPr>
          <w:p>
            <w:pPr>
              <w:spacing w:after="0"/>
              <w:rPr>
                <w:sz w:val="13"/>
                <w:szCs w:val="13"/>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460" w:type="dxa"/>
            <w:vAlign w:val="bottom"/>
            <w:shd w:val="clear" w:color="auto" w:fill="CFF0FC"/>
          </w:tcPr>
          <w:p>
            <w:pPr>
              <w:spacing w:after="0"/>
              <w:rPr>
                <w:sz w:val="13"/>
                <w:szCs w:val="13"/>
                <w:color w:val="auto"/>
              </w:rPr>
            </w:pPr>
          </w:p>
        </w:tc>
        <w:tc>
          <w:tcPr>
            <w:tcW w:w="840" w:type="dxa"/>
            <w:vAlign w:val="bottom"/>
            <w:tcBorders>
              <w:bottom w:val="single" w:sz="8" w:color="auto"/>
            </w:tcBorders>
            <w:shd w:val="clear" w:color="auto" w:fill="CFF0FC"/>
          </w:tcPr>
          <w:p>
            <w:pPr>
              <w:spacing w:after="0"/>
              <w:rPr>
                <w:sz w:val="13"/>
                <w:szCs w:val="13"/>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440" w:type="dxa"/>
            <w:vAlign w:val="bottom"/>
            <w:shd w:val="clear" w:color="auto" w:fill="CFF0FC"/>
          </w:tcPr>
          <w:p>
            <w:pPr>
              <w:spacing w:after="0"/>
              <w:rPr>
                <w:sz w:val="13"/>
                <w:szCs w:val="13"/>
                <w:color w:val="auto"/>
              </w:rPr>
            </w:pPr>
          </w:p>
        </w:tc>
        <w:tc>
          <w:tcPr>
            <w:tcW w:w="880" w:type="dxa"/>
            <w:vAlign w:val="bottom"/>
            <w:tcBorders>
              <w:bottom w:val="single" w:sz="8" w:color="auto"/>
            </w:tcBorders>
            <w:shd w:val="clear" w:color="auto" w:fill="CFF0FC"/>
          </w:tcPr>
          <w:p>
            <w:pPr>
              <w:spacing w:after="0"/>
              <w:rPr>
                <w:sz w:val="13"/>
                <w:szCs w:val="13"/>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64</w:t>
            </w:r>
          </w:p>
        </w:tc>
        <w:tc>
          <w:tcPr>
            <w:tcW w:w="40" w:type="dxa"/>
            <w:vAlign w:val="bottom"/>
            <w:shd w:val="clear" w:color="auto" w:fill="CFF0FC"/>
          </w:tcPr>
          <w:p>
            <w:pPr>
              <w:spacing w:after="0"/>
              <w:rPr>
                <w:sz w:val="13"/>
                <w:szCs w:val="13"/>
                <w:color w:val="auto"/>
              </w:rPr>
            </w:pPr>
          </w:p>
        </w:tc>
      </w:tr>
      <w:tr>
        <w:trPr>
          <w:trHeight w:val="149"/>
        </w:trPr>
        <w:tc>
          <w:tcPr>
            <w:tcW w:w="3400" w:type="dxa"/>
            <w:vAlign w:val="bottom"/>
          </w:tcPr>
          <w:p>
            <w:pPr>
              <w:spacing w:after="0"/>
              <w:rPr>
                <w:sz w:val="20"/>
                <w:szCs w:val="20"/>
                <w:color w:val="auto"/>
              </w:rPr>
            </w:pPr>
            <w:r>
              <w:rPr>
                <w:rFonts w:ascii="Arial" w:cs="Arial" w:eastAsia="Arial" w:hAnsi="Arial"/>
                <w:sz w:val="12"/>
                <w:szCs w:val="12"/>
                <w:b w:val="1"/>
                <w:bCs w:val="1"/>
                <w:color w:val="auto"/>
              </w:rPr>
              <w:t>Total projected obligations and commitments</w:t>
            </w:r>
            <w:r>
              <w:rPr>
                <w:rFonts w:ascii="Arial" w:cs="Arial" w:eastAsia="Arial" w:hAnsi="Arial"/>
                <w:sz w:val="10"/>
                <w:szCs w:val="10"/>
                <w:b w:val="1"/>
                <w:bCs w:val="1"/>
                <w:color w:val="auto"/>
              </w:rPr>
              <w:t>(d)</w:t>
            </w:r>
          </w:p>
        </w:tc>
        <w:tc>
          <w:tcPr>
            <w:tcW w:w="960" w:type="dxa"/>
            <w:vAlign w:val="bottom"/>
          </w:tcPr>
          <w:p>
            <w:pPr>
              <w:spacing w:after="0"/>
              <w:rPr>
                <w:sz w:val="12"/>
                <w:szCs w:val="12"/>
                <w:color w:val="auto"/>
              </w:rPr>
            </w:pPr>
          </w:p>
        </w:tc>
        <w:tc>
          <w:tcPr>
            <w:tcW w:w="1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357</w:t>
            </w:r>
          </w:p>
        </w:tc>
        <w:tc>
          <w:tcPr>
            <w:tcW w:w="460" w:type="dxa"/>
            <w:vAlign w:val="bottom"/>
          </w:tcPr>
          <w:p>
            <w:pPr>
              <w:spacing w:after="0"/>
              <w:rPr>
                <w:sz w:val="12"/>
                <w:szCs w:val="12"/>
                <w:color w:val="auto"/>
              </w:rPr>
            </w:pPr>
          </w:p>
        </w:tc>
        <w:tc>
          <w:tcPr>
            <w:tcW w:w="880" w:type="dxa"/>
            <w:vAlign w:val="bottom"/>
            <w:tcBorders>
              <w:bottom w:val="single" w:sz="8" w:color="auto"/>
            </w:tcBorders>
          </w:tcPr>
          <w:p>
            <w:pPr>
              <w:jc w:val="right"/>
              <w:ind w:right="772"/>
              <w:spacing w:after="0"/>
              <w:rPr>
                <w:sz w:val="20"/>
                <w:szCs w:val="20"/>
                <w:color w:val="auto"/>
              </w:rPr>
            </w:pPr>
            <w:r>
              <w:rPr>
                <w:rFonts w:ascii="Arial" w:cs="Arial" w:eastAsia="Arial" w:hAnsi="Arial"/>
                <w:sz w:val="10"/>
                <w:szCs w:val="10"/>
                <w:color w:val="auto"/>
                <w:w w:val="71"/>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851</w:t>
            </w:r>
          </w:p>
        </w:tc>
        <w:tc>
          <w:tcPr>
            <w:tcW w:w="460" w:type="dxa"/>
            <w:vAlign w:val="bottom"/>
          </w:tcPr>
          <w:p>
            <w:pPr>
              <w:spacing w:after="0"/>
              <w:rPr>
                <w:sz w:val="12"/>
                <w:szCs w:val="12"/>
                <w:color w:val="auto"/>
              </w:rPr>
            </w:pPr>
          </w:p>
        </w:tc>
        <w:tc>
          <w:tcPr>
            <w:tcW w:w="840" w:type="dxa"/>
            <w:vAlign w:val="bottom"/>
            <w:tcBorders>
              <w:bottom w:val="single" w:sz="8" w:color="auto"/>
            </w:tcBorders>
          </w:tcPr>
          <w:p>
            <w:pPr>
              <w:jc w:val="right"/>
              <w:ind w:right="731"/>
              <w:spacing w:after="0"/>
              <w:rPr>
                <w:sz w:val="20"/>
                <w:szCs w:val="20"/>
                <w:color w:val="auto"/>
              </w:rPr>
            </w:pPr>
            <w:r>
              <w:rPr>
                <w:rFonts w:ascii="Arial" w:cs="Arial" w:eastAsia="Arial" w:hAnsi="Arial"/>
                <w:sz w:val="10"/>
                <w:szCs w:val="10"/>
                <w:color w:val="auto"/>
                <w:w w:val="71"/>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2,524</w:t>
            </w:r>
          </w:p>
        </w:tc>
        <w:tc>
          <w:tcPr>
            <w:tcW w:w="440" w:type="dxa"/>
            <w:vAlign w:val="bottom"/>
          </w:tcPr>
          <w:p>
            <w:pPr>
              <w:spacing w:after="0"/>
              <w:rPr>
                <w:sz w:val="12"/>
                <w:szCs w:val="12"/>
                <w:color w:val="auto"/>
              </w:rPr>
            </w:pPr>
          </w:p>
        </w:tc>
        <w:tc>
          <w:tcPr>
            <w:tcW w:w="880" w:type="dxa"/>
            <w:vAlign w:val="bottom"/>
            <w:tcBorders>
              <w:bottom w:val="single" w:sz="8" w:color="auto"/>
            </w:tcBorders>
          </w:tcPr>
          <w:p>
            <w:pPr>
              <w:jc w:val="right"/>
              <w:ind w:right="772"/>
              <w:spacing w:after="0"/>
              <w:rPr>
                <w:sz w:val="20"/>
                <w:szCs w:val="20"/>
                <w:color w:val="auto"/>
              </w:rPr>
            </w:pPr>
            <w:r>
              <w:rPr>
                <w:rFonts w:ascii="Arial" w:cs="Arial" w:eastAsia="Arial" w:hAnsi="Arial"/>
                <w:sz w:val="10"/>
                <w:szCs w:val="10"/>
                <w:color w:val="auto"/>
                <w:w w:val="71"/>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2,525</w:t>
            </w:r>
          </w:p>
        </w:tc>
        <w:tc>
          <w:tcPr>
            <w:tcW w:w="200" w:type="dxa"/>
            <w:vAlign w:val="bottom"/>
          </w:tcPr>
          <w:p>
            <w:pPr>
              <w:spacing w:after="0"/>
              <w:rPr>
                <w:sz w:val="12"/>
                <w:szCs w:val="12"/>
                <w:color w:val="auto"/>
              </w:rPr>
            </w:pP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6,257</w:t>
            </w:r>
          </w:p>
        </w:tc>
        <w:tc>
          <w:tcPr>
            <w:tcW w:w="40" w:type="dxa"/>
            <w:vAlign w:val="bottom"/>
          </w:tcPr>
          <w:p>
            <w:pPr>
              <w:spacing w:after="0"/>
              <w:rPr>
                <w:sz w:val="12"/>
                <w:szCs w:val="12"/>
                <w:color w:val="auto"/>
              </w:rPr>
            </w:pPr>
          </w:p>
        </w:tc>
      </w:tr>
    </w:tbl>
    <w:p>
      <w:pPr>
        <w:spacing w:after="0" w:line="135" w:lineRule="exact"/>
        <w:rPr>
          <w:sz w:val="20"/>
          <w:szCs w:val="20"/>
          <w:color w:val="auto"/>
        </w:rPr>
      </w:pPr>
    </w:p>
    <w:p>
      <w:pPr>
        <w:ind w:left="588" w:hanging="588"/>
        <w:spacing w:after="0"/>
        <w:tabs>
          <w:tab w:leader="none" w:pos="588" w:val="left"/>
        </w:tabs>
        <w:numPr>
          <w:ilvl w:val="0"/>
          <w:numId w:val="11"/>
        </w:numPr>
        <w:rPr>
          <w:rFonts w:ascii="Arial" w:cs="Arial" w:eastAsia="Arial" w:hAnsi="Arial"/>
          <w:sz w:val="12"/>
          <w:szCs w:val="12"/>
          <w:color w:val="auto"/>
        </w:rPr>
      </w:pPr>
      <w:r>
        <w:rPr>
          <w:rFonts w:ascii="Arial" w:cs="Arial" w:eastAsia="Arial" w:hAnsi="Arial"/>
          <w:sz w:val="12"/>
          <w:szCs w:val="12"/>
          <w:color w:val="auto"/>
        </w:rPr>
        <w:t>Excludes $144.2 million of unamortized discounts on long-term debt and deferred financing costs.</w:t>
      </w:r>
    </w:p>
    <w:p>
      <w:pPr>
        <w:spacing w:after="0" w:line="14" w:lineRule="exact"/>
        <w:rPr>
          <w:rFonts w:ascii="Arial" w:cs="Arial" w:eastAsia="Arial" w:hAnsi="Arial"/>
          <w:sz w:val="12"/>
          <w:szCs w:val="12"/>
          <w:color w:val="auto"/>
        </w:rPr>
      </w:pPr>
    </w:p>
    <w:p>
      <w:pPr>
        <w:ind w:left="588" w:hanging="588"/>
        <w:spacing w:after="0"/>
        <w:tabs>
          <w:tab w:leader="none" w:pos="588" w:val="left"/>
        </w:tabs>
        <w:numPr>
          <w:ilvl w:val="0"/>
          <w:numId w:val="11"/>
        </w:numPr>
        <w:rPr>
          <w:rFonts w:ascii="Arial" w:cs="Arial" w:eastAsia="Arial" w:hAnsi="Arial"/>
          <w:sz w:val="12"/>
          <w:szCs w:val="12"/>
          <w:color w:val="auto"/>
        </w:rPr>
      </w:pPr>
      <w:r>
        <w:rPr>
          <w:rFonts w:ascii="Arial" w:cs="Arial" w:eastAsia="Arial" w:hAnsi="Arial"/>
          <w:sz w:val="12"/>
          <w:szCs w:val="12"/>
          <w:color w:val="auto"/>
        </w:rPr>
        <w:t>Interest rates on our Term Loan Facility are based on our swap rates.</w:t>
      </w:r>
    </w:p>
    <w:p>
      <w:pPr>
        <w:spacing w:after="0" w:line="6" w:lineRule="exact"/>
        <w:rPr>
          <w:rFonts w:ascii="Arial" w:cs="Arial" w:eastAsia="Arial" w:hAnsi="Arial"/>
          <w:sz w:val="12"/>
          <w:szCs w:val="12"/>
          <w:color w:val="auto"/>
        </w:rPr>
      </w:pPr>
    </w:p>
    <w:p>
      <w:pPr>
        <w:ind w:left="588" w:hanging="588"/>
        <w:spacing w:after="0"/>
        <w:tabs>
          <w:tab w:leader="none" w:pos="588" w:val="left"/>
        </w:tabs>
        <w:numPr>
          <w:ilvl w:val="0"/>
          <w:numId w:val="11"/>
        </w:numPr>
        <w:rPr>
          <w:rFonts w:ascii="Arial" w:cs="Arial" w:eastAsia="Arial" w:hAnsi="Arial"/>
          <w:sz w:val="12"/>
          <w:szCs w:val="12"/>
          <w:color w:val="auto"/>
        </w:rPr>
      </w:pPr>
      <w:r>
        <w:rPr>
          <w:rFonts w:ascii="Arial" w:cs="Arial" w:eastAsia="Arial" w:hAnsi="Arial"/>
          <w:sz w:val="12"/>
          <w:szCs w:val="12"/>
          <w:color w:val="auto"/>
        </w:rPr>
        <w:t>Network deployment purchase commitments are for success-based projects for which we have a signed customer contract before we commit resources to expand our network.</w:t>
      </w:r>
    </w:p>
    <w:p>
      <w:pPr>
        <w:spacing w:after="0" w:line="6" w:lineRule="exact"/>
        <w:rPr>
          <w:rFonts w:ascii="Arial" w:cs="Arial" w:eastAsia="Arial" w:hAnsi="Arial"/>
          <w:sz w:val="12"/>
          <w:szCs w:val="12"/>
          <w:color w:val="auto"/>
        </w:rPr>
      </w:pPr>
    </w:p>
    <w:p>
      <w:pPr>
        <w:ind w:left="588" w:hanging="588"/>
        <w:spacing w:after="0"/>
        <w:tabs>
          <w:tab w:leader="none" w:pos="588" w:val="left"/>
        </w:tabs>
        <w:numPr>
          <w:ilvl w:val="0"/>
          <w:numId w:val="11"/>
        </w:numPr>
        <w:rPr>
          <w:rFonts w:ascii="Arial" w:cs="Arial" w:eastAsia="Arial" w:hAnsi="Arial"/>
          <w:sz w:val="12"/>
          <w:szCs w:val="12"/>
          <w:color w:val="auto"/>
        </w:rPr>
      </w:pPr>
      <w:r>
        <w:rPr>
          <w:rFonts w:ascii="Arial" w:cs="Arial" w:eastAsia="Arial" w:hAnsi="Arial"/>
          <w:sz w:val="12"/>
          <w:szCs w:val="12"/>
          <w:color w:val="auto"/>
        </w:rPr>
        <w:t>Excludes $6.8 million of derivative asset related to interest rate swaps maturing on October 24, 2022.</w:t>
      </w:r>
    </w:p>
    <w:p>
      <w:pPr>
        <w:spacing w:after="0" w:line="209"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Dividends</w:t>
      </w:r>
    </w:p>
    <w:p>
      <w:pPr>
        <w:spacing w:after="0" w:line="82" w:lineRule="exact"/>
        <w:rPr>
          <w:sz w:val="20"/>
          <w:szCs w:val="20"/>
          <w:color w:val="auto"/>
        </w:rPr>
      </w:pPr>
    </w:p>
    <w:p>
      <w:pPr>
        <w:ind w:left="8" w:right="20"/>
        <w:spacing w:after="0" w:line="286" w:lineRule="auto"/>
        <w:rPr>
          <w:sz w:val="20"/>
          <w:szCs w:val="20"/>
          <w:color w:val="auto"/>
        </w:rPr>
      </w:pPr>
      <w:r>
        <w:rPr>
          <w:rFonts w:ascii="Arial" w:cs="Arial" w:eastAsia="Arial" w:hAnsi="Arial"/>
          <w:sz w:val="11"/>
          <w:szCs w:val="11"/>
          <w:color w:val="auto"/>
        </w:rPr>
        <w:t>We have elected to be taxed as a REIT for U.S. federal income tax purposes. U.S. federal income tax law generally requires that a REIT distribute annually at least 90% of its REIT taxable income, without regard to the deduction for dividends paid and excluding net capital gains, and that it pay tax at regular corporate rates to the extent that it annually distributes less than 100% of its taxable income. In order to maintain our REIT status, we intend to make regular quarterly dividend payments of all or substantially all of our taxable income to holders of our common stock out of assets legally available for this purpose, if and to the extent authorized by our board of directors. Before we make any dividend payments, whether for U.S. federal income tax purposes or otherwise, we must first meet both our operating requirements and debt service obligations. If our cash available for distribution is less than our taxable income, we could be required to sell assets or borrow funds to make cash dividends or we may make a portion of the required dividend in the form of a taxable distribution of stock or debt securities.</w:t>
      </w:r>
    </w:p>
    <w:p>
      <w:pPr>
        <w:spacing w:after="0" w:line="39" w:lineRule="exact"/>
        <w:rPr>
          <w:sz w:val="20"/>
          <w:szCs w:val="20"/>
          <w:color w:val="auto"/>
        </w:rPr>
      </w:pPr>
    </w:p>
    <w:p>
      <w:pPr>
        <w:ind w:left="8"/>
        <w:spacing w:after="0"/>
        <w:rPr>
          <w:sz w:val="20"/>
          <w:szCs w:val="20"/>
          <w:color w:val="auto"/>
        </w:rPr>
      </w:pPr>
      <w:r>
        <w:rPr>
          <w:rFonts w:ascii="Arial" w:cs="Arial" w:eastAsia="Arial" w:hAnsi="Arial"/>
          <w:sz w:val="11"/>
          <w:szCs w:val="11"/>
          <w:color w:val="auto"/>
        </w:rPr>
        <w:t>On January 12, 2018, we paid, to shareholders of record as of the close of business on December 29, 2017, a cash dividend on our common stock of $0.60 per share for the period from October 1, 2017 through December 31, 2017.</w:t>
      </w:r>
    </w:p>
    <w:p>
      <w:pPr>
        <w:spacing w:after="0" w:line="90" w:lineRule="exact"/>
        <w:rPr>
          <w:sz w:val="20"/>
          <w:szCs w:val="20"/>
          <w:color w:val="auto"/>
        </w:rPr>
      </w:pPr>
    </w:p>
    <w:p>
      <w:pPr>
        <w:ind w:left="8"/>
        <w:spacing w:after="0"/>
        <w:rPr>
          <w:sz w:val="20"/>
          <w:szCs w:val="20"/>
          <w:color w:val="auto"/>
        </w:rPr>
      </w:pPr>
      <w:r>
        <w:rPr>
          <w:rFonts w:ascii="Arial" w:cs="Arial" w:eastAsia="Arial" w:hAnsi="Arial"/>
          <w:sz w:val="11"/>
          <w:szCs w:val="11"/>
          <w:color w:val="auto"/>
        </w:rPr>
        <w:t>On October 13, 2017, we paid, to shareholders of record as of the close of business on September 29, 2017, a cash dividend on our common stock of $0.60 per share for the period July 1, 2017 through September 30, 2017.</w:t>
      </w:r>
    </w:p>
    <w:p>
      <w:pPr>
        <w:spacing w:after="0" w:line="16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329170" cy="368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8"/>
          </w:cols>
          <w:pgMar w:left="212" w:top="131" w:right="199" w:bottom="1440" w:gutter="0" w:footer="0" w:header="0"/>
        </w:sectPr>
      </w:pPr>
    </w:p>
    <w:bookmarkStart w:id="45" w:name="page46"/>
    <w:bookmarkEnd w:id="45"/>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78" w:lineRule="exact"/>
        <w:rPr>
          <w:sz w:val="20"/>
          <w:szCs w:val="20"/>
          <w:color w:val="auto"/>
        </w:rPr>
      </w:pPr>
    </w:p>
    <w:p>
      <w:pPr>
        <w:spacing w:after="0"/>
        <w:rPr>
          <w:sz w:val="20"/>
          <w:szCs w:val="20"/>
          <w:color w:val="auto"/>
        </w:rPr>
      </w:pPr>
      <w:r>
        <w:rPr>
          <w:rFonts w:ascii="Arial" w:cs="Arial" w:eastAsia="Arial" w:hAnsi="Arial"/>
          <w:sz w:val="12"/>
          <w:szCs w:val="12"/>
          <w:color w:val="auto"/>
        </w:rPr>
        <w:t>On July 14, 2017, we paid, to shareholders of record as of the close of business on June 30, 2017, a cash dividend on our common stock of $0.60 per share for the period from April 1, 2017 through June 30, 2017.</w:t>
      </w:r>
    </w:p>
    <w:p>
      <w:pPr>
        <w:spacing w:after="0" w:line="78" w:lineRule="exact"/>
        <w:rPr>
          <w:sz w:val="20"/>
          <w:szCs w:val="20"/>
          <w:color w:val="auto"/>
        </w:rPr>
      </w:pPr>
    </w:p>
    <w:p>
      <w:pPr>
        <w:spacing w:after="0"/>
        <w:rPr>
          <w:sz w:val="20"/>
          <w:szCs w:val="20"/>
          <w:color w:val="auto"/>
        </w:rPr>
      </w:pPr>
      <w:r>
        <w:rPr>
          <w:rFonts w:ascii="Arial" w:cs="Arial" w:eastAsia="Arial" w:hAnsi="Arial"/>
          <w:sz w:val="11"/>
          <w:szCs w:val="11"/>
          <w:color w:val="auto"/>
        </w:rPr>
        <w:t>On April 14, 2017, we paid, to shareholders of record as of the close of business on March 31, 2017, a cash dividend on our common stock of $0.60 per share for the period from January 1, 2017 through March 31, 2017.</w:t>
      </w:r>
    </w:p>
    <w:p>
      <w:pPr>
        <w:spacing w:after="0" w:line="90" w:lineRule="exact"/>
        <w:rPr>
          <w:sz w:val="20"/>
          <w:szCs w:val="20"/>
          <w:color w:val="auto"/>
        </w:rPr>
      </w:pPr>
    </w:p>
    <w:p>
      <w:pPr>
        <w:spacing w:after="0"/>
        <w:rPr>
          <w:sz w:val="20"/>
          <w:szCs w:val="20"/>
          <w:color w:val="auto"/>
        </w:rPr>
      </w:pPr>
      <w:r>
        <w:rPr>
          <w:rFonts w:ascii="Arial" w:cs="Arial" w:eastAsia="Arial" w:hAnsi="Arial"/>
          <w:sz w:val="11"/>
          <w:szCs w:val="11"/>
          <w:color w:val="auto"/>
        </w:rPr>
        <w:t>On January 13, 2017, we paid, to shareholders of record as of the close of business on December 30, 2016, a cash dividend on our common stock of $0.60 per share for the period from October 1, 2016 through December 31, 2016.</w:t>
      </w:r>
    </w:p>
    <w:p>
      <w:pPr>
        <w:spacing w:after="0" w:line="23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Capital Expenditures</w:t>
      </w:r>
    </w:p>
    <w:p>
      <w:pPr>
        <w:spacing w:after="0" w:line="82"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Capital expenditures for the Distribution Systems leased under the Master Lease are generally the responsibility of Windstream. The Master Lease stipulates that Windstream can request that we fund $50 million of capital expenditures per year for five years (but in no event to extend beyond the end of the sixth year of the Master Lease); however, Windstream cannot require Uniti to make such capital expenditures. If we elect to fund requested capital expenditures, the annual lease payments will be increased by 8.125% of the capital expenditures funded by us during the first two years and at a floating rate based on our cost of capital thereafter. No capital expenditure funding requests were made by Windstream for the year ended December 31, 2017.</w:t>
      </w:r>
    </w:p>
    <w:p>
      <w:pPr>
        <w:spacing w:after="0" w:line="53" w:lineRule="exact"/>
        <w:rPr>
          <w:sz w:val="20"/>
          <w:szCs w:val="20"/>
          <w:color w:val="auto"/>
        </w:rPr>
      </w:pPr>
    </w:p>
    <w:p>
      <w:pPr>
        <w:ind w:right="100"/>
        <w:spacing w:after="0" w:line="259" w:lineRule="auto"/>
        <w:rPr>
          <w:sz w:val="20"/>
          <w:szCs w:val="20"/>
          <w:color w:val="auto"/>
        </w:rPr>
      </w:pPr>
      <w:r>
        <w:rPr>
          <w:rFonts w:ascii="Arial" w:cs="Arial" w:eastAsia="Arial" w:hAnsi="Arial"/>
          <w:sz w:val="12"/>
          <w:szCs w:val="12"/>
          <w:color w:val="auto"/>
        </w:rPr>
        <w:t>We categorize our capital expenditures as either (i) success-based, (ii) maintenance, or (iii) corporate and non-network. We define success-based capital expenditures as those which are tied to contractual obligations to customers or are discretionary in nature and are intended to add growth capacity to our existing network. Maintenance capital expenditures are those necessary to keep existing network elements fully operational. We anticipate continuing to invest in our network infrastructure across our Uniti Fiber and Uniti Towers portfolios, and expect that cash on hand, borrowings under our Revolving Credit Facility, and cash flows provided by operating activities will be sufficient to support these investments.</w:t>
      </w:r>
    </w:p>
    <w:p>
      <w:pPr>
        <w:spacing w:after="0" w:line="19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Off Balance-Sheet Arrangements</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color w:val="auto"/>
        </w:rPr>
        <w:t>As of the date of this Annual Report on Form 10-K, we do not have any off-balance sheet arrangements.</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7A. Quantitative and Qualitative Disclosures About Market Risk.</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Interest Rate Risk</w:t>
      </w:r>
    </w:p>
    <w:p>
      <w:pPr>
        <w:spacing w:after="0" w:line="78" w:lineRule="exact"/>
        <w:rPr>
          <w:sz w:val="20"/>
          <w:szCs w:val="20"/>
          <w:color w:val="auto"/>
        </w:rPr>
      </w:pPr>
    </w:p>
    <w:p>
      <w:pPr>
        <w:spacing w:after="0" w:line="327" w:lineRule="auto"/>
        <w:rPr>
          <w:sz w:val="20"/>
          <w:szCs w:val="20"/>
          <w:color w:val="auto"/>
        </w:rPr>
      </w:pPr>
      <w:r>
        <w:rPr>
          <w:rFonts w:ascii="Arial" w:cs="Arial" w:eastAsia="Arial" w:hAnsi="Arial"/>
          <w:sz w:val="10"/>
          <w:szCs w:val="10"/>
          <w:color w:val="auto"/>
        </w:rPr>
        <w:t>Our primary market risk exposure is interest rate risk with respect to our variable rate indebtedness under our Term Loan Facility. In addition, we have a variable rate Revolving Credit Facility in an aggregate principal amount of $750 million, which has $470 million of undrawn borrowing capacity as of the date of this Annual Report on Form 10-K. To manage this exposure, we have entered into interest rate swap agreements in order to mitigate the interest rate risk inherent in our variable rate Term Loan Facility. We also expect to manage our exposure to interest rate risk by maintaining a mix of fixed and variable rates for our indebtedness. The interest rate risk for variable rate debt has been mitigated through the interest rate swap agreement, and the interest rate for our remaining debt has a fixed rate, therefore a hypothetical 10% change in interest rates effective at December 31, 2017 would have no material adverse impact on Uniti’s results of operations.</w:t>
      </w:r>
    </w:p>
    <w:p>
      <w:pPr>
        <w:spacing w:after="0" w:line="94" w:lineRule="exact"/>
        <w:rPr>
          <w:sz w:val="20"/>
          <w:szCs w:val="20"/>
          <w:color w:val="auto"/>
        </w:rPr>
      </w:pPr>
    </w:p>
    <w:p>
      <w:pPr>
        <w:jc w:val="both"/>
        <w:ind w:right="60"/>
        <w:spacing w:after="0" w:line="276" w:lineRule="auto"/>
        <w:rPr>
          <w:sz w:val="20"/>
          <w:szCs w:val="20"/>
          <w:color w:val="auto"/>
        </w:rPr>
      </w:pPr>
      <w:r>
        <w:rPr>
          <w:rFonts w:ascii="Arial" w:cs="Arial" w:eastAsia="Arial" w:hAnsi="Arial"/>
          <w:sz w:val="12"/>
          <w:szCs w:val="12"/>
          <w:color w:val="auto"/>
        </w:rPr>
        <w:t>An increase in interest rates could make the financing of any acquisition by us more costly. Rising interest rates could also limit our ability to refinance our debt when it matures or cause us to pay higher interest rates upon refinancing and increase interest expense on refinanced indebtedness.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Foreign Currency Exchange Rate Fluctuation</w:t>
      </w:r>
    </w:p>
    <w:p>
      <w:pPr>
        <w:spacing w:after="0" w:line="78" w:lineRule="exact"/>
        <w:rPr>
          <w:sz w:val="20"/>
          <w:szCs w:val="20"/>
          <w:color w:val="auto"/>
        </w:rPr>
      </w:pPr>
    </w:p>
    <w:p>
      <w:pPr>
        <w:jc w:val="both"/>
        <w:ind w:right="60"/>
        <w:spacing w:after="0" w:line="298" w:lineRule="auto"/>
        <w:rPr>
          <w:sz w:val="20"/>
          <w:szCs w:val="20"/>
          <w:color w:val="auto"/>
        </w:rPr>
      </w:pPr>
      <w:r>
        <w:rPr>
          <w:rFonts w:ascii="Arial" w:cs="Arial" w:eastAsia="Arial" w:hAnsi="Arial"/>
          <w:sz w:val="11"/>
          <w:szCs w:val="11"/>
          <w:color w:val="auto"/>
        </w:rPr>
        <w:t>Approximately 1% of our revenues were denominated in foreign currencies for the year ended December 31, 2017. Cost of sales and operating costs related to these sales are largely denominated in the same respective currencies, thereby partially limiting our transaction risk exposure. A uniform 10% strengthening in the value of the U.S. dollar relative to the currencies in which our transactions are denominated would have resulted in a decrease in net loss of $0.2 million for the year ended December 31, 2017. This hypothetical calculation assumes that each exchange rate would change in the same direction relative to the U.S. dollar.</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131" w:right="219" w:bottom="1440" w:gutter="0" w:footer="0" w:header="0"/>
        </w:sectPr>
      </w:pPr>
    </w:p>
    <w:bookmarkStart w:id="46" w:name="page47"/>
    <w:bookmarkEnd w:id="46"/>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92" w:lineRule="exact"/>
        <w:rPr>
          <w:sz w:val="20"/>
          <w:szCs w:val="20"/>
          <w:color w:val="auto"/>
        </w:rPr>
      </w:pPr>
    </w:p>
    <w:p>
      <w:pPr>
        <w:jc w:val="right"/>
        <w:ind w:right="4439"/>
        <w:spacing w:after="0"/>
        <w:rPr>
          <w:sz w:val="20"/>
          <w:szCs w:val="20"/>
          <w:color w:val="auto"/>
        </w:rPr>
      </w:pPr>
      <w:r>
        <w:rPr>
          <w:rFonts w:ascii="Arial" w:cs="Arial" w:eastAsia="Arial" w:hAnsi="Arial"/>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0239"/>
          </w:cols>
          <w:pgMar w:left="220" w:top="131" w:right="1440" w:bottom="1440" w:gutter="0" w:footer="0" w:header="0"/>
        </w:sectPr>
      </w:pPr>
    </w:p>
    <w:bookmarkStart w:id="47" w:name="page48"/>
    <w:bookmarkEnd w:id="47"/>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7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8. Financial Statements and Supplementary Data.</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1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640" w:type="dxa"/>
            <w:vAlign w:val="bottom"/>
            <w:gridSpan w:val="2"/>
          </w:tcPr>
          <w:p>
            <w:pPr>
              <w:jc w:val="center"/>
              <w:ind w:right="3800"/>
              <w:spacing w:after="0"/>
              <w:rPr>
                <w:sz w:val="20"/>
                <w:szCs w:val="20"/>
                <w:color w:val="auto"/>
              </w:rPr>
            </w:pPr>
            <w:r>
              <w:rPr>
                <w:rFonts w:ascii="Arial" w:cs="Arial" w:eastAsia="Arial" w:hAnsi="Arial"/>
                <w:sz w:val="12"/>
                <w:szCs w:val="12"/>
                <w:b w:val="1"/>
                <w:bCs w:val="1"/>
                <w:color w:val="auto"/>
                <w:w w:val="95"/>
              </w:rPr>
              <w:t>Uniti Group Inc.</w:t>
            </w:r>
          </w:p>
        </w:tc>
        <w:tc>
          <w:tcPr>
            <w:tcW w:w="20" w:type="dxa"/>
            <w:vAlign w:val="bottom"/>
          </w:tcPr>
          <w:p>
            <w:pPr>
              <w:spacing w:after="0"/>
              <w:rPr>
                <w:sz w:val="12"/>
                <w:szCs w:val="12"/>
                <w:color w:val="auto"/>
              </w:rPr>
            </w:pPr>
          </w:p>
        </w:tc>
      </w:tr>
      <w:tr>
        <w:trPr>
          <w:trHeight w:val="144"/>
        </w:trPr>
        <w:tc>
          <w:tcPr>
            <w:tcW w:w="1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640" w:type="dxa"/>
            <w:vAlign w:val="bottom"/>
            <w:gridSpan w:val="2"/>
          </w:tcPr>
          <w:p>
            <w:pPr>
              <w:jc w:val="center"/>
              <w:ind w:right="3800"/>
              <w:spacing w:after="0"/>
              <w:rPr>
                <w:sz w:val="20"/>
                <w:szCs w:val="20"/>
                <w:color w:val="auto"/>
              </w:rPr>
            </w:pPr>
            <w:r>
              <w:rPr>
                <w:rFonts w:ascii="Arial" w:cs="Arial" w:eastAsia="Arial" w:hAnsi="Arial"/>
                <w:sz w:val="12"/>
                <w:szCs w:val="12"/>
                <w:b w:val="1"/>
                <w:bCs w:val="1"/>
                <w:color w:val="auto"/>
                <w:w w:val="89"/>
              </w:rPr>
              <w:t>Consolidated Financial Statements</w:t>
            </w:r>
          </w:p>
        </w:tc>
        <w:tc>
          <w:tcPr>
            <w:tcW w:w="20" w:type="dxa"/>
            <w:vAlign w:val="bottom"/>
          </w:tcPr>
          <w:p>
            <w:pPr>
              <w:spacing w:after="0"/>
              <w:rPr>
                <w:sz w:val="12"/>
                <w:szCs w:val="12"/>
                <w:color w:val="auto"/>
              </w:rPr>
            </w:pPr>
          </w:p>
        </w:tc>
      </w:tr>
      <w:tr>
        <w:trPr>
          <w:trHeight w:val="157"/>
        </w:trPr>
        <w:tc>
          <w:tcPr>
            <w:tcW w:w="1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640" w:type="dxa"/>
            <w:vAlign w:val="bottom"/>
            <w:gridSpan w:val="2"/>
          </w:tcPr>
          <w:p>
            <w:pPr>
              <w:jc w:val="center"/>
              <w:ind w:right="3800"/>
              <w:spacing w:after="0"/>
              <w:rPr>
                <w:sz w:val="20"/>
                <w:szCs w:val="20"/>
                <w:color w:val="auto"/>
              </w:rPr>
            </w:pPr>
            <w:r>
              <w:rPr>
                <w:rFonts w:ascii="Arial" w:cs="Arial" w:eastAsia="Arial" w:hAnsi="Arial"/>
                <w:sz w:val="12"/>
                <w:szCs w:val="12"/>
                <w:b w:val="1"/>
                <w:bCs w:val="1"/>
                <w:color w:val="auto"/>
                <w:w w:val="90"/>
              </w:rPr>
              <w:t>Index to Financial Statements</w:t>
            </w:r>
          </w:p>
        </w:tc>
        <w:tc>
          <w:tcPr>
            <w:tcW w:w="20" w:type="dxa"/>
            <w:vAlign w:val="bottom"/>
          </w:tcPr>
          <w:p>
            <w:pPr>
              <w:spacing w:after="0"/>
              <w:rPr>
                <w:sz w:val="13"/>
                <w:szCs w:val="13"/>
                <w:color w:val="auto"/>
              </w:rPr>
            </w:pPr>
          </w:p>
        </w:tc>
      </w:tr>
      <w:tr>
        <w:trPr>
          <w:trHeight w:val="297"/>
        </w:trPr>
        <w:tc>
          <w:tcPr>
            <w:tcW w:w="1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660" w:type="dxa"/>
            <w:vAlign w:val="bottom"/>
          </w:tcPr>
          <w:p>
            <w:pPr>
              <w:spacing w:after="0"/>
              <w:rPr>
                <w:sz w:val="24"/>
                <w:szCs w:val="24"/>
                <w:color w:val="auto"/>
              </w:rPr>
            </w:pPr>
          </w:p>
        </w:tc>
        <w:tc>
          <w:tcPr>
            <w:tcW w:w="980" w:type="dxa"/>
            <w:vAlign w:val="bottom"/>
            <w:tcBorders>
              <w:bottom w:val="single" w:sz="8" w:color="auto"/>
            </w:tcBorders>
          </w:tcPr>
          <w:p>
            <w:pPr>
              <w:jc w:val="right"/>
              <w:ind w:right="320"/>
              <w:spacing w:after="0"/>
              <w:rPr>
                <w:sz w:val="20"/>
                <w:szCs w:val="20"/>
                <w:color w:val="auto"/>
              </w:rPr>
            </w:pPr>
            <w:r>
              <w:rPr>
                <w:rFonts w:ascii="Arial" w:cs="Arial" w:eastAsia="Arial" w:hAnsi="Arial"/>
                <w:sz w:val="12"/>
                <w:szCs w:val="12"/>
                <w:color w:val="auto"/>
              </w:rPr>
              <w:t>Page</w:t>
            </w:r>
          </w:p>
        </w:tc>
        <w:tc>
          <w:tcPr>
            <w:tcW w:w="20" w:type="dxa"/>
            <w:vAlign w:val="bottom"/>
          </w:tcPr>
          <w:p>
            <w:pPr>
              <w:spacing w:after="0"/>
              <w:rPr>
                <w:sz w:val="24"/>
                <w:szCs w:val="24"/>
                <w:color w:val="auto"/>
              </w:rPr>
            </w:pPr>
          </w:p>
        </w:tc>
      </w:tr>
      <w:tr>
        <w:trPr>
          <w:trHeight w:val="115"/>
        </w:trPr>
        <w:tc>
          <w:tcPr>
            <w:tcW w:w="3840" w:type="dxa"/>
            <w:vAlign w:val="bottom"/>
            <w:gridSpan w:val="9"/>
          </w:tcPr>
          <w:p>
            <w:pPr>
              <w:spacing w:after="0" w:line="115" w:lineRule="exact"/>
              <w:rPr>
                <w:rFonts w:ascii="Arial" w:cs="Arial" w:eastAsia="Arial" w:hAnsi="Arial"/>
                <w:sz w:val="12"/>
                <w:szCs w:val="12"/>
                <w:color w:val="0000EE"/>
              </w:rPr>
            </w:pPr>
            <w:hyperlink w:anchor="page49">
              <w:r>
                <w:rPr>
                  <w:rFonts w:ascii="Arial" w:cs="Arial" w:eastAsia="Arial" w:hAnsi="Arial"/>
                  <w:sz w:val="12"/>
                  <w:szCs w:val="12"/>
                  <w:color w:val="0000EE"/>
                </w:rPr>
                <w:t>Report of Independent Registered Public Accounting Firm</w:t>
              </w:r>
            </w:hyperlink>
          </w:p>
        </w:tc>
        <w:tc>
          <w:tcPr>
            <w:tcW w:w="7640" w:type="dxa"/>
            <w:vAlign w:val="bottom"/>
            <w:gridSpan w:val="2"/>
          </w:tcPr>
          <w:p>
            <w:pPr>
              <w:jc w:val="right"/>
              <w:spacing w:after="0" w:line="115" w:lineRule="exact"/>
              <w:rPr>
                <w:sz w:val="20"/>
                <w:szCs w:val="20"/>
                <w:color w:val="auto"/>
              </w:rPr>
            </w:pPr>
            <w:r>
              <w:rPr>
                <w:rFonts w:ascii="Arial" w:cs="Arial" w:eastAsia="Arial" w:hAnsi="Arial"/>
                <w:sz w:val="12"/>
                <w:szCs w:val="12"/>
                <w:color w:val="auto"/>
              </w:rPr>
              <w:t>49</w:t>
            </w:r>
          </w:p>
        </w:tc>
        <w:tc>
          <w:tcPr>
            <w:tcW w:w="20" w:type="dxa"/>
            <w:vAlign w:val="bottom"/>
          </w:tcPr>
          <w:p>
            <w:pPr>
              <w:spacing w:after="0"/>
              <w:rPr>
                <w:sz w:val="10"/>
                <w:szCs w:val="10"/>
                <w:color w:val="auto"/>
              </w:rPr>
            </w:pPr>
          </w:p>
        </w:tc>
      </w:tr>
      <w:tr>
        <w:trPr>
          <w:trHeight w:val="313"/>
        </w:trPr>
        <w:tc>
          <w:tcPr>
            <w:tcW w:w="2800" w:type="dxa"/>
            <w:vAlign w:val="bottom"/>
            <w:tcBorders>
              <w:top w:val="single" w:sz="8" w:color="0000EE"/>
            </w:tcBorders>
            <w:gridSpan w:val="7"/>
          </w:tcPr>
          <w:p>
            <w:pPr>
              <w:spacing w:after="0"/>
              <w:rPr>
                <w:sz w:val="20"/>
                <w:szCs w:val="20"/>
                <w:color w:val="auto"/>
              </w:rPr>
            </w:pPr>
            <w:r>
              <w:rPr>
                <w:rFonts w:ascii="Arial" w:cs="Arial" w:eastAsia="Arial" w:hAnsi="Arial"/>
                <w:sz w:val="12"/>
                <w:szCs w:val="12"/>
                <w:b w:val="1"/>
                <w:bCs w:val="1"/>
                <w:color w:val="auto"/>
              </w:rPr>
              <w:t>Uniti Group Inc.</w:t>
            </w:r>
          </w:p>
        </w:tc>
        <w:tc>
          <w:tcPr>
            <w:tcW w:w="1040" w:type="dxa"/>
            <w:vAlign w:val="bottom"/>
            <w:gridSpan w:val="2"/>
          </w:tcPr>
          <w:p>
            <w:pPr>
              <w:spacing w:after="0"/>
              <w:rPr>
                <w:sz w:val="24"/>
                <w:szCs w:val="24"/>
                <w:color w:val="auto"/>
              </w:rPr>
            </w:pPr>
          </w:p>
        </w:tc>
        <w:tc>
          <w:tcPr>
            <w:tcW w:w="66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26"/>
        </w:trPr>
        <w:tc>
          <w:tcPr>
            <w:tcW w:w="3840" w:type="dxa"/>
            <w:vAlign w:val="bottom"/>
            <w:gridSpan w:val="9"/>
          </w:tcPr>
          <w:p>
            <w:pPr>
              <w:spacing w:after="0" w:line="126" w:lineRule="exact"/>
              <w:rPr>
                <w:rFonts w:ascii="Arial" w:cs="Arial" w:eastAsia="Arial" w:hAnsi="Arial"/>
                <w:sz w:val="12"/>
                <w:szCs w:val="12"/>
                <w:color w:val="0000EE"/>
              </w:rPr>
            </w:pPr>
            <w:hyperlink w:anchor="page51">
              <w:r>
                <w:rPr>
                  <w:rFonts w:ascii="Arial" w:cs="Arial" w:eastAsia="Arial" w:hAnsi="Arial"/>
                  <w:sz w:val="12"/>
                  <w:szCs w:val="12"/>
                  <w:color w:val="0000EE"/>
                </w:rPr>
                <w:t>Consolidated Balance Sheets</w:t>
              </w:r>
            </w:hyperlink>
          </w:p>
        </w:tc>
        <w:tc>
          <w:tcPr>
            <w:tcW w:w="7640" w:type="dxa"/>
            <w:vAlign w:val="bottom"/>
            <w:gridSpan w:val="2"/>
          </w:tcPr>
          <w:p>
            <w:pPr>
              <w:jc w:val="right"/>
              <w:spacing w:after="0" w:line="126" w:lineRule="exact"/>
              <w:rPr>
                <w:sz w:val="20"/>
                <w:szCs w:val="20"/>
                <w:color w:val="auto"/>
              </w:rPr>
            </w:pPr>
            <w:r>
              <w:rPr>
                <w:rFonts w:ascii="Arial" w:cs="Arial" w:eastAsia="Arial" w:hAnsi="Arial"/>
                <w:sz w:val="12"/>
                <w:szCs w:val="12"/>
                <w:color w:val="auto"/>
              </w:rPr>
              <w:t>51</w:t>
            </w:r>
          </w:p>
        </w:tc>
        <w:tc>
          <w:tcPr>
            <w:tcW w:w="20" w:type="dxa"/>
            <w:vAlign w:val="bottom"/>
          </w:tcPr>
          <w:p>
            <w:pPr>
              <w:spacing w:after="0"/>
              <w:rPr>
                <w:sz w:val="10"/>
                <w:szCs w:val="10"/>
                <w:color w:val="auto"/>
              </w:rPr>
            </w:pPr>
          </w:p>
        </w:tc>
      </w:tr>
      <w:tr>
        <w:trPr>
          <w:trHeight w:val="20"/>
        </w:trPr>
        <w:tc>
          <w:tcPr>
            <w:tcW w:w="13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3"/>
        </w:trPr>
        <w:tc>
          <w:tcPr>
            <w:tcW w:w="3840" w:type="dxa"/>
            <w:vAlign w:val="bottom"/>
            <w:gridSpan w:val="9"/>
          </w:tcPr>
          <w:p>
            <w:pPr>
              <w:spacing w:after="0" w:line="133" w:lineRule="exact"/>
              <w:rPr>
                <w:rFonts w:ascii="Arial" w:cs="Arial" w:eastAsia="Arial" w:hAnsi="Arial"/>
                <w:sz w:val="12"/>
                <w:szCs w:val="12"/>
                <w:color w:val="0000EE"/>
              </w:rPr>
            </w:pPr>
            <w:hyperlink w:anchor="page52">
              <w:r>
                <w:rPr>
                  <w:rFonts w:ascii="Arial" w:cs="Arial" w:eastAsia="Arial" w:hAnsi="Arial"/>
                  <w:sz w:val="12"/>
                  <w:szCs w:val="12"/>
                  <w:color w:val="0000EE"/>
                </w:rPr>
                <w:t>Consolidated Statements of Income</w:t>
              </w:r>
            </w:hyperlink>
          </w:p>
        </w:tc>
        <w:tc>
          <w:tcPr>
            <w:tcW w:w="7640" w:type="dxa"/>
            <w:vAlign w:val="bottom"/>
            <w:gridSpan w:val="2"/>
          </w:tcPr>
          <w:p>
            <w:pPr>
              <w:jc w:val="right"/>
              <w:spacing w:after="0" w:line="133" w:lineRule="exact"/>
              <w:rPr>
                <w:sz w:val="20"/>
                <w:szCs w:val="20"/>
                <w:color w:val="auto"/>
              </w:rPr>
            </w:pPr>
            <w:r>
              <w:rPr>
                <w:rFonts w:ascii="Arial" w:cs="Arial" w:eastAsia="Arial" w:hAnsi="Arial"/>
                <w:sz w:val="12"/>
                <w:szCs w:val="12"/>
                <w:color w:val="auto"/>
              </w:rPr>
              <w:t>52</w:t>
            </w:r>
          </w:p>
        </w:tc>
        <w:tc>
          <w:tcPr>
            <w:tcW w:w="20" w:type="dxa"/>
            <w:vAlign w:val="bottom"/>
          </w:tcPr>
          <w:p>
            <w:pPr>
              <w:spacing w:after="0"/>
              <w:rPr>
                <w:sz w:val="11"/>
                <w:szCs w:val="11"/>
                <w:color w:val="auto"/>
              </w:rPr>
            </w:pPr>
          </w:p>
        </w:tc>
      </w:tr>
      <w:tr>
        <w:trPr>
          <w:trHeight w:val="20"/>
        </w:trPr>
        <w:tc>
          <w:tcPr>
            <w:tcW w:w="13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3"/>
        </w:trPr>
        <w:tc>
          <w:tcPr>
            <w:tcW w:w="3840" w:type="dxa"/>
            <w:vAlign w:val="bottom"/>
            <w:gridSpan w:val="9"/>
          </w:tcPr>
          <w:p>
            <w:pPr>
              <w:spacing w:after="0" w:line="133" w:lineRule="exact"/>
              <w:rPr>
                <w:rFonts w:ascii="Arial" w:cs="Arial" w:eastAsia="Arial" w:hAnsi="Arial"/>
                <w:sz w:val="12"/>
                <w:szCs w:val="12"/>
                <w:color w:val="0000EE"/>
              </w:rPr>
            </w:pPr>
            <w:hyperlink w:anchor="page53">
              <w:r>
                <w:rPr>
                  <w:rFonts w:ascii="Arial" w:cs="Arial" w:eastAsia="Arial" w:hAnsi="Arial"/>
                  <w:sz w:val="12"/>
                  <w:szCs w:val="12"/>
                  <w:color w:val="0000EE"/>
                </w:rPr>
                <w:t>Consolidated Statements of Comprehensive Income (Loss)</w:t>
              </w:r>
            </w:hyperlink>
          </w:p>
        </w:tc>
        <w:tc>
          <w:tcPr>
            <w:tcW w:w="7640" w:type="dxa"/>
            <w:vAlign w:val="bottom"/>
            <w:gridSpan w:val="2"/>
          </w:tcPr>
          <w:p>
            <w:pPr>
              <w:jc w:val="right"/>
              <w:spacing w:after="0" w:line="133" w:lineRule="exact"/>
              <w:rPr>
                <w:sz w:val="20"/>
                <w:szCs w:val="20"/>
                <w:color w:val="auto"/>
              </w:rPr>
            </w:pPr>
            <w:r>
              <w:rPr>
                <w:rFonts w:ascii="Arial" w:cs="Arial" w:eastAsia="Arial" w:hAnsi="Arial"/>
                <w:sz w:val="12"/>
                <w:szCs w:val="12"/>
                <w:color w:val="auto"/>
              </w:rPr>
              <w:t>53</w:t>
            </w:r>
          </w:p>
        </w:tc>
        <w:tc>
          <w:tcPr>
            <w:tcW w:w="20" w:type="dxa"/>
            <w:vAlign w:val="bottom"/>
          </w:tcPr>
          <w:p>
            <w:pPr>
              <w:spacing w:after="0"/>
              <w:rPr>
                <w:sz w:val="11"/>
                <w:szCs w:val="11"/>
                <w:color w:val="auto"/>
              </w:rPr>
            </w:pPr>
          </w:p>
        </w:tc>
      </w:tr>
      <w:tr>
        <w:trPr>
          <w:trHeight w:val="133"/>
        </w:trPr>
        <w:tc>
          <w:tcPr>
            <w:tcW w:w="2380" w:type="dxa"/>
            <w:vAlign w:val="bottom"/>
            <w:tcBorders>
              <w:top w:val="single" w:sz="8" w:color="0000EE"/>
              <w:bottom w:val="single" w:sz="8" w:color="0000EE"/>
            </w:tcBorders>
            <w:gridSpan w:val="6"/>
          </w:tcPr>
          <w:p>
            <w:pPr>
              <w:spacing w:after="0" w:line="133" w:lineRule="exact"/>
              <w:rPr>
                <w:rFonts w:ascii="Arial" w:cs="Arial" w:eastAsia="Arial" w:hAnsi="Arial"/>
                <w:sz w:val="12"/>
                <w:szCs w:val="12"/>
                <w:color w:val="0000EE"/>
                <w:w w:val="90"/>
              </w:rPr>
            </w:pPr>
            <w:hyperlink w:anchor="page54">
              <w:r>
                <w:rPr>
                  <w:rFonts w:ascii="Arial" w:cs="Arial" w:eastAsia="Arial" w:hAnsi="Arial"/>
                  <w:sz w:val="12"/>
                  <w:szCs w:val="12"/>
                  <w:color w:val="0000EE"/>
                  <w:w w:val="90"/>
                </w:rPr>
                <w:t>Consolidated Statements of Shareholders’ Deficit</w:t>
              </w:r>
            </w:hyperlink>
          </w:p>
        </w:tc>
        <w:tc>
          <w:tcPr>
            <w:tcW w:w="440" w:type="dxa"/>
            <w:vAlign w:val="bottom"/>
            <w:tcBorders>
              <w:top w:val="single" w:sz="8" w:color="0000EE"/>
            </w:tcBorders>
            <w:gridSpan w:val="2"/>
          </w:tcPr>
          <w:p>
            <w:pPr>
              <w:spacing w:after="0"/>
              <w:rPr>
                <w:sz w:val="11"/>
                <w:szCs w:val="11"/>
                <w:color w:val="auto"/>
              </w:rPr>
            </w:pPr>
          </w:p>
        </w:tc>
        <w:tc>
          <w:tcPr>
            <w:tcW w:w="1020" w:type="dxa"/>
            <w:vAlign w:val="bottom"/>
          </w:tcPr>
          <w:p>
            <w:pPr>
              <w:spacing w:after="0"/>
              <w:rPr>
                <w:sz w:val="11"/>
                <w:szCs w:val="11"/>
                <w:color w:val="auto"/>
              </w:rPr>
            </w:pPr>
          </w:p>
        </w:tc>
        <w:tc>
          <w:tcPr>
            <w:tcW w:w="7640" w:type="dxa"/>
            <w:vAlign w:val="bottom"/>
            <w:gridSpan w:val="2"/>
          </w:tcPr>
          <w:p>
            <w:pPr>
              <w:jc w:val="right"/>
              <w:spacing w:after="0" w:line="133" w:lineRule="exact"/>
              <w:rPr>
                <w:sz w:val="20"/>
                <w:szCs w:val="20"/>
                <w:color w:val="auto"/>
              </w:rPr>
            </w:pPr>
            <w:r>
              <w:rPr>
                <w:rFonts w:ascii="Arial" w:cs="Arial" w:eastAsia="Arial" w:hAnsi="Arial"/>
                <w:sz w:val="12"/>
                <w:szCs w:val="12"/>
                <w:color w:val="auto"/>
              </w:rPr>
              <w:t>54</w:t>
            </w:r>
          </w:p>
        </w:tc>
        <w:tc>
          <w:tcPr>
            <w:tcW w:w="20" w:type="dxa"/>
            <w:vAlign w:val="bottom"/>
          </w:tcPr>
          <w:p>
            <w:pPr>
              <w:spacing w:after="0"/>
              <w:rPr>
                <w:sz w:val="11"/>
                <w:szCs w:val="11"/>
                <w:color w:val="auto"/>
              </w:rPr>
            </w:pPr>
          </w:p>
        </w:tc>
      </w:tr>
      <w:tr>
        <w:trPr>
          <w:trHeight w:val="133"/>
        </w:trPr>
        <w:tc>
          <w:tcPr>
            <w:tcW w:w="3840" w:type="dxa"/>
            <w:vAlign w:val="bottom"/>
            <w:gridSpan w:val="9"/>
          </w:tcPr>
          <w:p>
            <w:pPr>
              <w:spacing w:after="0" w:line="133" w:lineRule="exact"/>
              <w:rPr>
                <w:rFonts w:ascii="Arial" w:cs="Arial" w:eastAsia="Arial" w:hAnsi="Arial"/>
                <w:sz w:val="12"/>
                <w:szCs w:val="12"/>
                <w:color w:val="0000EE"/>
              </w:rPr>
            </w:pPr>
            <w:hyperlink w:anchor="page56">
              <w:r>
                <w:rPr>
                  <w:rFonts w:ascii="Arial" w:cs="Arial" w:eastAsia="Arial" w:hAnsi="Arial"/>
                  <w:sz w:val="12"/>
                  <w:szCs w:val="12"/>
                  <w:color w:val="0000EE"/>
                </w:rPr>
                <w:t>Consolidated Statements of Cash Flows</w:t>
              </w:r>
            </w:hyperlink>
          </w:p>
        </w:tc>
        <w:tc>
          <w:tcPr>
            <w:tcW w:w="7640" w:type="dxa"/>
            <w:vAlign w:val="bottom"/>
            <w:gridSpan w:val="2"/>
          </w:tcPr>
          <w:p>
            <w:pPr>
              <w:jc w:val="right"/>
              <w:spacing w:after="0" w:line="133" w:lineRule="exact"/>
              <w:rPr>
                <w:sz w:val="20"/>
                <w:szCs w:val="20"/>
                <w:color w:val="auto"/>
              </w:rPr>
            </w:pPr>
            <w:r>
              <w:rPr>
                <w:rFonts w:ascii="Arial" w:cs="Arial" w:eastAsia="Arial" w:hAnsi="Arial"/>
                <w:sz w:val="12"/>
                <w:szCs w:val="12"/>
                <w:color w:val="auto"/>
              </w:rPr>
              <w:t>56</w:t>
            </w:r>
          </w:p>
        </w:tc>
        <w:tc>
          <w:tcPr>
            <w:tcW w:w="20" w:type="dxa"/>
            <w:vAlign w:val="bottom"/>
          </w:tcPr>
          <w:p>
            <w:pPr>
              <w:spacing w:after="0"/>
              <w:rPr>
                <w:sz w:val="11"/>
                <w:szCs w:val="11"/>
                <w:color w:val="auto"/>
              </w:rPr>
            </w:pPr>
          </w:p>
        </w:tc>
      </w:tr>
      <w:tr>
        <w:trPr>
          <w:trHeight w:val="20"/>
        </w:trPr>
        <w:tc>
          <w:tcPr>
            <w:tcW w:w="138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7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3"/>
        </w:trPr>
        <w:tc>
          <w:tcPr>
            <w:tcW w:w="2100" w:type="dxa"/>
            <w:vAlign w:val="bottom"/>
            <w:tcBorders>
              <w:bottom w:val="single" w:sz="8" w:color="0000EE"/>
            </w:tcBorders>
            <w:gridSpan w:val="4"/>
          </w:tcPr>
          <w:p>
            <w:pPr>
              <w:spacing w:after="0" w:line="133" w:lineRule="exact"/>
              <w:rPr>
                <w:rFonts w:ascii="Arial" w:cs="Arial" w:eastAsia="Arial" w:hAnsi="Arial"/>
                <w:sz w:val="12"/>
                <w:szCs w:val="12"/>
                <w:color w:val="0000EE"/>
                <w:w w:val="89"/>
              </w:rPr>
            </w:pPr>
            <w:hyperlink w:anchor="page58">
              <w:r>
                <w:rPr>
                  <w:rFonts w:ascii="Arial" w:cs="Arial" w:eastAsia="Arial" w:hAnsi="Arial"/>
                  <w:sz w:val="12"/>
                  <w:szCs w:val="12"/>
                  <w:color w:val="0000EE"/>
                  <w:w w:val="89"/>
                </w:rPr>
                <w:t>Notes to Consolidated Financial Statements</w:t>
              </w:r>
            </w:hyperlink>
          </w:p>
        </w:tc>
        <w:tc>
          <w:tcPr>
            <w:tcW w:w="1740" w:type="dxa"/>
            <w:vAlign w:val="bottom"/>
            <w:gridSpan w:val="5"/>
          </w:tcPr>
          <w:p>
            <w:pPr>
              <w:spacing w:after="0"/>
              <w:rPr>
                <w:sz w:val="11"/>
                <w:szCs w:val="11"/>
                <w:color w:val="auto"/>
              </w:rPr>
            </w:pPr>
          </w:p>
        </w:tc>
        <w:tc>
          <w:tcPr>
            <w:tcW w:w="7640" w:type="dxa"/>
            <w:vAlign w:val="bottom"/>
            <w:gridSpan w:val="2"/>
          </w:tcPr>
          <w:p>
            <w:pPr>
              <w:jc w:val="right"/>
              <w:spacing w:after="0" w:line="133" w:lineRule="exact"/>
              <w:rPr>
                <w:sz w:val="20"/>
                <w:szCs w:val="20"/>
                <w:color w:val="auto"/>
              </w:rPr>
            </w:pPr>
            <w:r>
              <w:rPr>
                <w:rFonts w:ascii="Arial" w:cs="Arial" w:eastAsia="Arial" w:hAnsi="Arial"/>
                <w:sz w:val="12"/>
                <w:szCs w:val="12"/>
                <w:color w:val="auto"/>
              </w:rPr>
              <w:t>58</w:t>
            </w:r>
          </w:p>
        </w:tc>
        <w:tc>
          <w:tcPr>
            <w:tcW w:w="20" w:type="dxa"/>
            <w:vAlign w:val="bottom"/>
          </w:tcPr>
          <w:p>
            <w:pPr>
              <w:spacing w:after="0"/>
              <w:rPr>
                <w:sz w:val="11"/>
                <w:szCs w:val="11"/>
                <w:color w:val="auto"/>
              </w:rPr>
            </w:pPr>
          </w:p>
        </w:tc>
      </w:tr>
      <w:tr>
        <w:trPr>
          <w:trHeight w:val="313"/>
        </w:trPr>
        <w:tc>
          <w:tcPr>
            <w:tcW w:w="3840" w:type="dxa"/>
            <w:vAlign w:val="bottom"/>
            <w:gridSpan w:val="9"/>
          </w:tcPr>
          <w:p>
            <w:pPr>
              <w:spacing w:after="0"/>
              <w:rPr>
                <w:sz w:val="20"/>
                <w:szCs w:val="20"/>
                <w:color w:val="auto"/>
              </w:rPr>
            </w:pPr>
            <w:r>
              <w:rPr>
                <w:rFonts w:ascii="Arial" w:cs="Arial" w:eastAsia="Arial" w:hAnsi="Arial"/>
                <w:sz w:val="12"/>
                <w:szCs w:val="12"/>
                <w:b w:val="1"/>
                <w:bCs w:val="1"/>
                <w:color w:val="auto"/>
              </w:rPr>
              <w:t>CLEC Business</w:t>
            </w:r>
          </w:p>
        </w:tc>
        <w:tc>
          <w:tcPr>
            <w:tcW w:w="66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26"/>
        </w:trPr>
        <w:tc>
          <w:tcPr>
            <w:tcW w:w="3840" w:type="dxa"/>
            <w:vAlign w:val="bottom"/>
            <w:gridSpan w:val="9"/>
          </w:tcPr>
          <w:p>
            <w:pPr>
              <w:spacing w:after="0" w:line="126" w:lineRule="exact"/>
              <w:rPr>
                <w:rFonts w:ascii="Arial" w:cs="Arial" w:eastAsia="Arial" w:hAnsi="Arial"/>
                <w:sz w:val="12"/>
                <w:szCs w:val="12"/>
                <w:color w:val="0000EE"/>
              </w:rPr>
            </w:pPr>
            <w:hyperlink w:anchor="page95">
              <w:r>
                <w:rPr>
                  <w:rFonts w:ascii="Arial" w:cs="Arial" w:eastAsia="Arial" w:hAnsi="Arial"/>
                  <w:sz w:val="12"/>
                  <w:szCs w:val="12"/>
                  <w:color w:val="0000EE"/>
                </w:rPr>
                <w:t>Report of Independent Registered Public Accounting Firm</w:t>
              </w:r>
            </w:hyperlink>
          </w:p>
        </w:tc>
        <w:tc>
          <w:tcPr>
            <w:tcW w:w="7640" w:type="dxa"/>
            <w:vAlign w:val="bottom"/>
            <w:gridSpan w:val="2"/>
          </w:tcPr>
          <w:p>
            <w:pPr>
              <w:jc w:val="right"/>
              <w:spacing w:after="0" w:line="126" w:lineRule="exact"/>
              <w:rPr>
                <w:sz w:val="20"/>
                <w:szCs w:val="20"/>
                <w:color w:val="auto"/>
              </w:rPr>
            </w:pPr>
            <w:r>
              <w:rPr>
                <w:rFonts w:ascii="Arial" w:cs="Arial" w:eastAsia="Arial" w:hAnsi="Arial"/>
                <w:sz w:val="12"/>
                <w:szCs w:val="12"/>
                <w:color w:val="auto"/>
              </w:rPr>
              <w:t>95</w:t>
            </w:r>
          </w:p>
        </w:tc>
        <w:tc>
          <w:tcPr>
            <w:tcW w:w="20" w:type="dxa"/>
            <w:vAlign w:val="bottom"/>
          </w:tcPr>
          <w:p>
            <w:pPr>
              <w:spacing w:after="0"/>
              <w:rPr>
                <w:sz w:val="10"/>
                <w:szCs w:val="10"/>
                <w:color w:val="auto"/>
              </w:rPr>
            </w:pPr>
          </w:p>
        </w:tc>
      </w:tr>
      <w:tr>
        <w:trPr>
          <w:trHeight w:val="133"/>
        </w:trPr>
        <w:tc>
          <w:tcPr>
            <w:tcW w:w="2120" w:type="dxa"/>
            <w:vAlign w:val="bottom"/>
            <w:tcBorders>
              <w:top w:val="single" w:sz="8" w:color="0000EE"/>
              <w:bottom w:val="single" w:sz="8" w:color="0000EE"/>
            </w:tcBorders>
            <w:gridSpan w:val="5"/>
          </w:tcPr>
          <w:p>
            <w:pPr>
              <w:spacing w:after="0" w:line="133" w:lineRule="exact"/>
              <w:rPr>
                <w:rFonts w:ascii="Arial" w:cs="Arial" w:eastAsia="Arial" w:hAnsi="Arial"/>
                <w:sz w:val="12"/>
                <w:szCs w:val="12"/>
                <w:color w:val="0000EE"/>
                <w:w w:val="87"/>
              </w:rPr>
            </w:pPr>
            <w:hyperlink w:anchor="page96">
              <w:r>
                <w:rPr>
                  <w:rFonts w:ascii="Arial" w:cs="Arial" w:eastAsia="Arial" w:hAnsi="Arial"/>
                  <w:sz w:val="12"/>
                  <w:szCs w:val="12"/>
                  <w:color w:val="0000EE"/>
                  <w:w w:val="87"/>
                </w:rPr>
                <w:t>Statement of Revenues and Direct Expenses</w:t>
              </w:r>
            </w:hyperlink>
          </w:p>
        </w:tc>
        <w:tc>
          <w:tcPr>
            <w:tcW w:w="680" w:type="dxa"/>
            <w:vAlign w:val="bottom"/>
            <w:tcBorders>
              <w:top w:val="single" w:sz="8" w:color="0000EE"/>
            </w:tcBorders>
            <w:gridSpan w:val="2"/>
          </w:tcPr>
          <w:p>
            <w:pPr>
              <w:spacing w:after="0"/>
              <w:rPr>
                <w:sz w:val="11"/>
                <w:szCs w:val="11"/>
                <w:color w:val="auto"/>
              </w:rPr>
            </w:pPr>
          </w:p>
        </w:tc>
        <w:tc>
          <w:tcPr>
            <w:tcW w:w="1040" w:type="dxa"/>
            <w:vAlign w:val="bottom"/>
            <w:gridSpan w:val="2"/>
          </w:tcPr>
          <w:p>
            <w:pPr>
              <w:spacing w:after="0"/>
              <w:rPr>
                <w:sz w:val="11"/>
                <w:szCs w:val="11"/>
                <w:color w:val="auto"/>
              </w:rPr>
            </w:pPr>
          </w:p>
        </w:tc>
        <w:tc>
          <w:tcPr>
            <w:tcW w:w="7640" w:type="dxa"/>
            <w:vAlign w:val="bottom"/>
            <w:gridSpan w:val="2"/>
          </w:tcPr>
          <w:p>
            <w:pPr>
              <w:jc w:val="right"/>
              <w:spacing w:after="0" w:line="133" w:lineRule="exact"/>
              <w:rPr>
                <w:sz w:val="20"/>
                <w:szCs w:val="20"/>
                <w:color w:val="auto"/>
              </w:rPr>
            </w:pPr>
            <w:r>
              <w:rPr>
                <w:rFonts w:ascii="Arial" w:cs="Arial" w:eastAsia="Arial" w:hAnsi="Arial"/>
                <w:sz w:val="12"/>
                <w:szCs w:val="12"/>
                <w:color w:val="auto"/>
              </w:rPr>
              <w:t>96</w:t>
            </w:r>
          </w:p>
        </w:tc>
        <w:tc>
          <w:tcPr>
            <w:tcW w:w="20" w:type="dxa"/>
            <w:vAlign w:val="bottom"/>
          </w:tcPr>
          <w:p>
            <w:pPr>
              <w:spacing w:after="0"/>
              <w:rPr>
                <w:sz w:val="11"/>
                <w:szCs w:val="11"/>
                <w:color w:val="auto"/>
              </w:rPr>
            </w:pPr>
          </w:p>
        </w:tc>
      </w:tr>
      <w:tr>
        <w:trPr>
          <w:trHeight w:val="133"/>
        </w:trPr>
        <w:tc>
          <w:tcPr>
            <w:tcW w:w="3840" w:type="dxa"/>
            <w:vAlign w:val="bottom"/>
            <w:gridSpan w:val="9"/>
          </w:tcPr>
          <w:p>
            <w:pPr>
              <w:spacing w:after="0" w:line="133" w:lineRule="exact"/>
              <w:rPr>
                <w:rFonts w:ascii="Arial" w:cs="Arial" w:eastAsia="Arial" w:hAnsi="Arial"/>
                <w:sz w:val="12"/>
                <w:szCs w:val="12"/>
                <w:color w:val="0000EE"/>
              </w:rPr>
            </w:pPr>
            <w:hyperlink w:anchor="page97">
              <w:r>
                <w:rPr>
                  <w:rFonts w:ascii="Arial" w:cs="Arial" w:eastAsia="Arial" w:hAnsi="Arial"/>
                  <w:sz w:val="12"/>
                  <w:szCs w:val="12"/>
                  <w:color w:val="0000EE"/>
                </w:rPr>
                <w:t>Notes to Financial Statement</w:t>
              </w:r>
            </w:hyperlink>
          </w:p>
        </w:tc>
        <w:tc>
          <w:tcPr>
            <w:tcW w:w="7640" w:type="dxa"/>
            <w:vAlign w:val="bottom"/>
            <w:gridSpan w:val="2"/>
          </w:tcPr>
          <w:p>
            <w:pPr>
              <w:jc w:val="right"/>
              <w:spacing w:after="0" w:line="133" w:lineRule="exact"/>
              <w:rPr>
                <w:sz w:val="20"/>
                <w:szCs w:val="20"/>
                <w:color w:val="auto"/>
              </w:rPr>
            </w:pPr>
            <w:r>
              <w:rPr>
                <w:rFonts w:ascii="Arial" w:cs="Arial" w:eastAsia="Arial" w:hAnsi="Arial"/>
                <w:sz w:val="12"/>
                <w:szCs w:val="12"/>
                <w:color w:val="auto"/>
              </w:rPr>
              <w:t>97</w:t>
            </w:r>
          </w:p>
        </w:tc>
        <w:tc>
          <w:tcPr>
            <w:tcW w:w="20" w:type="dxa"/>
            <w:vAlign w:val="bottom"/>
          </w:tcPr>
          <w:p>
            <w:pPr>
              <w:spacing w:after="0"/>
              <w:rPr>
                <w:sz w:val="11"/>
                <w:szCs w:val="11"/>
                <w:color w:val="auto"/>
              </w:rPr>
            </w:pPr>
          </w:p>
        </w:tc>
      </w:tr>
      <w:tr>
        <w:trPr>
          <w:trHeight w:val="737"/>
        </w:trPr>
        <w:tc>
          <w:tcPr>
            <w:tcW w:w="138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660" w:type="dxa"/>
            <w:vAlign w:val="bottom"/>
          </w:tcPr>
          <w:p>
            <w:pPr>
              <w:jc w:val="center"/>
              <w:ind w:right="2800"/>
              <w:spacing w:after="0"/>
              <w:rPr>
                <w:sz w:val="20"/>
                <w:szCs w:val="20"/>
                <w:color w:val="auto"/>
              </w:rPr>
            </w:pPr>
            <w:r>
              <w:rPr>
                <w:rFonts w:ascii="Arial" w:cs="Arial" w:eastAsia="Arial" w:hAnsi="Arial"/>
                <w:sz w:val="12"/>
                <w:szCs w:val="12"/>
                <w:color w:val="auto"/>
                <w:w w:val="89"/>
              </w:rPr>
              <w:t>48</w:t>
            </w: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2"/>
        </w:trPr>
        <w:tc>
          <w:tcPr>
            <w:tcW w:w="138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4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666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7280275</wp:posOffset>
            </wp:positionH>
            <wp:positionV relativeFrom="paragraph">
              <wp:posOffset>-23495</wp:posOffset>
            </wp:positionV>
            <wp:extent cx="31115" cy="368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0"/>
          </w:cols>
          <w:pgMar w:left="220" w:top="131" w:right="179" w:bottom="1440" w:gutter="0" w:footer="0" w:header="0"/>
        </w:sectPr>
      </w:pPr>
    </w:p>
    <w:bookmarkStart w:id="48" w:name="page49"/>
    <w:bookmarkEnd w:id="48"/>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74"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Report of Independent Registered Public Accounting Firm</w:t>
      </w:r>
    </w:p>
    <w:p>
      <w:pPr>
        <w:spacing w:after="0" w:line="316" w:lineRule="exact"/>
        <w:rPr>
          <w:sz w:val="20"/>
          <w:szCs w:val="20"/>
          <w:color w:val="auto"/>
        </w:rPr>
      </w:pPr>
    </w:p>
    <w:p>
      <w:pPr>
        <w:spacing w:after="0"/>
        <w:rPr>
          <w:sz w:val="20"/>
          <w:szCs w:val="20"/>
          <w:color w:val="auto"/>
        </w:rPr>
      </w:pPr>
      <w:r>
        <w:rPr>
          <w:rFonts w:ascii="Arial" w:cs="Arial" w:eastAsia="Arial" w:hAnsi="Arial"/>
          <w:sz w:val="12"/>
          <w:szCs w:val="12"/>
          <w:color w:val="auto"/>
        </w:rPr>
        <w:t>To the Board of Directors and Shareholders of Uniti Group Inc.</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Opinions on the Financial Statements and Internal Control over Financial Reporting</w:t>
      </w:r>
    </w:p>
    <w:p>
      <w:pPr>
        <w:spacing w:after="0" w:line="150" w:lineRule="exact"/>
        <w:rPr>
          <w:sz w:val="20"/>
          <w:szCs w:val="20"/>
          <w:color w:val="auto"/>
        </w:rPr>
      </w:pPr>
    </w:p>
    <w:p>
      <w:pPr>
        <w:jc w:val="both"/>
        <w:ind w:right="180"/>
        <w:spacing w:after="0" w:line="290" w:lineRule="auto"/>
        <w:rPr>
          <w:sz w:val="20"/>
          <w:szCs w:val="20"/>
          <w:color w:val="auto"/>
        </w:rPr>
      </w:pPr>
      <w:r>
        <w:rPr>
          <w:rFonts w:ascii="Arial" w:cs="Arial" w:eastAsia="Arial" w:hAnsi="Arial"/>
          <w:sz w:val="11"/>
          <w:szCs w:val="11"/>
          <w:color w:val="auto"/>
        </w:rPr>
        <w:t xml:space="preserve">We have audited the accompanying consolidated balance sheets of Uniti Group Inc. and its subsidiaries as of December 31, 2017 and 2016, and the related consolidated statements of income, comprehensive income (loss), shareholders’ deficit and cash flows for each of the years in the period ended December 31, 2017 and 2016 and for the period from April 24, 2015 through December 31, 2015, including the related notes and financial statement schedules listed in the index appearing under Item 15 (collectively referred to as the “consolidated financial statements”). We also have audited the Company's internal control over financial reporting as of December 31, 2017, based on criteria established in </w:t>
      </w:r>
      <w:r>
        <w:rPr>
          <w:rFonts w:ascii="Arial" w:cs="Arial" w:eastAsia="Arial" w:hAnsi="Arial"/>
          <w:sz w:val="11"/>
          <w:szCs w:val="11"/>
          <w:i w:val="1"/>
          <w:iCs w:val="1"/>
          <w:color w:val="auto"/>
        </w:rPr>
        <w:t xml:space="preserve">Internal Control - Integrated Framework </w:t>
      </w:r>
      <w:r>
        <w:rPr>
          <w:rFonts w:ascii="Arial" w:cs="Arial" w:eastAsia="Arial" w:hAnsi="Arial"/>
          <w:sz w:val="11"/>
          <w:szCs w:val="11"/>
          <w:color w:val="auto"/>
        </w:rPr>
        <w:t>(2013) issued by the Committee of Sponsoring Organizations of the Treadway Commission (COSO).</w:t>
      </w:r>
    </w:p>
    <w:p>
      <w:pPr>
        <w:spacing w:after="0" w:line="109" w:lineRule="exact"/>
        <w:rPr>
          <w:sz w:val="20"/>
          <w:szCs w:val="20"/>
          <w:color w:val="auto"/>
        </w:rPr>
      </w:pPr>
    </w:p>
    <w:p>
      <w:pPr>
        <w:ind w:right="40"/>
        <w:spacing w:after="0" w:line="259" w:lineRule="auto"/>
        <w:rPr>
          <w:sz w:val="20"/>
          <w:szCs w:val="20"/>
          <w:color w:val="auto"/>
        </w:rPr>
      </w:pPr>
      <w:r>
        <w:rPr>
          <w:rFonts w:ascii="Arial" w:cs="Arial" w:eastAsia="Arial" w:hAnsi="Arial"/>
          <w:sz w:val="12"/>
          <w:szCs w:val="12"/>
          <w:color w:val="auto"/>
        </w:rPr>
        <w:t xml:space="preserve">In our opinion, the consolidated financial statements referred to above present fairly, in all material respects, the financial position of the Company as of December 31, 2017 and 2016, and the results of their operations and their cash flows for each of the years in the period ended December 31, 2017 and 2016 and for the period from April 24, 2015 through December 31, 2015 in conformity with accounting principles generally accepted in the United States of America. Also in our opinion, the Company maintained, in all material respects, effective internal control over financial reporting as of December 31, 2017, based on criteria established in </w:t>
      </w:r>
      <w:r>
        <w:rPr>
          <w:rFonts w:ascii="Arial" w:cs="Arial" w:eastAsia="Arial" w:hAnsi="Arial"/>
          <w:sz w:val="12"/>
          <w:szCs w:val="12"/>
          <w:i w:val="1"/>
          <w:iCs w:val="1"/>
          <w:color w:val="auto"/>
        </w:rPr>
        <w:t>Internal Control - Integrated Framework</w:t>
      </w:r>
      <w:r>
        <w:rPr>
          <w:rFonts w:ascii="Arial" w:cs="Arial" w:eastAsia="Arial" w:hAnsi="Arial"/>
          <w:sz w:val="12"/>
          <w:szCs w:val="12"/>
          <w:color w:val="auto"/>
        </w:rPr>
        <w:t xml:space="preserve"> (2013) issued by the COSO.</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Basis for Opinions</w:t>
      </w:r>
    </w:p>
    <w:p>
      <w:pPr>
        <w:spacing w:after="0" w:line="150" w:lineRule="exact"/>
        <w:rPr>
          <w:sz w:val="20"/>
          <w:szCs w:val="20"/>
          <w:color w:val="auto"/>
        </w:rPr>
      </w:pPr>
    </w:p>
    <w:p>
      <w:pPr>
        <w:ind w:right="180"/>
        <w:spacing w:after="0" w:line="290" w:lineRule="auto"/>
        <w:rPr>
          <w:sz w:val="20"/>
          <w:szCs w:val="20"/>
          <w:color w:val="auto"/>
        </w:rPr>
      </w:pPr>
      <w:r>
        <w:rPr>
          <w:rFonts w:ascii="Arial" w:cs="Arial" w:eastAsia="Arial" w:hAnsi="Arial"/>
          <w:sz w:val="11"/>
          <w:szCs w:val="11"/>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Annual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09"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15" w:lineRule="exact"/>
        <w:rPr>
          <w:sz w:val="20"/>
          <w:szCs w:val="20"/>
          <w:color w:val="auto"/>
        </w:rPr>
      </w:pPr>
    </w:p>
    <w:p>
      <w:pPr>
        <w:spacing w:after="0" w:line="286" w:lineRule="auto"/>
        <w:rPr>
          <w:sz w:val="20"/>
          <w:szCs w:val="20"/>
          <w:color w:val="auto"/>
        </w:rPr>
      </w:pPr>
      <w:r>
        <w:rPr>
          <w:rFonts w:ascii="Arial" w:cs="Arial" w:eastAsia="Arial" w:hAnsi="Arial"/>
          <w:sz w:val="11"/>
          <w:szCs w:val="11"/>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11" w:lineRule="exact"/>
        <w:rPr>
          <w:sz w:val="20"/>
          <w:szCs w:val="20"/>
          <w:color w:val="auto"/>
        </w:rPr>
      </w:pPr>
    </w:p>
    <w:p>
      <w:pPr>
        <w:ind w:right="40"/>
        <w:spacing w:after="0" w:line="263" w:lineRule="auto"/>
        <w:rPr>
          <w:sz w:val="20"/>
          <w:szCs w:val="20"/>
          <w:color w:val="auto"/>
        </w:rPr>
      </w:pPr>
      <w:r>
        <w:rPr>
          <w:rFonts w:ascii="Arial" w:cs="Arial" w:eastAsia="Arial" w:hAnsi="Arial"/>
          <w:sz w:val="12"/>
          <w:szCs w:val="12"/>
          <w:color w:val="auto"/>
        </w:rPr>
        <w:t>As described in Management’s Annual Report on Internal Control over Financial Reporting, management has excluded Southern Light, LLC and Hunt Telecommunications, LLC from its assessment of internal control over financial reporting as of December 31, 2017 because they were acquired by the Company in purchase business combinations during 2017. We have also excluded Southern Light, LLC and Hunt Telecommunications, LLC from our audit of internal control over financial reporting. Southern Light, LLC and Hunt Telecommunications, LLC are</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131" w:right="219" w:bottom="1440" w:gutter="0" w:footer="0" w:header="0"/>
        </w:sectPr>
      </w:pPr>
    </w:p>
    <w:bookmarkStart w:id="49" w:name="page50"/>
    <w:bookmarkEnd w:id="49"/>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78"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color w:val="auto"/>
        </w:rPr>
        <w:t>wholly-owned subsidiaries whose total assets and total revenues excluded from management’s assessment and our audit of internal control over financial reporting represent 11.0% and 3.5% of total assets, respectively and 5.0% and 1.8% of total revenue, respectively, of the related consolidated financial statement amounts as of and for the year ended December 31, 2017.</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Definition and Limitations of Internal Control over Financial Reporting</w:t>
      </w:r>
    </w:p>
    <w:p>
      <w:pPr>
        <w:spacing w:after="0" w:line="150" w:lineRule="exact"/>
        <w:rPr>
          <w:sz w:val="20"/>
          <w:szCs w:val="20"/>
          <w:color w:val="auto"/>
        </w:rPr>
      </w:pPr>
    </w:p>
    <w:p>
      <w:pPr>
        <w:spacing w:after="0" w:line="286" w:lineRule="auto"/>
        <w:rPr>
          <w:sz w:val="20"/>
          <w:szCs w:val="20"/>
          <w:color w:val="auto"/>
        </w:rPr>
      </w:pPr>
      <w:r>
        <w:rPr>
          <w:rFonts w:ascii="Arial" w:cs="Arial" w:eastAsia="Arial" w:hAnsi="Arial"/>
          <w:sz w:val="11"/>
          <w:szCs w:val="11"/>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11" w:lineRule="exact"/>
        <w:rPr>
          <w:sz w:val="20"/>
          <w:szCs w:val="20"/>
          <w:color w:val="auto"/>
        </w:rPr>
      </w:pPr>
    </w:p>
    <w:p>
      <w:pPr>
        <w:ind w:right="160"/>
        <w:spacing w:after="0" w:line="276" w:lineRule="auto"/>
        <w:rPr>
          <w:sz w:val="20"/>
          <w:szCs w:val="20"/>
          <w:color w:val="auto"/>
        </w:rPr>
      </w:pPr>
      <w:r>
        <w:rPr>
          <w:rFonts w:ascii="Arial" w:cs="Arial" w:eastAsia="Arial" w:hAnsi="Arial"/>
          <w:sz w:val="12"/>
          <w:szCs w:val="12"/>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2"/>
          <w:szCs w:val="12"/>
          <w:color w:val="auto"/>
        </w:rPr>
        <w:t>/s/ PricewaterhouseCoopers LLP</w:t>
      </w:r>
    </w:p>
    <w:p>
      <w:pPr>
        <w:spacing w:after="0" w:line="294" w:lineRule="exact"/>
        <w:rPr>
          <w:sz w:val="20"/>
          <w:szCs w:val="20"/>
          <w:color w:val="auto"/>
        </w:rPr>
      </w:pPr>
    </w:p>
    <w:p>
      <w:pPr>
        <w:spacing w:after="0"/>
        <w:rPr>
          <w:sz w:val="20"/>
          <w:szCs w:val="20"/>
          <w:color w:val="auto"/>
        </w:rPr>
      </w:pPr>
      <w:r>
        <w:rPr>
          <w:rFonts w:ascii="Arial" w:cs="Arial" w:eastAsia="Arial" w:hAnsi="Arial"/>
          <w:sz w:val="12"/>
          <w:szCs w:val="12"/>
          <w:color w:val="auto"/>
        </w:rPr>
        <w:t>Little Rock, Arkansas</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March 1, 2018</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We have served as the Company’s auditor since 2014.</w:t>
      </w: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20"/>
          </w:cols>
          <w:pgMar w:left="220" w:top="131" w:right="259" w:bottom="1440" w:gutter="0" w:footer="0" w:header="0"/>
        </w:sectPr>
      </w:pPr>
    </w:p>
    <w:bookmarkStart w:id="50" w:name="page51"/>
    <w:bookmarkEnd w:id="50"/>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7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Uniti Group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Consolidated Balance Sheets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560" w:type="dxa"/>
            <w:vAlign w:val="bottom"/>
            <w:gridSpan w:val="2"/>
          </w:tcPr>
          <w:p>
            <w:pPr>
              <w:spacing w:after="0"/>
              <w:rPr>
                <w:sz w:val="20"/>
                <w:szCs w:val="20"/>
                <w:color w:val="auto"/>
              </w:rPr>
            </w:pPr>
            <w:r>
              <w:rPr>
                <w:rFonts w:ascii="Arial" w:cs="Arial" w:eastAsia="Arial" w:hAnsi="Arial"/>
                <w:sz w:val="10"/>
                <w:szCs w:val="10"/>
                <w:color w:val="auto"/>
              </w:rPr>
              <w:t>(Thousands, except par value)</w:t>
            </w: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700" w:type="dxa"/>
            <w:vAlign w:val="bottom"/>
            <w:gridSpan w:val="2"/>
          </w:tcPr>
          <w:p>
            <w:pPr>
              <w:jc w:val="right"/>
              <w:ind w:right="740"/>
              <w:spacing w:after="0"/>
              <w:rPr>
                <w:sz w:val="20"/>
                <w:szCs w:val="20"/>
                <w:color w:val="auto"/>
              </w:rPr>
            </w:pPr>
            <w:r>
              <w:rPr>
                <w:rFonts w:ascii="Arial" w:cs="Arial" w:eastAsia="Arial" w:hAnsi="Arial"/>
                <w:sz w:val="10"/>
                <w:szCs w:val="10"/>
                <w:b w:val="1"/>
                <w:bCs w:val="1"/>
                <w:color w:val="auto"/>
              </w:rPr>
              <w:t>December 31, 2017</w:t>
            </w:r>
          </w:p>
        </w:tc>
        <w:tc>
          <w:tcPr>
            <w:tcW w:w="260" w:type="dxa"/>
            <w:vAlign w:val="bottom"/>
          </w:tcPr>
          <w:p>
            <w:pPr>
              <w:spacing w:after="0"/>
              <w:rPr>
                <w:sz w:val="10"/>
                <w:szCs w:val="10"/>
                <w:color w:val="auto"/>
              </w:rPr>
            </w:pPr>
          </w:p>
        </w:tc>
        <w:tc>
          <w:tcPr>
            <w:tcW w:w="1520" w:type="dxa"/>
            <w:vAlign w:val="bottom"/>
            <w:gridSpan w:val="2"/>
          </w:tcPr>
          <w:p>
            <w:pPr>
              <w:jc w:val="right"/>
              <w:ind w:right="560"/>
              <w:spacing w:after="0"/>
              <w:rPr>
                <w:sz w:val="20"/>
                <w:szCs w:val="20"/>
                <w:color w:val="auto"/>
              </w:rPr>
            </w:pPr>
            <w:r>
              <w:rPr>
                <w:rFonts w:ascii="Arial" w:cs="Arial" w:eastAsia="Arial" w:hAnsi="Arial"/>
                <w:sz w:val="10"/>
                <w:szCs w:val="10"/>
                <w:b w:val="1"/>
                <w:bCs w:val="1"/>
                <w:color w:val="auto"/>
              </w:rPr>
              <w:t>December 31, 2016</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5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2"/>
                <w:szCs w:val="12"/>
                <w:b w:val="1"/>
                <w:bCs w:val="1"/>
                <w:color w:val="auto"/>
              </w:rPr>
              <w:t>Assets:</w:t>
            </w:r>
          </w:p>
        </w:tc>
        <w:tc>
          <w:tcPr>
            <w:tcW w:w="180" w:type="dxa"/>
            <w:vAlign w:val="bottom"/>
            <w:tcBorders>
              <w:top w:val="single" w:sz="8" w:color="CFF0FC"/>
            </w:tcBorders>
            <w:shd w:val="clear" w:color="auto" w:fill="CFF0FC"/>
          </w:tcPr>
          <w:p>
            <w:pPr>
              <w:spacing w:after="0"/>
              <w:rPr>
                <w:sz w:val="13"/>
                <w:szCs w:val="13"/>
                <w:color w:val="auto"/>
              </w:rPr>
            </w:pPr>
          </w:p>
        </w:tc>
        <w:tc>
          <w:tcPr>
            <w:tcW w:w="260" w:type="dxa"/>
            <w:vAlign w:val="bottom"/>
            <w:tcBorders>
              <w:top w:val="single" w:sz="8" w:color="auto"/>
            </w:tcBorders>
            <w:shd w:val="clear" w:color="auto" w:fill="CFF0FC"/>
          </w:tcPr>
          <w:p>
            <w:pPr>
              <w:spacing w:after="0"/>
              <w:rPr>
                <w:sz w:val="13"/>
                <w:szCs w:val="13"/>
                <w:color w:val="auto"/>
              </w:rPr>
            </w:pPr>
          </w:p>
        </w:tc>
        <w:tc>
          <w:tcPr>
            <w:tcW w:w="1420" w:type="dxa"/>
            <w:vAlign w:val="bottom"/>
            <w:tcBorders>
              <w:top w:val="single" w:sz="8" w:color="auto"/>
            </w:tcBorders>
            <w:shd w:val="clear" w:color="auto" w:fill="CFF0FC"/>
          </w:tcPr>
          <w:p>
            <w:pPr>
              <w:spacing w:after="0"/>
              <w:rPr>
                <w:sz w:val="13"/>
                <w:szCs w:val="13"/>
                <w:color w:val="auto"/>
              </w:rPr>
            </w:pPr>
          </w:p>
        </w:tc>
        <w:tc>
          <w:tcPr>
            <w:tcW w:w="280" w:type="dxa"/>
            <w:vAlign w:val="bottom"/>
            <w:tcBorders>
              <w:top w:val="single" w:sz="8" w:color="CFF0FC"/>
            </w:tcBorders>
            <w:shd w:val="clear" w:color="auto" w:fill="CFF0FC"/>
          </w:tcPr>
          <w:p>
            <w:pPr>
              <w:spacing w:after="0"/>
              <w:rPr>
                <w:sz w:val="13"/>
                <w:szCs w:val="13"/>
                <w:color w:val="auto"/>
              </w:rPr>
            </w:pPr>
          </w:p>
        </w:tc>
        <w:tc>
          <w:tcPr>
            <w:tcW w:w="260" w:type="dxa"/>
            <w:vAlign w:val="bottom"/>
            <w:tcBorders>
              <w:top w:val="single" w:sz="8" w:color="auto"/>
            </w:tcBorders>
            <w:shd w:val="clear" w:color="auto" w:fill="CFF0FC"/>
          </w:tcPr>
          <w:p>
            <w:pPr>
              <w:spacing w:after="0"/>
              <w:rPr>
                <w:sz w:val="13"/>
                <w:szCs w:val="13"/>
                <w:color w:val="auto"/>
              </w:rPr>
            </w:pPr>
          </w:p>
        </w:tc>
        <w:tc>
          <w:tcPr>
            <w:tcW w:w="140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540" w:type="dxa"/>
            <w:vAlign w:val="bottom"/>
          </w:tcPr>
          <w:p>
            <w:pPr>
              <w:ind w:left="140"/>
              <w:spacing w:after="0"/>
              <w:rPr>
                <w:sz w:val="20"/>
                <w:szCs w:val="20"/>
                <w:color w:val="auto"/>
              </w:rPr>
            </w:pPr>
            <w:r>
              <w:rPr>
                <w:rFonts w:ascii="Arial" w:cs="Arial" w:eastAsia="Arial" w:hAnsi="Arial"/>
                <w:sz w:val="12"/>
                <w:szCs w:val="12"/>
                <w:color w:val="auto"/>
              </w:rPr>
              <w:t>Property, plant and equipment, net</w:t>
            </w:r>
          </w:p>
        </w:tc>
        <w:tc>
          <w:tcPr>
            <w:tcW w:w="440" w:type="dxa"/>
            <w:vAlign w:val="bottom"/>
            <w:gridSpan w:val="2"/>
          </w:tcPr>
          <w:p>
            <w:pPr>
              <w:jc w:val="right"/>
              <w:ind w:right="150"/>
              <w:spacing w:after="0"/>
              <w:rPr>
                <w:sz w:val="20"/>
                <w:szCs w:val="20"/>
                <w:color w:val="auto"/>
              </w:rPr>
            </w:pPr>
            <w:r>
              <w:rPr>
                <w:rFonts w:ascii="Arial" w:cs="Arial" w:eastAsia="Arial" w:hAnsi="Arial"/>
                <w:sz w:val="12"/>
                <w:szCs w:val="12"/>
                <w:color w:val="auto"/>
              </w:rPr>
              <w:t>$</w:t>
            </w:r>
          </w:p>
        </w:tc>
        <w:tc>
          <w:tcPr>
            <w:tcW w:w="1420" w:type="dxa"/>
            <w:vAlign w:val="bottom"/>
          </w:tcPr>
          <w:p>
            <w:pPr>
              <w:jc w:val="right"/>
              <w:spacing w:after="0"/>
              <w:rPr>
                <w:sz w:val="20"/>
                <w:szCs w:val="20"/>
                <w:color w:val="auto"/>
              </w:rPr>
            </w:pPr>
            <w:r>
              <w:rPr>
                <w:rFonts w:ascii="Arial" w:cs="Arial" w:eastAsia="Arial" w:hAnsi="Arial"/>
                <w:sz w:val="12"/>
                <w:szCs w:val="12"/>
                <w:color w:val="auto"/>
              </w:rPr>
              <w:t>3,053,889</w:t>
            </w:r>
          </w:p>
        </w:tc>
        <w:tc>
          <w:tcPr>
            <w:tcW w:w="280" w:type="dxa"/>
            <w:vAlign w:val="bottom"/>
          </w:tcPr>
          <w:p>
            <w:pPr>
              <w:spacing w:after="0"/>
              <w:rPr>
                <w:sz w:val="13"/>
                <w:szCs w:val="13"/>
                <w:color w:val="auto"/>
              </w:rPr>
            </w:pP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1400" w:type="dxa"/>
            <w:vAlign w:val="bottom"/>
          </w:tcPr>
          <w:p>
            <w:pPr>
              <w:jc w:val="right"/>
              <w:spacing w:after="0"/>
              <w:rPr>
                <w:sz w:val="20"/>
                <w:szCs w:val="20"/>
                <w:color w:val="auto"/>
              </w:rPr>
            </w:pPr>
            <w:r>
              <w:rPr>
                <w:rFonts w:ascii="Arial" w:cs="Arial" w:eastAsia="Arial" w:hAnsi="Arial"/>
                <w:sz w:val="12"/>
                <w:szCs w:val="12"/>
                <w:color w:val="auto"/>
              </w:rPr>
              <w:t>2,670,037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540" w:type="dxa"/>
            <w:vAlign w:val="bottom"/>
            <w:shd w:val="clear" w:color="auto" w:fill="CFF0FC"/>
          </w:tcPr>
          <w:p>
            <w:pPr>
              <w:ind w:left="140"/>
              <w:spacing w:after="0"/>
              <w:rPr>
                <w:sz w:val="20"/>
                <w:szCs w:val="20"/>
                <w:color w:val="auto"/>
              </w:rPr>
            </w:pPr>
            <w:r>
              <w:rPr>
                <w:rFonts w:ascii="Arial" w:cs="Arial" w:eastAsia="Arial" w:hAnsi="Arial"/>
                <w:sz w:val="12"/>
                <w:szCs w:val="12"/>
                <w:color w:val="auto"/>
              </w:rPr>
              <w:t>Cash and cash equivalents</w:t>
            </w:r>
          </w:p>
        </w:tc>
        <w:tc>
          <w:tcPr>
            <w:tcW w:w="1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59,765</w:t>
            </w: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171,754</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540" w:type="dxa"/>
            <w:vAlign w:val="bottom"/>
          </w:tcPr>
          <w:p>
            <w:pPr>
              <w:ind w:left="140"/>
              <w:spacing w:after="0"/>
              <w:rPr>
                <w:sz w:val="20"/>
                <w:szCs w:val="20"/>
                <w:color w:val="auto"/>
              </w:rPr>
            </w:pPr>
            <w:r>
              <w:rPr>
                <w:rFonts w:ascii="Arial" w:cs="Arial" w:eastAsia="Arial" w:hAnsi="Arial"/>
                <w:sz w:val="12"/>
                <w:szCs w:val="12"/>
                <w:color w:val="auto"/>
              </w:rPr>
              <w:t>Accounts receivable, net</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43,652</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15,281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540" w:type="dxa"/>
            <w:vAlign w:val="bottom"/>
            <w:shd w:val="clear" w:color="auto" w:fill="CFF0FC"/>
          </w:tcPr>
          <w:p>
            <w:pPr>
              <w:ind w:left="140"/>
              <w:spacing w:after="0"/>
              <w:rPr>
                <w:sz w:val="20"/>
                <w:szCs w:val="20"/>
                <w:color w:val="auto"/>
              </w:rPr>
            </w:pPr>
            <w:r>
              <w:rPr>
                <w:rFonts w:ascii="Arial" w:cs="Arial" w:eastAsia="Arial" w:hAnsi="Arial"/>
                <w:sz w:val="12"/>
                <w:szCs w:val="12"/>
                <w:color w:val="auto"/>
              </w:rPr>
              <w:t>Goodwill</w:t>
            </w:r>
          </w:p>
        </w:tc>
        <w:tc>
          <w:tcPr>
            <w:tcW w:w="1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673,729</w:t>
            </w: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262,334</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540" w:type="dxa"/>
            <w:vAlign w:val="bottom"/>
          </w:tcPr>
          <w:p>
            <w:pPr>
              <w:ind w:left="140"/>
              <w:spacing w:after="0"/>
              <w:rPr>
                <w:sz w:val="20"/>
                <w:szCs w:val="20"/>
                <w:color w:val="auto"/>
              </w:rPr>
            </w:pPr>
            <w:r>
              <w:rPr>
                <w:rFonts w:ascii="Arial" w:cs="Arial" w:eastAsia="Arial" w:hAnsi="Arial"/>
                <w:sz w:val="12"/>
                <w:szCs w:val="12"/>
                <w:color w:val="auto"/>
              </w:rPr>
              <w:t>Intangible assets, net</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429,357</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160,584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540" w:type="dxa"/>
            <w:vAlign w:val="bottom"/>
            <w:shd w:val="clear" w:color="auto" w:fill="CFF0FC"/>
          </w:tcPr>
          <w:p>
            <w:pPr>
              <w:ind w:left="140"/>
              <w:spacing w:after="0"/>
              <w:rPr>
                <w:sz w:val="20"/>
                <w:szCs w:val="20"/>
                <w:color w:val="auto"/>
              </w:rPr>
            </w:pPr>
            <w:r>
              <w:rPr>
                <w:rFonts w:ascii="Arial" w:cs="Arial" w:eastAsia="Arial" w:hAnsi="Arial"/>
                <w:sz w:val="12"/>
                <w:szCs w:val="12"/>
                <w:color w:val="auto"/>
              </w:rPr>
              <w:t>Straight-line revenue receivable</w:t>
            </w:r>
          </w:p>
        </w:tc>
        <w:tc>
          <w:tcPr>
            <w:tcW w:w="1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47,041</w:t>
            </w: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29,088</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540" w:type="dxa"/>
            <w:vAlign w:val="bottom"/>
          </w:tcPr>
          <w:p>
            <w:pPr>
              <w:ind w:left="140"/>
              <w:spacing w:after="0"/>
              <w:rPr>
                <w:sz w:val="20"/>
                <w:szCs w:val="20"/>
                <w:color w:val="auto"/>
              </w:rPr>
            </w:pPr>
            <w:r>
              <w:rPr>
                <w:rFonts w:ascii="Arial" w:cs="Arial" w:eastAsia="Arial" w:hAnsi="Arial"/>
                <w:sz w:val="12"/>
                <w:szCs w:val="12"/>
                <w:color w:val="auto"/>
              </w:rPr>
              <w:t>Derivative asset</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6,793</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540" w:type="dxa"/>
            <w:vAlign w:val="bottom"/>
            <w:shd w:val="clear" w:color="auto" w:fill="CFF0FC"/>
          </w:tcPr>
          <w:p>
            <w:pPr>
              <w:ind w:left="140"/>
              <w:spacing w:after="0"/>
              <w:rPr>
                <w:sz w:val="20"/>
                <w:szCs w:val="20"/>
                <w:color w:val="auto"/>
              </w:rPr>
            </w:pPr>
            <w:r>
              <w:rPr>
                <w:rFonts w:ascii="Arial" w:cs="Arial" w:eastAsia="Arial" w:hAnsi="Arial"/>
                <w:sz w:val="12"/>
                <w:szCs w:val="12"/>
                <w:color w:val="auto"/>
              </w:rPr>
              <w:t>Other assets</w:t>
            </w:r>
          </w:p>
        </w:tc>
        <w:tc>
          <w:tcPr>
            <w:tcW w:w="180" w:type="dxa"/>
            <w:vAlign w:val="bottom"/>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15,856</w:t>
            </w:r>
          </w:p>
        </w:tc>
        <w:tc>
          <w:tcPr>
            <w:tcW w:w="280" w:type="dxa"/>
            <w:vAlign w:val="bottom"/>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9,674</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560" w:type="dxa"/>
            <w:vAlign w:val="bottom"/>
            <w:gridSpan w:val="2"/>
          </w:tcPr>
          <w:p>
            <w:pPr>
              <w:spacing w:after="0"/>
              <w:rPr>
                <w:sz w:val="20"/>
                <w:szCs w:val="20"/>
                <w:color w:val="auto"/>
              </w:rPr>
            </w:pPr>
            <w:r>
              <w:rPr>
                <w:rFonts w:ascii="Arial" w:cs="Arial" w:eastAsia="Arial" w:hAnsi="Arial"/>
                <w:sz w:val="12"/>
                <w:szCs w:val="12"/>
                <w:b w:val="1"/>
                <w:bCs w:val="1"/>
                <w:color w:val="auto"/>
              </w:rPr>
              <w:t>Total Assets</w:t>
            </w:r>
          </w:p>
        </w:tc>
        <w:tc>
          <w:tcPr>
            <w:tcW w:w="440" w:type="dxa"/>
            <w:vAlign w:val="bottom"/>
            <w:gridSpan w:val="2"/>
          </w:tcPr>
          <w:p>
            <w:pPr>
              <w:jc w:val="right"/>
              <w:ind w:right="150"/>
              <w:spacing w:after="0"/>
              <w:rPr>
                <w:sz w:val="20"/>
                <w:szCs w:val="20"/>
                <w:color w:val="auto"/>
              </w:rPr>
            </w:pPr>
            <w:r>
              <w:rPr>
                <w:rFonts w:ascii="Arial" w:cs="Arial" w:eastAsia="Arial" w:hAnsi="Arial"/>
                <w:sz w:val="12"/>
                <w:szCs w:val="12"/>
                <w:color w:val="auto"/>
              </w:rPr>
              <w:t>$</w:t>
            </w:r>
          </w:p>
        </w:tc>
        <w:tc>
          <w:tcPr>
            <w:tcW w:w="1420" w:type="dxa"/>
            <w:vAlign w:val="bottom"/>
          </w:tcPr>
          <w:p>
            <w:pPr>
              <w:jc w:val="right"/>
              <w:spacing w:after="0"/>
              <w:rPr>
                <w:sz w:val="20"/>
                <w:szCs w:val="20"/>
                <w:color w:val="auto"/>
              </w:rPr>
            </w:pPr>
            <w:r>
              <w:rPr>
                <w:rFonts w:ascii="Arial" w:cs="Arial" w:eastAsia="Arial" w:hAnsi="Arial"/>
                <w:sz w:val="12"/>
                <w:szCs w:val="12"/>
                <w:color w:val="auto"/>
              </w:rPr>
              <w:t>4,330,082</w:t>
            </w:r>
          </w:p>
        </w:tc>
        <w:tc>
          <w:tcPr>
            <w:tcW w:w="280" w:type="dxa"/>
            <w:vAlign w:val="bottom"/>
          </w:tcPr>
          <w:p>
            <w:pPr>
              <w:spacing w:after="0"/>
              <w:rPr>
                <w:sz w:val="12"/>
                <w:szCs w:val="12"/>
                <w:color w:val="auto"/>
              </w:rPr>
            </w:pP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1400" w:type="dxa"/>
            <w:vAlign w:val="bottom"/>
          </w:tcPr>
          <w:p>
            <w:pPr>
              <w:jc w:val="right"/>
              <w:spacing w:after="0"/>
              <w:rPr>
                <w:sz w:val="20"/>
                <w:szCs w:val="20"/>
                <w:color w:val="auto"/>
              </w:rPr>
            </w:pPr>
            <w:r>
              <w:rPr>
                <w:rFonts w:ascii="Arial" w:cs="Arial" w:eastAsia="Arial" w:hAnsi="Arial"/>
                <w:sz w:val="12"/>
                <w:szCs w:val="12"/>
                <w:color w:val="auto"/>
              </w:rPr>
              <w:t>3,318,752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7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2"/>
                <w:szCs w:val="12"/>
                <w:b w:val="1"/>
                <w:bCs w:val="1"/>
                <w:color w:val="auto"/>
              </w:rPr>
              <w:t>Liabilities, Convertible Preferred Stock and Shareholders' Deficit:</w:t>
            </w:r>
          </w:p>
        </w:tc>
        <w:tc>
          <w:tcPr>
            <w:tcW w:w="180" w:type="dxa"/>
            <w:vAlign w:val="bottom"/>
            <w:tcBorders>
              <w:top w:val="single" w:sz="8" w:color="CFF0FC"/>
            </w:tcBorders>
            <w:shd w:val="clear" w:color="auto" w:fill="CFF0FC"/>
          </w:tcPr>
          <w:p>
            <w:pPr>
              <w:spacing w:after="0"/>
              <w:rPr>
                <w:sz w:val="24"/>
                <w:szCs w:val="24"/>
                <w:color w:val="auto"/>
              </w:rPr>
            </w:pPr>
          </w:p>
        </w:tc>
        <w:tc>
          <w:tcPr>
            <w:tcW w:w="260" w:type="dxa"/>
            <w:vAlign w:val="bottom"/>
            <w:tcBorders>
              <w:top w:val="single" w:sz="8" w:color="auto"/>
            </w:tcBorders>
            <w:shd w:val="clear" w:color="auto" w:fill="CFF0FC"/>
          </w:tcPr>
          <w:p>
            <w:pPr>
              <w:spacing w:after="0"/>
              <w:rPr>
                <w:sz w:val="24"/>
                <w:szCs w:val="24"/>
                <w:color w:val="auto"/>
              </w:rPr>
            </w:pPr>
          </w:p>
        </w:tc>
        <w:tc>
          <w:tcPr>
            <w:tcW w:w="1420" w:type="dxa"/>
            <w:vAlign w:val="bottom"/>
            <w:tcBorders>
              <w:top w:val="single" w:sz="8" w:color="auto"/>
            </w:tcBorders>
            <w:shd w:val="clear" w:color="auto" w:fill="CFF0FC"/>
          </w:tcPr>
          <w:p>
            <w:pPr>
              <w:spacing w:after="0"/>
              <w:rPr>
                <w:sz w:val="24"/>
                <w:szCs w:val="24"/>
                <w:color w:val="auto"/>
              </w:rPr>
            </w:pPr>
          </w:p>
        </w:tc>
        <w:tc>
          <w:tcPr>
            <w:tcW w:w="280" w:type="dxa"/>
            <w:vAlign w:val="bottom"/>
            <w:tcBorders>
              <w:top w:val="single" w:sz="8" w:color="CFF0FC"/>
            </w:tcBorders>
            <w:shd w:val="clear" w:color="auto" w:fill="CFF0FC"/>
          </w:tcPr>
          <w:p>
            <w:pPr>
              <w:spacing w:after="0"/>
              <w:rPr>
                <w:sz w:val="24"/>
                <w:szCs w:val="24"/>
                <w:color w:val="auto"/>
              </w:rPr>
            </w:pPr>
          </w:p>
        </w:tc>
        <w:tc>
          <w:tcPr>
            <w:tcW w:w="260" w:type="dxa"/>
            <w:vAlign w:val="bottom"/>
            <w:tcBorders>
              <w:top w:val="single" w:sz="8" w:color="auto"/>
            </w:tcBorders>
            <w:shd w:val="clear" w:color="auto" w:fill="CFF0FC"/>
          </w:tcPr>
          <w:p>
            <w:pPr>
              <w:spacing w:after="0"/>
              <w:rPr>
                <w:sz w:val="24"/>
                <w:szCs w:val="24"/>
                <w:color w:val="auto"/>
              </w:rPr>
            </w:pPr>
          </w:p>
        </w:tc>
        <w:tc>
          <w:tcPr>
            <w:tcW w:w="1400" w:type="dxa"/>
            <w:vAlign w:val="bottom"/>
            <w:tcBorders>
              <w:top w:val="single" w:sz="8" w:color="auto"/>
            </w:tcBorders>
            <w:shd w:val="clear" w:color="auto" w:fill="CFF0FC"/>
          </w:tcPr>
          <w:p>
            <w:pPr>
              <w:spacing w:after="0"/>
              <w:rPr>
                <w:sz w:val="24"/>
                <w:szCs w:val="24"/>
                <w:color w:val="auto"/>
              </w:rPr>
            </w:pPr>
          </w:p>
        </w:tc>
        <w:tc>
          <w:tcPr>
            <w:tcW w:w="120" w:type="dxa"/>
            <w:vAlign w:val="bottom"/>
            <w:tcBorders>
              <w:top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540" w:type="dxa"/>
            <w:vAlign w:val="bottom"/>
          </w:tcPr>
          <w:p>
            <w:pPr>
              <w:spacing w:after="0"/>
              <w:rPr>
                <w:sz w:val="20"/>
                <w:szCs w:val="20"/>
                <w:color w:val="auto"/>
              </w:rPr>
            </w:pPr>
            <w:r>
              <w:rPr>
                <w:rFonts w:ascii="Arial" w:cs="Arial" w:eastAsia="Arial" w:hAnsi="Arial"/>
                <w:sz w:val="12"/>
                <w:szCs w:val="12"/>
                <w:b w:val="1"/>
                <w:bCs w:val="1"/>
                <w:color w:val="auto"/>
              </w:rPr>
              <w:t>Liabilities:</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540" w:type="dxa"/>
            <w:vAlign w:val="bottom"/>
            <w:shd w:val="clear" w:color="auto" w:fill="CFF0FC"/>
          </w:tcPr>
          <w:p>
            <w:pPr>
              <w:ind w:left="140"/>
              <w:spacing w:after="0"/>
              <w:rPr>
                <w:sz w:val="20"/>
                <w:szCs w:val="20"/>
                <w:color w:val="auto"/>
              </w:rPr>
            </w:pPr>
            <w:r>
              <w:rPr>
                <w:rFonts w:ascii="Arial" w:cs="Arial" w:eastAsia="Arial" w:hAnsi="Arial"/>
                <w:sz w:val="12"/>
                <w:szCs w:val="12"/>
                <w:color w:val="auto"/>
              </w:rPr>
              <w:t>Accounts payable, accrued expenses and other liabilities, net</w:t>
            </w:r>
          </w:p>
        </w:tc>
        <w:tc>
          <w:tcPr>
            <w:tcW w:w="440" w:type="dxa"/>
            <w:vAlign w:val="bottom"/>
            <w:gridSpan w:val="2"/>
            <w:shd w:val="clear" w:color="auto" w:fill="CFF0FC"/>
          </w:tcPr>
          <w:p>
            <w:pPr>
              <w:jc w:val="right"/>
              <w:ind w:right="150"/>
              <w:spacing w:after="0"/>
              <w:rPr>
                <w:sz w:val="20"/>
                <w:szCs w:val="20"/>
                <w:color w:val="auto"/>
              </w:rPr>
            </w:pPr>
            <w:r>
              <w:rPr>
                <w:rFonts w:ascii="Arial" w:cs="Arial" w:eastAsia="Arial" w:hAnsi="Arial"/>
                <w:sz w:val="12"/>
                <w:szCs w:val="12"/>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77,634</w:t>
            </w: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jc w:val="right"/>
              <w:ind w:right="150"/>
              <w:spacing w:after="0"/>
              <w:rPr>
                <w:sz w:val="20"/>
                <w:szCs w:val="20"/>
                <w:color w:val="auto"/>
              </w:rPr>
            </w:pPr>
            <w:r>
              <w:rPr>
                <w:rFonts w:ascii="Arial" w:cs="Arial" w:eastAsia="Arial" w:hAnsi="Arial"/>
                <w:sz w:val="10"/>
                <w:szCs w:val="10"/>
                <w:color w:val="auto"/>
                <w:w w:val="71"/>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40,977</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540" w:type="dxa"/>
            <w:vAlign w:val="bottom"/>
          </w:tcPr>
          <w:p>
            <w:pPr>
              <w:ind w:left="140"/>
              <w:spacing w:after="0"/>
              <w:rPr>
                <w:sz w:val="20"/>
                <w:szCs w:val="20"/>
                <w:color w:val="auto"/>
              </w:rPr>
            </w:pPr>
            <w:r>
              <w:rPr>
                <w:rFonts w:ascii="Arial" w:cs="Arial" w:eastAsia="Arial" w:hAnsi="Arial"/>
                <w:sz w:val="12"/>
                <w:szCs w:val="12"/>
                <w:color w:val="auto"/>
              </w:rPr>
              <w:t>Accrued interest payable</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28,684</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27,812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540" w:type="dxa"/>
            <w:vAlign w:val="bottom"/>
            <w:shd w:val="clear" w:color="auto" w:fill="CFF0FC"/>
          </w:tcPr>
          <w:p>
            <w:pPr>
              <w:ind w:left="140"/>
              <w:spacing w:after="0"/>
              <w:rPr>
                <w:sz w:val="20"/>
                <w:szCs w:val="20"/>
                <w:color w:val="auto"/>
              </w:rPr>
            </w:pPr>
            <w:r>
              <w:rPr>
                <w:rFonts w:ascii="Arial" w:cs="Arial" w:eastAsia="Arial" w:hAnsi="Arial"/>
                <w:sz w:val="12"/>
                <w:szCs w:val="12"/>
                <w:color w:val="auto"/>
              </w:rPr>
              <w:t>Deferred revenue</w:t>
            </w:r>
          </w:p>
        </w:tc>
        <w:tc>
          <w:tcPr>
            <w:tcW w:w="1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537,553</w:t>
            </w: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261,404</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540" w:type="dxa"/>
            <w:vAlign w:val="bottom"/>
          </w:tcPr>
          <w:p>
            <w:pPr>
              <w:ind w:left="140"/>
              <w:spacing w:after="0"/>
              <w:rPr>
                <w:sz w:val="20"/>
                <w:szCs w:val="20"/>
                <w:color w:val="auto"/>
              </w:rPr>
            </w:pPr>
            <w:r>
              <w:rPr>
                <w:rFonts w:ascii="Arial" w:cs="Arial" w:eastAsia="Arial" w:hAnsi="Arial"/>
                <w:sz w:val="12"/>
                <w:szCs w:val="12"/>
                <w:color w:val="auto"/>
              </w:rPr>
              <w:t>Derivative liability</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6,102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540" w:type="dxa"/>
            <w:vAlign w:val="bottom"/>
            <w:shd w:val="clear" w:color="auto" w:fill="CFF0FC"/>
          </w:tcPr>
          <w:p>
            <w:pPr>
              <w:ind w:left="140"/>
              <w:spacing w:after="0"/>
              <w:rPr>
                <w:sz w:val="20"/>
                <w:szCs w:val="20"/>
                <w:color w:val="auto"/>
              </w:rPr>
            </w:pPr>
            <w:r>
              <w:rPr>
                <w:rFonts w:ascii="Arial" w:cs="Arial" w:eastAsia="Arial" w:hAnsi="Arial"/>
                <w:sz w:val="12"/>
                <w:szCs w:val="12"/>
                <w:color w:val="auto"/>
              </w:rPr>
              <w:t>Dividends payable</w:t>
            </w:r>
          </w:p>
        </w:tc>
        <w:tc>
          <w:tcPr>
            <w:tcW w:w="1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109,557</w:t>
            </w: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94,607</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540" w:type="dxa"/>
            <w:vAlign w:val="bottom"/>
          </w:tcPr>
          <w:p>
            <w:pPr>
              <w:ind w:left="140"/>
              <w:spacing w:after="0"/>
              <w:rPr>
                <w:sz w:val="20"/>
                <w:szCs w:val="20"/>
                <w:color w:val="auto"/>
              </w:rPr>
            </w:pPr>
            <w:r>
              <w:rPr>
                <w:rFonts w:ascii="Arial" w:cs="Arial" w:eastAsia="Arial" w:hAnsi="Arial"/>
                <w:sz w:val="12"/>
                <w:szCs w:val="12"/>
                <w:color w:val="auto"/>
              </w:rPr>
              <w:t>Deferred income taxes</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55,478</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28,394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540" w:type="dxa"/>
            <w:vAlign w:val="bottom"/>
            <w:shd w:val="clear" w:color="auto" w:fill="CFF0FC"/>
          </w:tcPr>
          <w:p>
            <w:pPr>
              <w:ind w:left="140"/>
              <w:spacing w:after="0"/>
              <w:rPr>
                <w:sz w:val="20"/>
                <w:szCs w:val="20"/>
                <w:color w:val="auto"/>
              </w:rPr>
            </w:pPr>
            <w:r>
              <w:rPr>
                <w:rFonts w:ascii="Arial" w:cs="Arial" w:eastAsia="Arial" w:hAnsi="Arial"/>
                <w:sz w:val="12"/>
                <w:szCs w:val="12"/>
                <w:color w:val="auto"/>
              </w:rPr>
              <w:t>Capital lease obligations</w:t>
            </w:r>
          </w:p>
        </w:tc>
        <w:tc>
          <w:tcPr>
            <w:tcW w:w="1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56,329</w:t>
            </w: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54,535</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540" w:type="dxa"/>
            <w:vAlign w:val="bottom"/>
          </w:tcPr>
          <w:p>
            <w:pPr>
              <w:ind w:left="140"/>
              <w:spacing w:after="0"/>
              <w:rPr>
                <w:sz w:val="20"/>
                <w:szCs w:val="20"/>
                <w:color w:val="auto"/>
              </w:rPr>
            </w:pPr>
            <w:r>
              <w:rPr>
                <w:rFonts w:ascii="Arial" w:cs="Arial" w:eastAsia="Arial" w:hAnsi="Arial"/>
                <w:sz w:val="12"/>
                <w:szCs w:val="12"/>
                <w:color w:val="auto"/>
              </w:rPr>
              <w:t>Contingent consideration</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105,762</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98,600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540" w:type="dxa"/>
            <w:vAlign w:val="bottom"/>
            <w:shd w:val="clear" w:color="auto" w:fill="CFF0FC"/>
          </w:tcPr>
          <w:p>
            <w:pPr>
              <w:ind w:left="140"/>
              <w:spacing w:after="0"/>
              <w:rPr>
                <w:sz w:val="20"/>
                <w:szCs w:val="20"/>
                <w:color w:val="auto"/>
              </w:rPr>
            </w:pPr>
            <w:r>
              <w:rPr>
                <w:rFonts w:ascii="Arial" w:cs="Arial" w:eastAsia="Arial" w:hAnsi="Arial"/>
                <w:sz w:val="12"/>
                <w:szCs w:val="12"/>
                <w:color w:val="auto"/>
              </w:rPr>
              <w:t>Notes and other debt, net</w:t>
            </w:r>
          </w:p>
        </w:tc>
        <w:tc>
          <w:tcPr>
            <w:tcW w:w="180" w:type="dxa"/>
            <w:vAlign w:val="bottom"/>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4,482,697</w:t>
            </w:r>
          </w:p>
        </w:tc>
        <w:tc>
          <w:tcPr>
            <w:tcW w:w="280" w:type="dxa"/>
            <w:vAlign w:val="bottom"/>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4,028,214</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40" w:type="dxa"/>
            <w:vAlign w:val="bottom"/>
            <w:tcBorders>
              <w:bottom w:val="single" w:sz="8" w:color="CFF0FC"/>
            </w:tcBorders>
          </w:tcPr>
          <w:p>
            <w:pPr>
              <w:ind w:left="320"/>
              <w:spacing w:after="0"/>
              <w:rPr>
                <w:sz w:val="20"/>
                <w:szCs w:val="20"/>
                <w:color w:val="auto"/>
              </w:rPr>
            </w:pPr>
            <w:r>
              <w:rPr>
                <w:rFonts w:ascii="Arial" w:cs="Arial" w:eastAsia="Arial" w:hAnsi="Arial"/>
                <w:sz w:val="12"/>
                <w:szCs w:val="12"/>
                <w:color w:val="auto"/>
              </w:rPr>
              <w:t>Total liabilities</w:t>
            </w:r>
          </w:p>
        </w:tc>
        <w:tc>
          <w:tcPr>
            <w:tcW w:w="180" w:type="dxa"/>
            <w:vAlign w:val="bottom"/>
            <w:tcBorders>
              <w:bottom w:val="single" w:sz="8" w:color="CFF0FC"/>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5,453,694</w:t>
            </w:r>
          </w:p>
        </w:tc>
        <w:tc>
          <w:tcPr>
            <w:tcW w:w="280" w:type="dxa"/>
            <w:vAlign w:val="bottom"/>
            <w:tcBorders>
              <w:bottom w:val="single" w:sz="8" w:color="CFF0FC"/>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4,640,645</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7560" w:type="dxa"/>
            <w:vAlign w:val="bottom"/>
            <w:gridSpan w:val="2"/>
          </w:tcPr>
          <w:p>
            <w:pPr>
              <w:spacing w:after="0"/>
              <w:rPr>
                <w:sz w:val="20"/>
                <w:szCs w:val="20"/>
                <w:color w:val="auto"/>
              </w:rPr>
            </w:pPr>
            <w:r>
              <w:rPr>
                <w:rFonts w:ascii="Arial" w:cs="Arial" w:eastAsia="Arial" w:hAnsi="Arial"/>
                <w:sz w:val="12"/>
                <w:szCs w:val="12"/>
                <w:color w:val="auto"/>
              </w:rPr>
              <w:t>Commitments and contingencies (Note 14)</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vMerge w:val="restart"/>
          </w:tcPr>
          <w:p>
            <w:pPr>
              <w:spacing w:after="0"/>
              <w:rPr>
                <w:sz w:val="13"/>
                <w:szCs w:val="13"/>
                <w:color w:val="auto"/>
              </w:rPr>
            </w:pPr>
          </w:p>
        </w:tc>
        <w:tc>
          <w:tcPr>
            <w:tcW w:w="75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7540" w:type="dxa"/>
            <w:vAlign w:val="bottom"/>
          </w:tcPr>
          <w:p>
            <w:pPr>
              <w:spacing w:after="0"/>
              <w:rPr>
                <w:sz w:val="20"/>
                <w:szCs w:val="20"/>
                <w:color w:val="auto"/>
              </w:rPr>
            </w:pPr>
            <w:r>
              <w:rPr>
                <w:rFonts w:ascii="Arial" w:cs="Arial" w:eastAsia="Arial" w:hAnsi="Arial"/>
                <w:sz w:val="12"/>
                <w:szCs w:val="12"/>
                <w:b w:val="1"/>
                <w:bCs w:val="1"/>
                <w:color w:val="auto"/>
              </w:rPr>
              <w:t xml:space="preserve">Convertible Preferred Stock, </w:t>
            </w:r>
            <w:r>
              <w:rPr>
                <w:rFonts w:ascii="Arial" w:cs="Arial" w:eastAsia="Arial" w:hAnsi="Arial"/>
                <w:sz w:val="12"/>
                <w:szCs w:val="12"/>
                <w:color w:val="auto"/>
              </w:rPr>
              <w:t>Series A, $0.0001 par value, 88 shares authorized, issued and outstanding, $87,500 liquidation value</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83,530</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80,552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vMerge w:val="restart"/>
          </w:tcPr>
          <w:p>
            <w:pPr>
              <w:spacing w:after="0"/>
              <w:rPr>
                <w:sz w:val="13"/>
                <w:szCs w:val="13"/>
                <w:color w:val="auto"/>
              </w:rPr>
            </w:pPr>
          </w:p>
        </w:tc>
        <w:tc>
          <w:tcPr>
            <w:tcW w:w="75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7540" w:type="dxa"/>
            <w:vAlign w:val="bottom"/>
          </w:tcPr>
          <w:p>
            <w:pPr>
              <w:spacing w:after="0"/>
              <w:rPr>
                <w:sz w:val="20"/>
                <w:szCs w:val="20"/>
                <w:color w:val="auto"/>
              </w:rPr>
            </w:pPr>
            <w:r>
              <w:rPr>
                <w:rFonts w:ascii="Arial" w:cs="Arial" w:eastAsia="Arial" w:hAnsi="Arial"/>
                <w:sz w:val="12"/>
                <w:szCs w:val="12"/>
                <w:b w:val="1"/>
                <w:bCs w:val="1"/>
                <w:color w:val="auto"/>
              </w:rPr>
              <w:t>Shareholders' Deficit:</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540" w:type="dxa"/>
            <w:vAlign w:val="bottom"/>
            <w:shd w:val="clear" w:color="auto" w:fill="CFF0FC"/>
          </w:tcPr>
          <w:p>
            <w:pPr>
              <w:ind w:left="140"/>
              <w:spacing w:after="0"/>
              <w:rPr>
                <w:sz w:val="20"/>
                <w:szCs w:val="20"/>
                <w:color w:val="auto"/>
              </w:rPr>
            </w:pPr>
            <w:r>
              <w:rPr>
                <w:rFonts w:ascii="Arial" w:cs="Arial" w:eastAsia="Arial" w:hAnsi="Arial"/>
                <w:sz w:val="12"/>
                <w:szCs w:val="12"/>
                <w:color w:val="auto"/>
              </w:rPr>
              <w:t>Preferred stock, $0.0001 par value, 50,000 shares authorized, no shares issued and outstanding</w:t>
            </w:r>
          </w:p>
        </w:tc>
        <w:tc>
          <w:tcPr>
            <w:tcW w:w="1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540" w:type="dxa"/>
            <w:vAlign w:val="bottom"/>
          </w:tcPr>
          <w:p>
            <w:pPr>
              <w:ind w:left="140"/>
              <w:spacing w:after="0"/>
              <w:rPr>
                <w:sz w:val="20"/>
                <w:szCs w:val="20"/>
                <w:color w:val="auto"/>
              </w:rPr>
            </w:pPr>
            <w:r>
              <w:rPr>
                <w:rFonts w:ascii="Arial" w:cs="Arial" w:eastAsia="Arial" w:hAnsi="Arial"/>
                <w:sz w:val="12"/>
                <w:szCs w:val="12"/>
                <w:color w:val="auto"/>
                <w:w w:val="90"/>
              </w:rPr>
              <w:t>Common stock, $0.0001 par value, 500,000 shares authorized, issued and outstanding: 174,852 shares at December 31, 2017 and 155,139 at December</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7560" w:type="dxa"/>
            <w:vAlign w:val="bottom"/>
            <w:gridSpan w:val="2"/>
          </w:tcPr>
          <w:p>
            <w:pPr>
              <w:ind w:left="160"/>
              <w:spacing w:after="0"/>
              <w:rPr>
                <w:sz w:val="20"/>
                <w:szCs w:val="20"/>
                <w:color w:val="auto"/>
              </w:rPr>
            </w:pPr>
            <w:r>
              <w:rPr>
                <w:rFonts w:ascii="Arial" w:cs="Arial" w:eastAsia="Arial" w:hAnsi="Arial"/>
                <w:sz w:val="12"/>
                <w:szCs w:val="12"/>
                <w:color w:val="auto"/>
              </w:rPr>
              <w:t>31, 2016</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17</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15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540" w:type="dxa"/>
            <w:vAlign w:val="bottom"/>
            <w:shd w:val="clear" w:color="auto" w:fill="CFF0FC"/>
          </w:tcPr>
          <w:p>
            <w:pPr>
              <w:ind w:left="140"/>
              <w:spacing w:after="0"/>
              <w:rPr>
                <w:sz w:val="20"/>
                <w:szCs w:val="20"/>
                <w:color w:val="auto"/>
              </w:rPr>
            </w:pPr>
            <w:r>
              <w:rPr>
                <w:rFonts w:ascii="Arial" w:cs="Arial" w:eastAsia="Arial" w:hAnsi="Arial"/>
                <w:sz w:val="12"/>
                <w:szCs w:val="12"/>
                <w:color w:val="auto"/>
              </w:rPr>
              <w:t>Additional paid-in capital</w:t>
            </w:r>
          </w:p>
        </w:tc>
        <w:tc>
          <w:tcPr>
            <w:tcW w:w="1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644,328</w:t>
            </w: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141,092</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540" w:type="dxa"/>
            <w:vAlign w:val="bottom"/>
          </w:tcPr>
          <w:p>
            <w:pPr>
              <w:ind w:left="140"/>
              <w:spacing w:after="0"/>
              <w:rPr>
                <w:sz w:val="20"/>
                <w:szCs w:val="20"/>
                <w:color w:val="auto"/>
              </w:rPr>
            </w:pPr>
            <w:r>
              <w:rPr>
                <w:rFonts w:ascii="Arial" w:cs="Arial" w:eastAsia="Arial" w:hAnsi="Arial"/>
                <w:sz w:val="12"/>
                <w:szCs w:val="12"/>
                <w:color w:val="auto"/>
              </w:rPr>
              <w:t>Accumulated other comprehensive income (loss)</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7,821</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2"/>
                <w:szCs w:val="12"/>
                <w:color w:val="auto"/>
              </w:rPr>
              <w:t>(6,369)</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540" w:type="dxa"/>
            <w:vAlign w:val="bottom"/>
            <w:shd w:val="clear" w:color="auto" w:fill="CFF0FC"/>
          </w:tcPr>
          <w:p>
            <w:pPr>
              <w:ind w:left="140"/>
              <w:spacing w:after="0"/>
              <w:rPr>
                <w:sz w:val="20"/>
                <w:szCs w:val="20"/>
                <w:color w:val="auto"/>
              </w:rPr>
            </w:pPr>
            <w:r>
              <w:rPr>
                <w:rFonts w:ascii="Arial" w:cs="Arial" w:eastAsia="Arial" w:hAnsi="Arial"/>
                <w:sz w:val="12"/>
                <w:szCs w:val="12"/>
                <w:color w:val="auto"/>
              </w:rPr>
              <w:t>Distributions in excess of accumulated earnings</w:t>
            </w:r>
          </w:p>
        </w:tc>
        <w:tc>
          <w:tcPr>
            <w:tcW w:w="1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7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(1,960,715)</w:t>
            </w:r>
          </w:p>
        </w:tc>
        <w:tc>
          <w:tcPr>
            <w:tcW w:w="260" w:type="dxa"/>
            <w:vAlign w:val="bottom"/>
            <w:shd w:val="clear" w:color="auto" w:fill="CFF0FC"/>
          </w:tcPr>
          <w:p>
            <w:pPr>
              <w:spacing w:after="0"/>
              <w:rPr>
                <w:sz w:val="13"/>
                <w:szCs w:val="13"/>
                <w:color w:val="auto"/>
              </w:rPr>
            </w:pPr>
          </w:p>
        </w:tc>
        <w:tc>
          <w:tcPr>
            <w:tcW w:w="15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(1,537,183)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40" w:type="dxa"/>
            <w:vAlign w:val="bottom"/>
            <w:vMerge w:val="restart"/>
          </w:tcPr>
          <w:p>
            <w:pPr>
              <w:ind w:left="140"/>
              <w:spacing w:after="0"/>
              <w:rPr>
                <w:sz w:val="20"/>
                <w:szCs w:val="20"/>
                <w:color w:val="auto"/>
              </w:rPr>
            </w:pPr>
            <w:r>
              <w:rPr>
                <w:rFonts w:ascii="Arial" w:cs="Arial" w:eastAsia="Arial" w:hAnsi="Arial"/>
                <w:sz w:val="12"/>
                <w:szCs w:val="12"/>
                <w:color w:val="auto"/>
              </w:rPr>
              <w:t>Total Uniti shareholders' deficit</w:t>
            </w: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75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00" w:type="dxa"/>
            <w:vAlign w:val="bottom"/>
            <w:gridSpan w:val="2"/>
          </w:tcPr>
          <w:p>
            <w:pPr>
              <w:jc w:val="right"/>
              <w:ind w:right="240"/>
              <w:spacing w:after="0"/>
              <w:rPr>
                <w:sz w:val="20"/>
                <w:szCs w:val="20"/>
                <w:color w:val="auto"/>
              </w:rPr>
            </w:pPr>
            <w:r>
              <w:rPr>
                <w:rFonts w:ascii="Arial" w:cs="Arial" w:eastAsia="Arial" w:hAnsi="Arial"/>
                <w:sz w:val="12"/>
                <w:szCs w:val="12"/>
                <w:color w:val="auto"/>
              </w:rPr>
              <w:t>(1,308,549)</w:t>
            </w:r>
          </w:p>
        </w:tc>
        <w:tc>
          <w:tcPr>
            <w:tcW w:w="260" w:type="dxa"/>
            <w:vAlign w:val="bottom"/>
          </w:tcPr>
          <w:p>
            <w:pPr>
              <w:spacing w:after="0"/>
              <w:rPr>
                <w:sz w:val="12"/>
                <w:szCs w:val="12"/>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2"/>
                <w:szCs w:val="12"/>
                <w:color w:val="auto"/>
              </w:rPr>
              <w:t>(1,402,445)</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540" w:type="dxa"/>
            <w:vAlign w:val="bottom"/>
            <w:shd w:val="clear" w:color="auto" w:fill="CFF0FC"/>
          </w:tcPr>
          <w:p>
            <w:pPr>
              <w:ind w:left="140"/>
              <w:spacing w:after="0"/>
              <w:rPr>
                <w:sz w:val="20"/>
                <w:szCs w:val="20"/>
                <w:color w:val="auto"/>
              </w:rPr>
            </w:pPr>
            <w:r>
              <w:rPr>
                <w:rFonts w:ascii="Arial" w:cs="Arial" w:eastAsia="Arial" w:hAnsi="Arial"/>
                <w:sz w:val="12"/>
                <w:szCs w:val="12"/>
                <w:color w:val="auto"/>
              </w:rPr>
              <w:t>Noncontrolling interests - operating partnership units</w:t>
            </w:r>
          </w:p>
        </w:tc>
        <w:tc>
          <w:tcPr>
            <w:tcW w:w="180" w:type="dxa"/>
            <w:vAlign w:val="bottom"/>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101,407</w:t>
            </w:r>
          </w:p>
        </w:tc>
        <w:tc>
          <w:tcPr>
            <w:tcW w:w="280" w:type="dxa"/>
            <w:vAlign w:val="bottom"/>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40" w:type="dxa"/>
            <w:vAlign w:val="bottom"/>
          </w:tcPr>
          <w:p>
            <w:pPr>
              <w:ind w:left="320"/>
              <w:spacing w:after="0"/>
              <w:rPr>
                <w:sz w:val="20"/>
                <w:szCs w:val="20"/>
                <w:color w:val="auto"/>
              </w:rPr>
            </w:pPr>
            <w:r>
              <w:rPr>
                <w:rFonts w:ascii="Arial" w:cs="Arial" w:eastAsia="Arial" w:hAnsi="Arial"/>
                <w:sz w:val="12"/>
                <w:szCs w:val="12"/>
                <w:color w:val="auto"/>
              </w:rPr>
              <w:t>Total shareholders' deficit</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00" w:type="dxa"/>
            <w:vAlign w:val="bottom"/>
            <w:gridSpan w:val="2"/>
          </w:tcPr>
          <w:p>
            <w:pPr>
              <w:jc w:val="right"/>
              <w:ind w:right="240"/>
              <w:spacing w:after="0"/>
              <w:rPr>
                <w:sz w:val="20"/>
                <w:szCs w:val="20"/>
                <w:color w:val="auto"/>
              </w:rPr>
            </w:pPr>
            <w:r>
              <w:rPr>
                <w:rFonts w:ascii="Arial" w:cs="Arial" w:eastAsia="Arial" w:hAnsi="Arial"/>
                <w:sz w:val="12"/>
                <w:szCs w:val="12"/>
                <w:color w:val="auto"/>
              </w:rPr>
              <w:t>(1,207,142)</w:t>
            </w:r>
          </w:p>
        </w:tc>
        <w:tc>
          <w:tcPr>
            <w:tcW w:w="260" w:type="dxa"/>
            <w:vAlign w:val="bottom"/>
          </w:tcPr>
          <w:p>
            <w:pPr>
              <w:spacing w:after="0"/>
              <w:rPr>
                <w:sz w:val="12"/>
                <w:szCs w:val="12"/>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2"/>
                <w:szCs w:val="12"/>
                <w:color w:val="auto"/>
              </w:rPr>
              <w:t>(1,402,445)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2"/>
                <w:szCs w:val="12"/>
                <w:b w:val="1"/>
                <w:bCs w:val="1"/>
                <w:color w:val="auto"/>
              </w:rPr>
              <w:t>Total Liabilities, Convertible Preferred Stock, and Shareholders' Deficit</w:t>
            </w:r>
          </w:p>
        </w:tc>
        <w:tc>
          <w:tcPr>
            <w:tcW w:w="180" w:type="dxa"/>
            <w:vAlign w:val="bottom"/>
            <w:tcBorders>
              <w:top w:val="single" w:sz="8" w:color="CFF0FC"/>
              <w:bottom w:val="single" w:sz="8" w:color="CFF0FC"/>
            </w:tcBorders>
            <w:shd w:val="clear" w:color="auto" w:fill="CFF0FC"/>
          </w:tcPr>
          <w:p>
            <w:pPr>
              <w:spacing w:after="0"/>
              <w:rPr>
                <w:sz w:val="12"/>
                <w:szCs w:val="12"/>
                <w:color w:val="auto"/>
              </w:rPr>
            </w:pPr>
          </w:p>
        </w:tc>
        <w:tc>
          <w:tcPr>
            <w:tcW w:w="26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0"/>
                <w:szCs w:val="10"/>
                <w:color w:val="auto"/>
                <w:w w:val="71"/>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4,330,082</w:t>
            </w:r>
          </w:p>
        </w:tc>
        <w:tc>
          <w:tcPr>
            <w:tcW w:w="280" w:type="dxa"/>
            <w:vAlign w:val="bottom"/>
            <w:tcBorders>
              <w:top w:val="single" w:sz="8" w:color="CFF0FC"/>
              <w:bottom w:val="single" w:sz="8" w:color="CFF0FC"/>
            </w:tcBorders>
            <w:shd w:val="clear" w:color="auto" w:fill="CFF0FC"/>
          </w:tcPr>
          <w:p>
            <w:pPr>
              <w:spacing w:after="0"/>
              <w:rPr>
                <w:sz w:val="12"/>
                <w:szCs w:val="12"/>
                <w:color w:val="auto"/>
              </w:rPr>
            </w:pPr>
          </w:p>
        </w:tc>
        <w:tc>
          <w:tcPr>
            <w:tcW w:w="26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0"/>
                <w:szCs w:val="10"/>
                <w:color w:val="auto"/>
                <w:w w:val="71"/>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3,318,752</w:t>
            </w: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The accompanying notes are an integral part of these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51" w:name="page52"/>
    <w:bookmarkEnd w:id="51"/>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7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Uniti Group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Consolidated Statements of Income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5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230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0"/>
                <w:szCs w:val="10"/>
                <w:b w:val="1"/>
                <w:bCs w:val="1"/>
                <w:color w:val="auto"/>
              </w:rPr>
              <w:t>Year Ended December 31,</w:t>
            </w:r>
          </w:p>
        </w:tc>
        <w:tc>
          <w:tcPr>
            <w:tcW w:w="124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0" w:type="dxa"/>
            <w:vAlign w:val="bottom"/>
            <w:gridSpan w:val="2"/>
          </w:tcPr>
          <w:p>
            <w:pPr>
              <w:jc w:val="right"/>
              <w:ind w:right="820"/>
              <w:spacing w:after="0"/>
              <w:rPr>
                <w:sz w:val="20"/>
                <w:szCs w:val="20"/>
                <w:color w:val="auto"/>
              </w:rPr>
            </w:pPr>
            <w:r>
              <w:rPr>
                <w:rFonts w:ascii="Arial" w:cs="Arial" w:eastAsia="Arial" w:hAnsi="Arial"/>
                <w:sz w:val="10"/>
                <w:szCs w:val="10"/>
                <w:b w:val="1"/>
                <w:bCs w:val="1"/>
                <w:color w:val="auto"/>
              </w:rPr>
              <w:t>Period from</w:t>
            </w:r>
          </w:p>
        </w:tc>
        <w:tc>
          <w:tcPr>
            <w:tcW w:w="0" w:type="dxa"/>
            <w:vAlign w:val="bottom"/>
          </w:tcPr>
          <w:p>
            <w:pPr>
              <w:spacing w:after="0"/>
              <w:rPr>
                <w:sz w:val="1"/>
                <w:szCs w:val="1"/>
                <w:color w:val="auto"/>
              </w:rPr>
            </w:pPr>
          </w:p>
        </w:tc>
      </w:tr>
      <w:tr>
        <w:trPr>
          <w:trHeight w:val="151"/>
        </w:trPr>
        <w:tc>
          <w:tcPr>
            <w:tcW w:w="5260" w:type="dxa"/>
            <w:vAlign w:val="bottom"/>
            <w:gridSpan w:val="3"/>
          </w:tcPr>
          <w:p>
            <w:pPr>
              <w:spacing w:after="0"/>
              <w:rPr>
                <w:sz w:val="20"/>
                <w:szCs w:val="20"/>
                <w:color w:val="auto"/>
              </w:rPr>
            </w:pPr>
            <w:r>
              <w:rPr>
                <w:rFonts w:ascii="Arial" w:cs="Arial" w:eastAsia="Arial" w:hAnsi="Arial"/>
                <w:sz w:val="10"/>
                <w:szCs w:val="10"/>
                <w:color w:val="auto"/>
              </w:rPr>
              <w:t>(Thousands, except per share data)</w:t>
            </w:r>
          </w:p>
        </w:tc>
        <w:tc>
          <w:tcPr>
            <w:tcW w:w="440" w:type="dxa"/>
            <w:vAlign w:val="bottom"/>
          </w:tcPr>
          <w:p>
            <w:pPr>
              <w:spacing w:after="0"/>
              <w:rPr>
                <w:sz w:val="13"/>
                <w:szCs w:val="13"/>
                <w:color w:val="auto"/>
              </w:rPr>
            </w:pPr>
          </w:p>
        </w:tc>
        <w:tc>
          <w:tcPr>
            <w:tcW w:w="1420" w:type="dxa"/>
            <w:vAlign w:val="bottom"/>
          </w:tcPr>
          <w:p>
            <w:pPr>
              <w:jc w:val="right"/>
              <w:ind w:right="781"/>
              <w:spacing w:after="0"/>
              <w:rPr>
                <w:sz w:val="20"/>
                <w:szCs w:val="20"/>
                <w:color w:val="auto"/>
              </w:rPr>
            </w:pPr>
            <w:r>
              <w:rPr>
                <w:rFonts w:ascii="Arial" w:cs="Arial" w:eastAsia="Arial" w:hAnsi="Arial"/>
                <w:sz w:val="10"/>
                <w:szCs w:val="10"/>
                <w:b w:val="1"/>
                <w:bCs w:val="1"/>
                <w:color w:val="auto"/>
              </w:rPr>
              <w:t>2017</w:t>
            </w: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40" w:type="dxa"/>
            <w:vAlign w:val="bottom"/>
          </w:tcPr>
          <w:p>
            <w:pPr>
              <w:jc w:val="right"/>
              <w:ind w:right="780"/>
              <w:spacing w:after="0"/>
              <w:rPr>
                <w:sz w:val="20"/>
                <w:szCs w:val="20"/>
                <w:color w:val="auto"/>
              </w:rPr>
            </w:pPr>
            <w:r>
              <w:rPr>
                <w:rFonts w:ascii="Arial" w:cs="Arial" w:eastAsia="Arial" w:hAnsi="Arial"/>
                <w:sz w:val="10"/>
                <w:szCs w:val="10"/>
                <w:b w:val="1"/>
                <w:bCs w:val="1"/>
                <w:color w:val="auto"/>
              </w:rPr>
              <w:t>2016</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0" w:type="dxa"/>
            <w:vAlign w:val="bottom"/>
            <w:gridSpan w:val="2"/>
          </w:tcPr>
          <w:p>
            <w:pPr>
              <w:jc w:val="right"/>
              <w:ind w:right="460"/>
              <w:spacing w:after="0"/>
              <w:rPr>
                <w:sz w:val="20"/>
                <w:szCs w:val="20"/>
                <w:color w:val="auto"/>
              </w:rPr>
            </w:pPr>
            <w:r>
              <w:rPr>
                <w:rFonts w:ascii="Arial" w:cs="Arial" w:eastAsia="Arial" w:hAnsi="Arial"/>
                <w:sz w:val="10"/>
                <w:szCs w:val="10"/>
                <w:b w:val="1"/>
                <w:bCs w:val="1"/>
                <w:color w:val="auto"/>
                <w:w w:val="97"/>
              </w:rPr>
              <w:t>April 24 - December 31, 2015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2"/>
                <w:szCs w:val="12"/>
                <w:b w:val="1"/>
                <w:bCs w:val="1"/>
                <w:color w:val="auto"/>
              </w:rPr>
              <w:t>Revenues:</w:t>
            </w:r>
          </w:p>
        </w:tc>
        <w:tc>
          <w:tcPr>
            <w:tcW w:w="140" w:type="dxa"/>
            <w:vAlign w:val="bottom"/>
            <w:tcBorders>
              <w:top w:val="single" w:sz="8" w:color="CFF0FC"/>
            </w:tcBorders>
            <w:shd w:val="clear" w:color="auto" w:fill="CFF0FC"/>
          </w:tcPr>
          <w:p>
            <w:pPr>
              <w:spacing w:after="0"/>
              <w:rPr>
                <w:sz w:val="12"/>
                <w:szCs w:val="12"/>
                <w:color w:val="auto"/>
              </w:rPr>
            </w:pPr>
          </w:p>
        </w:tc>
        <w:tc>
          <w:tcPr>
            <w:tcW w:w="440" w:type="dxa"/>
            <w:vAlign w:val="bottom"/>
            <w:tcBorders>
              <w:top w:val="single" w:sz="8" w:color="auto"/>
            </w:tcBorders>
            <w:shd w:val="clear" w:color="auto" w:fill="CFF0FC"/>
          </w:tcPr>
          <w:p>
            <w:pPr>
              <w:spacing w:after="0"/>
              <w:rPr>
                <w:sz w:val="12"/>
                <w:szCs w:val="12"/>
                <w:color w:val="auto"/>
              </w:rPr>
            </w:pPr>
          </w:p>
        </w:tc>
        <w:tc>
          <w:tcPr>
            <w:tcW w:w="142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640" w:type="dxa"/>
            <w:vAlign w:val="bottom"/>
            <w:tcBorders>
              <w:top w:val="single" w:sz="8" w:color="auto"/>
            </w:tcBorders>
            <w:shd w:val="clear" w:color="auto" w:fill="CFF0FC"/>
          </w:tcPr>
          <w:p>
            <w:pPr>
              <w:spacing w:after="0"/>
              <w:rPr>
                <w:sz w:val="12"/>
                <w:szCs w:val="12"/>
                <w:color w:val="auto"/>
              </w:rPr>
            </w:pPr>
          </w:p>
        </w:tc>
        <w:tc>
          <w:tcPr>
            <w:tcW w:w="124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168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240" w:type="dxa"/>
            <w:vAlign w:val="bottom"/>
            <w:gridSpan w:val="2"/>
          </w:tcPr>
          <w:p>
            <w:pPr>
              <w:ind w:left="140"/>
              <w:spacing w:after="0"/>
              <w:rPr>
                <w:sz w:val="20"/>
                <w:szCs w:val="20"/>
                <w:color w:val="auto"/>
              </w:rPr>
            </w:pPr>
            <w:r>
              <w:rPr>
                <w:rFonts w:ascii="Arial" w:cs="Arial" w:eastAsia="Arial" w:hAnsi="Arial"/>
                <w:sz w:val="12"/>
                <w:szCs w:val="12"/>
                <w:color w:val="auto"/>
              </w:rPr>
              <w:t>Leasing</w:t>
            </w:r>
          </w:p>
        </w:tc>
        <w:tc>
          <w:tcPr>
            <w:tcW w:w="440" w:type="dxa"/>
            <w:vAlign w:val="bottom"/>
          </w:tcPr>
          <w:p>
            <w:pPr>
              <w:jc w:val="right"/>
              <w:ind w:right="330"/>
              <w:spacing w:after="0"/>
              <w:rPr>
                <w:sz w:val="20"/>
                <w:szCs w:val="20"/>
                <w:color w:val="auto"/>
              </w:rPr>
            </w:pPr>
            <w:r>
              <w:rPr>
                <w:rFonts w:ascii="Arial" w:cs="Arial" w:eastAsia="Arial" w:hAnsi="Arial"/>
                <w:sz w:val="10"/>
                <w:szCs w:val="10"/>
                <w:color w:val="auto"/>
                <w:w w:val="71"/>
              </w:rPr>
              <w:t>$</w:t>
            </w:r>
          </w:p>
        </w:tc>
        <w:tc>
          <w:tcPr>
            <w:tcW w:w="1420" w:type="dxa"/>
            <w:vAlign w:val="bottom"/>
          </w:tcPr>
          <w:p>
            <w:pPr>
              <w:jc w:val="right"/>
              <w:spacing w:after="0"/>
              <w:rPr>
                <w:sz w:val="20"/>
                <w:szCs w:val="20"/>
                <w:color w:val="auto"/>
              </w:rPr>
            </w:pPr>
            <w:r>
              <w:rPr>
                <w:rFonts w:ascii="Arial" w:cs="Arial" w:eastAsia="Arial" w:hAnsi="Arial"/>
                <w:sz w:val="12"/>
                <w:szCs w:val="12"/>
                <w:color w:val="auto"/>
              </w:rPr>
              <w:t>685,099</w:t>
            </w:r>
          </w:p>
        </w:tc>
        <w:tc>
          <w:tcPr>
            <w:tcW w:w="240" w:type="dxa"/>
            <w:vAlign w:val="bottom"/>
          </w:tcPr>
          <w:p>
            <w:pPr>
              <w:spacing w:after="0"/>
              <w:rPr>
                <w:sz w:val="13"/>
                <w:szCs w:val="13"/>
                <w:color w:val="auto"/>
              </w:rPr>
            </w:pPr>
          </w:p>
        </w:tc>
        <w:tc>
          <w:tcPr>
            <w:tcW w:w="640" w:type="dxa"/>
            <w:vAlign w:val="bottom"/>
          </w:tcPr>
          <w:p>
            <w:pPr>
              <w:jc w:val="right"/>
              <w:ind w:right="530"/>
              <w:spacing w:after="0"/>
              <w:rPr>
                <w:sz w:val="20"/>
                <w:szCs w:val="20"/>
                <w:color w:val="auto"/>
              </w:rPr>
            </w:pPr>
            <w:r>
              <w:rPr>
                <w:rFonts w:ascii="Arial" w:cs="Arial" w:eastAsia="Arial" w:hAnsi="Arial"/>
                <w:sz w:val="10"/>
                <w:szCs w:val="10"/>
                <w:color w:val="auto"/>
                <w:w w:val="71"/>
              </w:rPr>
              <w:t>$</w:t>
            </w:r>
          </w:p>
        </w:tc>
        <w:tc>
          <w:tcPr>
            <w:tcW w:w="1240" w:type="dxa"/>
            <w:vAlign w:val="bottom"/>
          </w:tcPr>
          <w:p>
            <w:pPr>
              <w:jc w:val="right"/>
              <w:spacing w:after="0"/>
              <w:rPr>
                <w:sz w:val="20"/>
                <w:szCs w:val="20"/>
                <w:color w:val="auto"/>
              </w:rPr>
            </w:pPr>
            <w:r>
              <w:rPr>
                <w:rFonts w:ascii="Arial" w:cs="Arial" w:eastAsia="Arial" w:hAnsi="Arial"/>
                <w:sz w:val="12"/>
                <w:szCs w:val="12"/>
                <w:color w:val="auto"/>
              </w:rPr>
              <w:t>676,868</w:t>
            </w:r>
          </w:p>
        </w:tc>
        <w:tc>
          <w:tcPr>
            <w:tcW w:w="240" w:type="dxa"/>
            <w:vAlign w:val="bottom"/>
          </w:tcPr>
          <w:p>
            <w:pPr>
              <w:spacing w:after="0"/>
              <w:rPr>
                <w:sz w:val="13"/>
                <w:szCs w:val="13"/>
                <w:color w:val="auto"/>
              </w:rPr>
            </w:pP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1680" w:type="dxa"/>
            <w:vAlign w:val="bottom"/>
          </w:tcPr>
          <w:p>
            <w:pPr>
              <w:jc w:val="right"/>
              <w:spacing w:after="0"/>
              <w:rPr>
                <w:sz w:val="20"/>
                <w:szCs w:val="20"/>
                <w:color w:val="auto"/>
              </w:rPr>
            </w:pPr>
            <w:r>
              <w:rPr>
                <w:rFonts w:ascii="Arial" w:cs="Arial" w:eastAsia="Arial" w:hAnsi="Arial"/>
                <w:sz w:val="12"/>
                <w:szCs w:val="12"/>
                <w:color w:val="auto"/>
              </w:rPr>
              <w:t>458,614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240" w:type="dxa"/>
            <w:vAlign w:val="bottom"/>
            <w:gridSpan w:val="2"/>
            <w:shd w:val="clear" w:color="auto" w:fill="CFF0FC"/>
          </w:tcPr>
          <w:p>
            <w:pPr>
              <w:ind w:left="140"/>
              <w:spacing w:after="0"/>
              <w:rPr>
                <w:sz w:val="20"/>
                <w:szCs w:val="20"/>
                <w:color w:val="auto"/>
              </w:rPr>
            </w:pPr>
            <w:r>
              <w:rPr>
                <w:rFonts w:ascii="Arial" w:cs="Arial" w:eastAsia="Arial" w:hAnsi="Arial"/>
                <w:sz w:val="12"/>
                <w:szCs w:val="12"/>
                <w:color w:val="auto"/>
              </w:rPr>
              <w:t>Fiber Infrastructure</w:t>
            </w:r>
          </w:p>
        </w:tc>
        <w:tc>
          <w:tcPr>
            <w:tcW w:w="440" w:type="dxa"/>
            <w:vAlign w:val="bottom"/>
            <w:shd w:val="clear" w:color="auto" w:fill="CFF0FC"/>
          </w:tcPr>
          <w:p>
            <w:pPr>
              <w:spacing w:after="0"/>
              <w:rPr>
                <w:sz w:val="13"/>
                <w:szCs w:val="13"/>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202,791</w:t>
            </w:r>
          </w:p>
        </w:tc>
        <w:tc>
          <w:tcPr>
            <w:tcW w:w="24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70,568</w:t>
            </w: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240" w:type="dxa"/>
            <w:vAlign w:val="bottom"/>
            <w:gridSpan w:val="2"/>
          </w:tcPr>
          <w:p>
            <w:pPr>
              <w:ind w:left="140"/>
              <w:spacing w:after="0"/>
              <w:rPr>
                <w:sz w:val="20"/>
                <w:szCs w:val="20"/>
                <w:color w:val="auto"/>
              </w:rPr>
            </w:pPr>
            <w:r>
              <w:rPr>
                <w:rFonts w:ascii="Arial" w:cs="Arial" w:eastAsia="Arial" w:hAnsi="Arial"/>
                <w:sz w:val="12"/>
                <w:szCs w:val="12"/>
                <w:color w:val="auto"/>
              </w:rPr>
              <w:t>Tower</w:t>
            </w:r>
          </w:p>
        </w:tc>
        <w:tc>
          <w:tcPr>
            <w:tcW w:w="44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10,055</w:t>
            </w: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500</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240" w:type="dxa"/>
            <w:vAlign w:val="bottom"/>
            <w:gridSpan w:val="2"/>
            <w:shd w:val="clear" w:color="auto" w:fill="CFF0FC"/>
          </w:tcPr>
          <w:p>
            <w:pPr>
              <w:ind w:left="140"/>
              <w:spacing w:after="0"/>
              <w:rPr>
                <w:sz w:val="20"/>
                <w:szCs w:val="20"/>
                <w:color w:val="auto"/>
              </w:rPr>
            </w:pPr>
            <w:r>
              <w:rPr>
                <w:rFonts w:ascii="Arial" w:cs="Arial" w:eastAsia="Arial" w:hAnsi="Arial"/>
                <w:sz w:val="12"/>
                <w:szCs w:val="12"/>
                <w:color w:val="auto"/>
              </w:rPr>
              <w:t>Consumer CLEC</w:t>
            </w:r>
          </w:p>
        </w:tc>
        <w:tc>
          <w:tcPr>
            <w:tcW w:w="440" w:type="dxa"/>
            <w:vAlign w:val="bottom"/>
            <w:tcBorders>
              <w:bottom w:val="single" w:sz="8" w:color="auto"/>
            </w:tcBorders>
            <w:shd w:val="clear" w:color="auto" w:fill="CFF0FC"/>
          </w:tcPr>
          <w:p>
            <w:pPr>
              <w:spacing w:after="0"/>
              <w:rPr>
                <w:sz w:val="13"/>
                <w:szCs w:val="13"/>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18,087</w:t>
            </w:r>
          </w:p>
        </w:tc>
        <w:tc>
          <w:tcPr>
            <w:tcW w:w="240" w:type="dxa"/>
            <w:vAlign w:val="bottom"/>
            <w:shd w:val="clear" w:color="auto" w:fill="CFF0FC"/>
          </w:tcPr>
          <w:p>
            <w:pPr>
              <w:spacing w:after="0"/>
              <w:rPr>
                <w:sz w:val="13"/>
                <w:szCs w:val="13"/>
                <w:color w:val="auto"/>
              </w:rPr>
            </w:pPr>
          </w:p>
        </w:tc>
        <w:tc>
          <w:tcPr>
            <w:tcW w:w="640" w:type="dxa"/>
            <w:vAlign w:val="bottom"/>
            <w:tcBorders>
              <w:bottom w:val="single" w:sz="8" w:color="auto"/>
            </w:tcBorders>
            <w:shd w:val="clear" w:color="auto" w:fill="CFF0FC"/>
          </w:tcPr>
          <w:p>
            <w:pPr>
              <w:spacing w:after="0"/>
              <w:rPr>
                <w:sz w:val="13"/>
                <w:szCs w:val="13"/>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22,472</w:t>
            </w:r>
          </w:p>
        </w:tc>
        <w:tc>
          <w:tcPr>
            <w:tcW w:w="240" w:type="dxa"/>
            <w:vAlign w:val="bottom"/>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17,700</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40" w:type="dxa"/>
            <w:vAlign w:val="bottom"/>
            <w:gridSpan w:val="2"/>
          </w:tcPr>
          <w:p>
            <w:pPr>
              <w:ind w:left="300"/>
              <w:spacing w:after="0"/>
              <w:rPr>
                <w:sz w:val="20"/>
                <w:szCs w:val="20"/>
                <w:color w:val="auto"/>
              </w:rPr>
            </w:pPr>
            <w:r>
              <w:rPr>
                <w:rFonts w:ascii="Arial" w:cs="Arial" w:eastAsia="Arial" w:hAnsi="Arial"/>
                <w:sz w:val="12"/>
                <w:szCs w:val="12"/>
                <w:color w:val="auto"/>
              </w:rPr>
              <w:t>Total revenues</w:t>
            </w:r>
          </w:p>
        </w:tc>
        <w:tc>
          <w:tcPr>
            <w:tcW w:w="44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916,032</w:t>
            </w: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770,408</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Arial" w:cs="Arial" w:eastAsia="Arial" w:hAnsi="Arial"/>
                <w:sz w:val="12"/>
                <w:szCs w:val="12"/>
                <w:color w:val="auto"/>
              </w:rPr>
              <w:t>476,314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40" w:type="dxa"/>
            <w:vAlign w:val="bottom"/>
            <w:gridSpan w:val="2"/>
            <w:shd w:val="clear" w:color="auto" w:fill="CFF0FC"/>
          </w:tcPr>
          <w:p>
            <w:pPr>
              <w:spacing w:after="0"/>
              <w:rPr>
                <w:sz w:val="20"/>
                <w:szCs w:val="20"/>
                <w:color w:val="auto"/>
              </w:rPr>
            </w:pPr>
            <w:r>
              <w:rPr>
                <w:rFonts w:ascii="Arial" w:cs="Arial" w:eastAsia="Arial" w:hAnsi="Arial"/>
                <w:sz w:val="12"/>
                <w:szCs w:val="12"/>
                <w:b w:val="1"/>
                <w:bCs w:val="1"/>
                <w:color w:val="auto"/>
              </w:rPr>
              <w:t>Costs and Expenses:</w:t>
            </w:r>
          </w:p>
        </w:tc>
        <w:tc>
          <w:tcPr>
            <w:tcW w:w="440" w:type="dxa"/>
            <w:vAlign w:val="bottom"/>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6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240" w:type="dxa"/>
            <w:vAlign w:val="bottom"/>
            <w:gridSpan w:val="2"/>
          </w:tcPr>
          <w:p>
            <w:pPr>
              <w:ind w:left="140"/>
              <w:spacing w:after="0"/>
              <w:rPr>
                <w:sz w:val="20"/>
                <w:szCs w:val="20"/>
                <w:color w:val="auto"/>
              </w:rPr>
            </w:pPr>
            <w:r>
              <w:rPr>
                <w:rFonts w:ascii="Arial" w:cs="Arial" w:eastAsia="Arial" w:hAnsi="Arial"/>
                <w:sz w:val="12"/>
                <w:szCs w:val="12"/>
                <w:color w:val="auto"/>
              </w:rPr>
              <w:t>Interest expense</w:t>
            </w:r>
          </w:p>
        </w:tc>
        <w:tc>
          <w:tcPr>
            <w:tcW w:w="44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305,994</w:t>
            </w: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275,394</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Arial" w:cs="Arial" w:eastAsia="Arial" w:hAnsi="Arial"/>
                <w:sz w:val="12"/>
                <w:szCs w:val="12"/>
                <w:color w:val="auto"/>
              </w:rPr>
              <w:t>181,797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240" w:type="dxa"/>
            <w:vAlign w:val="bottom"/>
            <w:gridSpan w:val="2"/>
            <w:shd w:val="clear" w:color="auto" w:fill="CFF0FC"/>
          </w:tcPr>
          <w:p>
            <w:pPr>
              <w:ind w:left="140"/>
              <w:spacing w:after="0"/>
              <w:rPr>
                <w:sz w:val="20"/>
                <w:szCs w:val="20"/>
                <w:color w:val="auto"/>
              </w:rPr>
            </w:pPr>
            <w:r>
              <w:rPr>
                <w:rFonts w:ascii="Arial" w:cs="Arial" w:eastAsia="Arial" w:hAnsi="Arial"/>
                <w:sz w:val="12"/>
                <w:szCs w:val="12"/>
                <w:color w:val="auto"/>
              </w:rPr>
              <w:t>Depreciation and amortization</w:t>
            </w:r>
          </w:p>
        </w:tc>
        <w:tc>
          <w:tcPr>
            <w:tcW w:w="440" w:type="dxa"/>
            <w:vAlign w:val="bottom"/>
            <w:shd w:val="clear" w:color="auto" w:fill="CFF0FC"/>
          </w:tcPr>
          <w:p>
            <w:pPr>
              <w:spacing w:after="0"/>
              <w:rPr>
                <w:sz w:val="13"/>
                <w:szCs w:val="13"/>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434,205</w:t>
            </w:r>
          </w:p>
        </w:tc>
        <w:tc>
          <w:tcPr>
            <w:tcW w:w="24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375,970</w:t>
            </w: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238,748</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240" w:type="dxa"/>
            <w:vAlign w:val="bottom"/>
            <w:gridSpan w:val="2"/>
          </w:tcPr>
          <w:p>
            <w:pPr>
              <w:ind w:left="140"/>
              <w:spacing w:after="0"/>
              <w:rPr>
                <w:sz w:val="20"/>
                <w:szCs w:val="20"/>
                <w:color w:val="auto"/>
              </w:rPr>
            </w:pPr>
            <w:r>
              <w:rPr>
                <w:rFonts w:ascii="Arial" w:cs="Arial" w:eastAsia="Arial" w:hAnsi="Arial"/>
                <w:sz w:val="12"/>
                <w:szCs w:val="12"/>
                <w:color w:val="auto"/>
              </w:rPr>
              <w:t>General and administrative expense</w:t>
            </w:r>
          </w:p>
        </w:tc>
        <w:tc>
          <w:tcPr>
            <w:tcW w:w="44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72,045</w:t>
            </w: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35,402</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Arial" w:cs="Arial" w:eastAsia="Arial" w:hAnsi="Arial"/>
                <w:sz w:val="12"/>
                <w:szCs w:val="12"/>
                <w:color w:val="auto"/>
              </w:rPr>
              <w:t>11,208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240" w:type="dxa"/>
            <w:vAlign w:val="bottom"/>
            <w:gridSpan w:val="2"/>
            <w:shd w:val="clear" w:color="auto" w:fill="CFF0FC"/>
          </w:tcPr>
          <w:p>
            <w:pPr>
              <w:ind w:left="140"/>
              <w:spacing w:after="0"/>
              <w:rPr>
                <w:sz w:val="20"/>
                <w:szCs w:val="20"/>
                <w:color w:val="auto"/>
              </w:rPr>
            </w:pPr>
            <w:r>
              <w:rPr>
                <w:rFonts w:ascii="Arial" w:cs="Arial" w:eastAsia="Arial" w:hAnsi="Arial"/>
                <w:sz w:val="12"/>
                <w:szCs w:val="12"/>
                <w:color w:val="auto"/>
              </w:rPr>
              <w:t>Operating expense (exclusive of depreciation, accretion and amortization)</w:t>
            </w:r>
          </w:p>
        </w:tc>
        <w:tc>
          <w:tcPr>
            <w:tcW w:w="440" w:type="dxa"/>
            <w:vAlign w:val="bottom"/>
            <w:shd w:val="clear" w:color="auto" w:fill="CFF0FC"/>
          </w:tcPr>
          <w:p>
            <w:pPr>
              <w:spacing w:after="0"/>
              <w:rPr>
                <w:sz w:val="13"/>
                <w:szCs w:val="13"/>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102,176</w:t>
            </w:r>
          </w:p>
        </w:tc>
        <w:tc>
          <w:tcPr>
            <w:tcW w:w="24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49,668</w:t>
            </w: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13,743</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240" w:type="dxa"/>
            <w:vAlign w:val="bottom"/>
            <w:gridSpan w:val="2"/>
          </w:tcPr>
          <w:p>
            <w:pPr>
              <w:ind w:left="140"/>
              <w:spacing w:after="0"/>
              <w:rPr>
                <w:sz w:val="20"/>
                <w:szCs w:val="20"/>
                <w:color w:val="auto"/>
              </w:rPr>
            </w:pPr>
            <w:r>
              <w:rPr>
                <w:rFonts w:ascii="Arial" w:cs="Arial" w:eastAsia="Arial" w:hAnsi="Arial"/>
                <w:sz w:val="12"/>
                <w:szCs w:val="12"/>
                <w:color w:val="auto"/>
              </w:rPr>
              <w:t>Transaction related costs</w:t>
            </w:r>
          </w:p>
        </w:tc>
        <w:tc>
          <w:tcPr>
            <w:tcW w:w="44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38,005</w:t>
            </w: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33,669</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Arial" w:cs="Arial" w:eastAsia="Arial" w:hAnsi="Arial"/>
                <w:sz w:val="12"/>
                <w:szCs w:val="12"/>
                <w:color w:val="auto"/>
              </w:rPr>
              <w:t>5,210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240" w:type="dxa"/>
            <w:vAlign w:val="bottom"/>
            <w:gridSpan w:val="2"/>
            <w:shd w:val="clear" w:color="auto" w:fill="CFF0FC"/>
          </w:tcPr>
          <w:p>
            <w:pPr>
              <w:ind w:left="140"/>
              <w:spacing w:after="0"/>
              <w:rPr>
                <w:sz w:val="20"/>
                <w:szCs w:val="20"/>
                <w:color w:val="auto"/>
              </w:rPr>
            </w:pPr>
            <w:r>
              <w:rPr>
                <w:rFonts w:ascii="Arial" w:cs="Arial" w:eastAsia="Arial" w:hAnsi="Arial"/>
                <w:sz w:val="12"/>
                <w:szCs w:val="12"/>
                <w:color w:val="auto"/>
              </w:rPr>
              <w:t>Other expense</w:t>
            </w:r>
          </w:p>
        </w:tc>
        <w:tc>
          <w:tcPr>
            <w:tcW w:w="440" w:type="dxa"/>
            <w:vAlign w:val="bottom"/>
            <w:tcBorders>
              <w:bottom w:val="single" w:sz="8" w:color="auto"/>
            </w:tcBorders>
            <w:shd w:val="clear" w:color="auto" w:fill="CFF0FC"/>
          </w:tcPr>
          <w:p>
            <w:pPr>
              <w:spacing w:after="0"/>
              <w:rPr>
                <w:sz w:val="13"/>
                <w:szCs w:val="13"/>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11,284</w:t>
            </w:r>
          </w:p>
        </w:tc>
        <w:tc>
          <w:tcPr>
            <w:tcW w:w="240" w:type="dxa"/>
            <w:vAlign w:val="bottom"/>
            <w:shd w:val="clear" w:color="auto" w:fill="CFF0FC"/>
          </w:tcPr>
          <w:p>
            <w:pPr>
              <w:spacing w:after="0"/>
              <w:rPr>
                <w:sz w:val="13"/>
                <w:szCs w:val="13"/>
                <w:color w:val="auto"/>
              </w:rPr>
            </w:pPr>
          </w:p>
        </w:tc>
        <w:tc>
          <w:tcPr>
            <w:tcW w:w="640" w:type="dxa"/>
            <w:vAlign w:val="bottom"/>
            <w:tcBorders>
              <w:bottom w:val="single" w:sz="8" w:color="auto"/>
            </w:tcBorders>
            <w:shd w:val="clear" w:color="auto" w:fill="CFF0FC"/>
          </w:tcPr>
          <w:p>
            <w:pPr>
              <w:spacing w:after="0"/>
              <w:rPr>
                <w:sz w:val="13"/>
                <w:szCs w:val="13"/>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40" w:type="dxa"/>
            <w:vAlign w:val="bottom"/>
            <w:tcBorders>
              <w:bottom w:val="single" w:sz="8" w:color="CFF0FC"/>
            </w:tcBorders>
            <w:gridSpan w:val="2"/>
          </w:tcPr>
          <w:p>
            <w:pPr>
              <w:ind w:left="300"/>
              <w:spacing w:after="0"/>
              <w:rPr>
                <w:sz w:val="20"/>
                <w:szCs w:val="20"/>
                <w:color w:val="auto"/>
              </w:rPr>
            </w:pPr>
            <w:r>
              <w:rPr>
                <w:rFonts w:ascii="Arial" w:cs="Arial" w:eastAsia="Arial" w:hAnsi="Arial"/>
                <w:sz w:val="12"/>
                <w:szCs w:val="12"/>
                <w:color w:val="auto"/>
              </w:rPr>
              <w:t>Total costs and expenses</w:t>
            </w:r>
          </w:p>
        </w:tc>
        <w:tc>
          <w:tcPr>
            <w:tcW w:w="44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963,709</w:t>
            </w:r>
          </w:p>
        </w:tc>
        <w:tc>
          <w:tcPr>
            <w:tcW w:w="240" w:type="dxa"/>
            <w:vAlign w:val="bottom"/>
            <w:tcBorders>
              <w:bottom w:val="single" w:sz="8" w:color="CFF0FC"/>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770,103</w:t>
            </w:r>
          </w:p>
        </w:tc>
        <w:tc>
          <w:tcPr>
            <w:tcW w:w="240" w:type="dxa"/>
            <w:vAlign w:val="bottom"/>
            <w:tcBorders>
              <w:bottom w:val="single" w:sz="8" w:color="CFF0FC"/>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450,706</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4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5240" w:type="dxa"/>
            <w:vAlign w:val="bottom"/>
            <w:gridSpan w:val="2"/>
          </w:tcPr>
          <w:p>
            <w:pPr>
              <w:spacing w:after="0"/>
              <w:rPr>
                <w:sz w:val="20"/>
                <w:szCs w:val="20"/>
                <w:color w:val="auto"/>
              </w:rPr>
            </w:pPr>
            <w:r>
              <w:rPr>
                <w:rFonts w:ascii="Arial" w:cs="Arial" w:eastAsia="Arial" w:hAnsi="Arial"/>
                <w:sz w:val="12"/>
                <w:szCs w:val="12"/>
                <w:b w:val="1"/>
                <w:bCs w:val="1"/>
                <w:color w:val="auto"/>
              </w:rPr>
              <w:t>(Loss) income before income taxes</w:t>
            </w:r>
          </w:p>
        </w:tc>
        <w:tc>
          <w:tcPr>
            <w:tcW w:w="440" w:type="dxa"/>
            <w:vAlign w:val="bottom"/>
          </w:tcPr>
          <w:p>
            <w:pPr>
              <w:spacing w:after="0"/>
              <w:rPr>
                <w:sz w:val="13"/>
                <w:szCs w:val="13"/>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2"/>
                <w:szCs w:val="12"/>
                <w:color w:val="auto"/>
              </w:rPr>
              <w:t>(47,677)</w:t>
            </w:r>
          </w:p>
        </w:tc>
        <w:tc>
          <w:tcPr>
            <w:tcW w:w="64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305</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Arial" w:cs="Arial" w:eastAsia="Arial" w:hAnsi="Arial"/>
                <w:sz w:val="12"/>
                <w:szCs w:val="12"/>
                <w:color w:val="auto"/>
              </w:rPr>
              <w:t>25,608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240" w:type="dxa"/>
            <w:vAlign w:val="bottom"/>
            <w:gridSpan w:val="2"/>
            <w:shd w:val="clear" w:color="auto" w:fill="CFF0FC"/>
          </w:tcPr>
          <w:p>
            <w:pPr>
              <w:ind w:left="140"/>
              <w:spacing w:after="0"/>
              <w:rPr>
                <w:sz w:val="20"/>
                <w:szCs w:val="20"/>
                <w:color w:val="auto"/>
              </w:rPr>
            </w:pPr>
            <w:r>
              <w:rPr>
                <w:rFonts w:ascii="Arial" w:cs="Arial" w:eastAsia="Arial" w:hAnsi="Arial"/>
                <w:sz w:val="12"/>
                <w:szCs w:val="12"/>
                <w:color w:val="auto"/>
              </w:rPr>
              <w:t>Income tax (benefit) expense</w:t>
            </w:r>
          </w:p>
        </w:tc>
        <w:tc>
          <w:tcPr>
            <w:tcW w:w="440" w:type="dxa"/>
            <w:vAlign w:val="bottom"/>
            <w:shd w:val="clear" w:color="auto" w:fill="CFF0FC"/>
          </w:tcPr>
          <w:p>
            <w:pPr>
              <w:spacing w:after="0"/>
              <w:rPr>
                <w:sz w:val="13"/>
                <w:szCs w:val="13"/>
                <w:color w:val="auto"/>
              </w:rPr>
            </w:pPr>
          </w:p>
        </w:tc>
        <w:tc>
          <w:tcPr>
            <w:tcW w:w="16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(38,849)</w:t>
            </w:r>
          </w:p>
        </w:tc>
        <w:tc>
          <w:tcPr>
            <w:tcW w:w="640" w:type="dxa"/>
            <w:vAlign w:val="bottom"/>
            <w:shd w:val="clear" w:color="auto" w:fill="CFF0FC"/>
          </w:tcPr>
          <w:p>
            <w:pPr>
              <w:spacing w:after="0"/>
              <w:rPr>
                <w:sz w:val="13"/>
                <w:szCs w:val="13"/>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517</w:t>
            </w: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738</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Net (loss) income</w:t>
            </w:r>
          </w:p>
        </w:tc>
        <w:tc>
          <w:tcPr>
            <w:tcW w:w="4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260" w:type="dxa"/>
            <w:vAlign w:val="bottom"/>
            <w:gridSpan w:val="3"/>
            <w:vMerge w:val="continue"/>
          </w:tcPr>
          <w:p>
            <w:pPr>
              <w:spacing w:after="0"/>
              <w:rPr>
                <w:sz w:val="12"/>
                <w:szCs w:val="12"/>
                <w:color w:val="auto"/>
              </w:rPr>
            </w:pPr>
          </w:p>
        </w:tc>
        <w:tc>
          <w:tcPr>
            <w:tcW w:w="440" w:type="dxa"/>
            <w:vAlign w:val="bottom"/>
          </w:tcPr>
          <w:p>
            <w:pPr>
              <w:spacing w:after="0"/>
              <w:rPr>
                <w:sz w:val="12"/>
                <w:szCs w:val="12"/>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2"/>
                <w:szCs w:val="12"/>
                <w:color w:val="auto"/>
              </w:rPr>
              <w:t>(8,828)</w:t>
            </w:r>
          </w:p>
        </w:tc>
        <w:tc>
          <w:tcPr>
            <w:tcW w:w="640" w:type="dxa"/>
            <w:vAlign w:val="bottom"/>
          </w:tcPr>
          <w:p>
            <w:pPr>
              <w:spacing w:after="0"/>
              <w:rPr>
                <w:sz w:val="12"/>
                <w:szCs w:val="12"/>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2"/>
                <w:szCs w:val="12"/>
                <w:color w:val="auto"/>
              </w:rPr>
              <w:t>(212)</w:t>
            </w:r>
          </w:p>
        </w:tc>
        <w:tc>
          <w:tcPr>
            <w:tcW w:w="20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Arial" w:cs="Arial" w:eastAsia="Arial" w:hAnsi="Arial"/>
                <w:sz w:val="12"/>
                <w:szCs w:val="12"/>
                <w:color w:val="auto"/>
              </w:rPr>
              <w:t>24,870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24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Net income attributable to noncontrolling interests</w:t>
            </w:r>
          </w:p>
        </w:tc>
        <w:tc>
          <w:tcPr>
            <w:tcW w:w="440" w:type="dxa"/>
            <w:vAlign w:val="bottom"/>
            <w:tcBorders>
              <w:bottom w:val="single" w:sz="8" w:color="auto"/>
            </w:tcBorders>
            <w:shd w:val="clear" w:color="auto" w:fill="CFF0FC"/>
          </w:tcPr>
          <w:p>
            <w:pPr>
              <w:spacing w:after="0"/>
              <w:rPr>
                <w:sz w:val="13"/>
                <w:szCs w:val="13"/>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611</w:t>
            </w:r>
          </w:p>
        </w:tc>
        <w:tc>
          <w:tcPr>
            <w:tcW w:w="240" w:type="dxa"/>
            <w:vAlign w:val="bottom"/>
            <w:shd w:val="clear" w:color="auto" w:fill="CFF0FC"/>
          </w:tcPr>
          <w:p>
            <w:pPr>
              <w:spacing w:after="0"/>
              <w:rPr>
                <w:sz w:val="13"/>
                <w:szCs w:val="13"/>
                <w:color w:val="auto"/>
              </w:rPr>
            </w:pPr>
          </w:p>
        </w:tc>
        <w:tc>
          <w:tcPr>
            <w:tcW w:w="640" w:type="dxa"/>
            <w:vAlign w:val="bottom"/>
            <w:tcBorders>
              <w:bottom w:val="single" w:sz="8" w:color="auto"/>
            </w:tcBorders>
            <w:shd w:val="clear" w:color="auto" w:fill="CFF0FC"/>
          </w:tcPr>
          <w:p>
            <w:pPr>
              <w:spacing w:after="0"/>
              <w:rPr>
                <w:sz w:val="13"/>
                <w:szCs w:val="13"/>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260" w:type="dxa"/>
            <w:vAlign w:val="bottom"/>
            <w:gridSpan w:val="3"/>
          </w:tcPr>
          <w:p>
            <w:pPr>
              <w:spacing w:after="0"/>
              <w:rPr>
                <w:sz w:val="20"/>
                <w:szCs w:val="20"/>
                <w:color w:val="auto"/>
              </w:rPr>
            </w:pPr>
            <w:r>
              <w:rPr>
                <w:rFonts w:ascii="Arial" w:cs="Arial" w:eastAsia="Arial" w:hAnsi="Arial"/>
                <w:sz w:val="12"/>
                <w:szCs w:val="12"/>
                <w:b w:val="1"/>
                <w:bCs w:val="1"/>
                <w:color w:val="auto"/>
              </w:rPr>
              <w:t>Net (loss) income attributable to shareholders</w:t>
            </w:r>
          </w:p>
        </w:tc>
        <w:tc>
          <w:tcPr>
            <w:tcW w:w="440" w:type="dxa"/>
            <w:vAlign w:val="bottom"/>
          </w:tcPr>
          <w:p>
            <w:pPr>
              <w:spacing w:after="0"/>
              <w:rPr>
                <w:sz w:val="12"/>
                <w:szCs w:val="12"/>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2"/>
                <w:szCs w:val="12"/>
                <w:color w:val="auto"/>
              </w:rPr>
              <w:t>(9,439)</w:t>
            </w:r>
          </w:p>
        </w:tc>
        <w:tc>
          <w:tcPr>
            <w:tcW w:w="640" w:type="dxa"/>
            <w:vAlign w:val="bottom"/>
          </w:tcPr>
          <w:p>
            <w:pPr>
              <w:spacing w:after="0"/>
              <w:rPr>
                <w:sz w:val="12"/>
                <w:szCs w:val="12"/>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2"/>
                <w:szCs w:val="12"/>
                <w:color w:val="auto"/>
              </w:rPr>
              <w:t>(212)</w:t>
            </w:r>
          </w:p>
        </w:tc>
        <w:tc>
          <w:tcPr>
            <w:tcW w:w="20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Arial" w:cs="Arial" w:eastAsia="Arial" w:hAnsi="Arial"/>
                <w:sz w:val="12"/>
                <w:szCs w:val="12"/>
                <w:color w:val="auto"/>
              </w:rPr>
              <w:t>24,870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240" w:type="dxa"/>
            <w:vAlign w:val="bottom"/>
            <w:gridSpan w:val="2"/>
            <w:shd w:val="clear" w:color="auto" w:fill="CFF0FC"/>
          </w:tcPr>
          <w:p>
            <w:pPr>
              <w:ind w:left="140"/>
              <w:spacing w:after="0"/>
              <w:rPr>
                <w:sz w:val="20"/>
                <w:szCs w:val="20"/>
                <w:color w:val="auto"/>
              </w:rPr>
            </w:pPr>
            <w:r>
              <w:rPr>
                <w:rFonts w:ascii="Arial" w:cs="Arial" w:eastAsia="Arial" w:hAnsi="Arial"/>
                <w:sz w:val="12"/>
                <w:szCs w:val="12"/>
                <w:color w:val="auto"/>
              </w:rPr>
              <w:t>Participating securities' share in earnings</w:t>
            </w:r>
          </w:p>
        </w:tc>
        <w:tc>
          <w:tcPr>
            <w:tcW w:w="440" w:type="dxa"/>
            <w:vAlign w:val="bottom"/>
            <w:shd w:val="clear" w:color="auto" w:fill="CFF0FC"/>
          </w:tcPr>
          <w:p>
            <w:pPr>
              <w:spacing w:after="0"/>
              <w:rPr>
                <w:sz w:val="13"/>
                <w:szCs w:val="13"/>
                <w:color w:val="auto"/>
              </w:rPr>
            </w:pPr>
          </w:p>
        </w:tc>
        <w:tc>
          <w:tcPr>
            <w:tcW w:w="16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(1,509)</w:t>
            </w:r>
          </w:p>
        </w:tc>
        <w:tc>
          <w:tcPr>
            <w:tcW w:w="640" w:type="dxa"/>
            <w:vAlign w:val="bottom"/>
            <w:shd w:val="clear" w:color="auto" w:fill="CFF0FC"/>
          </w:tcPr>
          <w:p>
            <w:pPr>
              <w:spacing w:after="0"/>
              <w:rPr>
                <w:sz w:val="13"/>
                <w:szCs w:val="13"/>
                <w:color w:val="auto"/>
              </w:rPr>
            </w:pP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(1,557)</w:t>
            </w:r>
          </w:p>
        </w:tc>
        <w:tc>
          <w:tcPr>
            <w:tcW w:w="200" w:type="dxa"/>
            <w:vAlign w:val="bottom"/>
            <w:shd w:val="clear" w:color="auto" w:fill="CFF0FC"/>
          </w:tcPr>
          <w:p>
            <w:pPr>
              <w:spacing w:after="0"/>
              <w:rPr>
                <w:sz w:val="13"/>
                <w:szCs w:val="13"/>
                <w:color w:val="auto"/>
              </w:rPr>
            </w:pPr>
          </w:p>
        </w:tc>
        <w:tc>
          <w:tcPr>
            <w:tcW w:w="180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(1,152)</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240" w:type="dxa"/>
            <w:vAlign w:val="bottom"/>
            <w:gridSpan w:val="2"/>
          </w:tcPr>
          <w:p>
            <w:pPr>
              <w:ind w:left="140"/>
              <w:spacing w:after="0"/>
              <w:rPr>
                <w:sz w:val="20"/>
                <w:szCs w:val="20"/>
                <w:color w:val="auto"/>
              </w:rPr>
            </w:pPr>
            <w:r>
              <w:rPr>
                <w:rFonts w:ascii="Arial" w:cs="Arial" w:eastAsia="Arial" w:hAnsi="Arial"/>
                <w:sz w:val="12"/>
                <w:szCs w:val="12"/>
                <w:color w:val="auto"/>
              </w:rPr>
              <w:t>Dividends declared on convertible preferred stock</w:t>
            </w:r>
          </w:p>
        </w:tc>
        <w:tc>
          <w:tcPr>
            <w:tcW w:w="440" w:type="dxa"/>
            <w:vAlign w:val="bottom"/>
          </w:tcPr>
          <w:p>
            <w:pPr>
              <w:spacing w:after="0"/>
              <w:rPr>
                <w:sz w:val="13"/>
                <w:szCs w:val="13"/>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2"/>
                <w:szCs w:val="12"/>
                <w:color w:val="auto"/>
              </w:rPr>
              <w:t>(2,624)</w:t>
            </w:r>
          </w:p>
        </w:tc>
        <w:tc>
          <w:tcPr>
            <w:tcW w:w="640" w:type="dxa"/>
            <w:vAlign w:val="bottom"/>
          </w:tcPr>
          <w:p>
            <w:pPr>
              <w:spacing w:after="0"/>
              <w:rPr>
                <w:sz w:val="13"/>
                <w:szCs w:val="13"/>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2"/>
                <w:szCs w:val="12"/>
                <w:color w:val="auto"/>
              </w:rPr>
              <w:t>(1,743)</w:t>
            </w:r>
          </w:p>
        </w:tc>
        <w:tc>
          <w:tcPr>
            <w:tcW w:w="2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240" w:type="dxa"/>
            <w:vAlign w:val="bottom"/>
            <w:gridSpan w:val="2"/>
            <w:shd w:val="clear" w:color="auto" w:fill="CFF0FC"/>
          </w:tcPr>
          <w:p>
            <w:pPr>
              <w:ind w:left="140"/>
              <w:spacing w:after="0"/>
              <w:rPr>
                <w:sz w:val="20"/>
                <w:szCs w:val="20"/>
                <w:color w:val="auto"/>
              </w:rPr>
            </w:pPr>
            <w:r>
              <w:rPr>
                <w:rFonts w:ascii="Arial" w:cs="Arial" w:eastAsia="Arial" w:hAnsi="Arial"/>
                <w:sz w:val="12"/>
                <w:szCs w:val="12"/>
                <w:color w:val="auto"/>
              </w:rPr>
              <w:t>Amortization of discount on convertible preferred stock</w:t>
            </w:r>
          </w:p>
        </w:tc>
        <w:tc>
          <w:tcPr>
            <w:tcW w:w="440" w:type="dxa"/>
            <w:vAlign w:val="bottom"/>
            <w:shd w:val="clear" w:color="auto" w:fill="CFF0FC"/>
          </w:tcPr>
          <w:p>
            <w:pPr>
              <w:spacing w:after="0"/>
              <w:rPr>
                <w:sz w:val="13"/>
                <w:szCs w:val="13"/>
                <w:color w:val="auto"/>
              </w:rPr>
            </w:pPr>
          </w:p>
        </w:tc>
        <w:tc>
          <w:tcPr>
            <w:tcW w:w="16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(2,980)</w:t>
            </w:r>
          </w:p>
        </w:tc>
        <w:tc>
          <w:tcPr>
            <w:tcW w:w="640" w:type="dxa"/>
            <w:vAlign w:val="bottom"/>
            <w:shd w:val="clear" w:color="auto" w:fill="CFF0FC"/>
          </w:tcPr>
          <w:p>
            <w:pPr>
              <w:spacing w:after="0"/>
              <w:rPr>
                <w:sz w:val="13"/>
                <w:szCs w:val="13"/>
                <w:color w:val="auto"/>
              </w:rPr>
            </w:pP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(1,985)</w:t>
            </w:r>
          </w:p>
        </w:tc>
        <w:tc>
          <w:tcPr>
            <w:tcW w:w="200" w:type="dxa"/>
            <w:vAlign w:val="bottom"/>
            <w:shd w:val="clear" w:color="auto" w:fill="CFF0FC"/>
          </w:tcPr>
          <w:p>
            <w:pPr>
              <w:spacing w:after="0"/>
              <w:rPr>
                <w:sz w:val="13"/>
                <w:szCs w:val="13"/>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Net (loss) income attributable to common shareholders</w:t>
            </w:r>
          </w:p>
        </w:tc>
        <w:tc>
          <w:tcPr>
            <w:tcW w:w="4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5260" w:type="dxa"/>
            <w:vAlign w:val="bottom"/>
            <w:gridSpan w:val="3"/>
            <w:vMerge w:val="continue"/>
          </w:tcPr>
          <w:p>
            <w:pPr>
              <w:spacing w:after="0"/>
              <w:rPr>
                <w:sz w:val="12"/>
                <w:szCs w:val="12"/>
                <w:color w:val="auto"/>
              </w:rPr>
            </w:pPr>
          </w:p>
        </w:tc>
        <w:tc>
          <w:tcPr>
            <w:tcW w:w="440" w:type="dxa"/>
            <w:vAlign w:val="bottom"/>
          </w:tcPr>
          <w:p>
            <w:pPr>
              <w:jc w:val="right"/>
              <w:ind w:right="330"/>
              <w:spacing w:after="0"/>
              <w:rPr>
                <w:sz w:val="20"/>
                <w:szCs w:val="20"/>
                <w:color w:val="auto"/>
              </w:rPr>
            </w:pPr>
            <w:r>
              <w:rPr>
                <w:rFonts w:ascii="Arial" w:cs="Arial" w:eastAsia="Arial" w:hAnsi="Arial"/>
                <w:sz w:val="10"/>
                <w:szCs w:val="10"/>
                <w:color w:val="auto"/>
                <w:w w:val="71"/>
              </w:rPr>
              <w:t>$</w:t>
            </w:r>
          </w:p>
        </w:tc>
        <w:tc>
          <w:tcPr>
            <w:tcW w:w="1660" w:type="dxa"/>
            <w:vAlign w:val="bottom"/>
            <w:gridSpan w:val="2"/>
          </w:tcPr>
          <w:p>
            <w:pPr>
              <w:jc w:val="right"/>
              <w:ind w:right="200"/>
              <w:spacing w:after="0"/>
              <w:rPr>
                <w:sz w:val="20"/>
                <w:szCs w:val="20"/>
                <w:color w:val="auto"/>
              </w:rPr>
            </w:pPr>
            <w:r>
              <w:rPr>
                <w:rFonts w:ascii="Arial" w:cs="Arial" w:eastAsia="Arial" w:hAnsi="Arial"/>
                <w:sz w:val="12"/>
                <w:szCs w:val="12"/>
                <w:color w:val="auto"/>
              </w:rPr>
              <w:t>(16,552)</w:t>
            </w:r>
          </w:p>
        </w:tc>
        <w:tc>
          <w:tcPr>
            <w:tcW w:w="640" w:type="dxa"/>
            <w:vAlign w:val="bottom"/>
          </w:tcPr>
          <w:p>
            <w:pPr>
              <w:jc w:val="right"/>
              <w:ind w:right="530"/>
              <w:spacing w:after="0"/>
              <w:rPr>
                <w:sz w:val="20"/>
                <w:szCs w:val="20"/>
                <w:color w:val="auto"/>
              </w:rPr>
            </w:pPr>
            <w:r>
              <w:rPr>
                <w:rFonts w:ascii="Arial" w:cs="Arial" w:eastAsia="Arial" w:hAnsi="Arial"/>
                <w:sz w:val="10"/>
                <w:szCs w:val="10"/>
                <w:color w:val="auto"/>
                <w:w w:val="71"/>
              </w:rPr>
              <w:t>$</w:t>
            </w:r>
          </w:p>
        </w:tc>
        <w:tc>
          <w:tcPr>
            <w:tcW w:w="1480" w:type="dxa"/>
            <w:vAlign w:val="bottom"/>
            <w:gridSpan w:val="2"/>
          </w:tcPr>
          <w:p>
            <w:pPr>
              <w:jc w:val="right"/>
              <w:ind w:right="200"/>
              <w:spacing w:after="0"/>
              <w:rPr>
                <w:sz w:val="20"/>
                <w:szCs w:val="20"/>
                <w:color w:val="auto"/>
              </w:rPr>
            </w:pPr>
            <w:r>
              <w:rPr>
                <w:rFonts w:ascii="Arial" w:cs="Arial" w:eastAsia="Arial" w:hAnsi="Arial"/>
                <w:sz w:val="12"/>
                <w:szCs w:val="12"/>
                <w:color w:val="auto"/>
              </w:rPr>
              <w:t>(5,497)</w:t>
            </w: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1680" w:type="dxa"/>
            <w:vAlign w:val="bottom"/>
          </w:tcPr>
          <w:p>
            <w:pPr>
              <w:jc w:val="right"/>
              <w:spacing w:after="0"/>
              <w:rPr>
                <w:sz w:val="20"/>
                <w:szCs w:val="20"/>
                <w:color w:val="auto"/>
              </w:rPr>
            </w:pPr>
            <w:r>
              <w:rPr>
                <w:rFonts w:ascii="Arial" w:cs="Arial" w:eastAsia="Arial" w:hAnsi="Arial"/>
                <w:sz w:val="12"/>
                <w:szCs w:val="12"/>
                <w:color w:val="auto"/>
              </w:rPr>
              <w:t>23,718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vMerge w:val="restart"/>
          </w:tcPr>
          <w:p>
            <w:pPr>
              <w:spacing w:after="0"/>
              <w:rPr>
                <w:sz w:val="13"/>
                <w:szCs w:val="13"/>
                <w:color w:val="auto"/>
              </w:rPr>
            </w:pPr>
          </w:p>
        </w:tc>
        <w:tc>
          <w:tcPr>
            <w:tcW w:w="510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440" w:type="dxa"/>
            <w:vAlign w:val="bottom"/>
            <w:tcBorders>
              <w:top w:val="single" w:sz="8" w:color="auto"/>
            </w:tcBorders>
            <w:shd w:val="clear" w:color="auto" w:fill="CFF0FC"/>
          </w:tcPr>
          <w:p>
            <w:pPr>
              <w:spacing w:after="0"/>
              <w:rPr>
                <w:sz w:val="13"/>
                <w:szCs w:val="13"/>
                <w:color w:val="auto"/>
              </w:rPr>
            </w:pPr>
          </w:p>
        </w:tc>
        <w:tc>
          <w:tcPr>
            <w:tcW w:w="1420" w:type="dxa"/>
            <w:vAlign w:val="bottom"/>
            <w:tcBorders>
              <w:top w:val="single" w:sz="8" w:color="auto"/>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640" w:type="dxa"/>
            <w:vAlign w:val="bottom"/>
            <w:tcBorders>
              <w:top w:val="single" w:sz="8" w:color="auto"/>
            </w:tcBorders>
            <w:shd w:val="clear" w:color="auto" w:fill="CFF0FC"/>
          </w:tcPr>
          <w:p>
            <w:pPr>
              <w:spacing w:after="0"/>
              <w:rPr>
                <w:sz w:val="13"/>
                <w:szCs w:val="13"/>
                <w:color w:val="auto"/>
              </w:rPr>
            </w:pPr>
          </w:p>
        </w:tc>
        <w:tc>
          <w:tcPr>
            <w:tcW w:w="1240" w:type="dxa"/>
            <w:vAlign w:val="bottom"/>
            <w:tcBorders>
              <w:top w:val="single" w:sz="8" w:color="auto"/>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168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5240" w:type="dxa"/>
            <w:vAlign w:val="bottom"/>
            <w:gridSpan w:val="2"/>
          </w:tcPr>
          <w:p>
            <w:pPr>
              <w:spacing w:after="0"/>
              <w:rPr>
                <w:sz w:val="20"/>
                <w:szCs w:val="20"/>
                <w:color w:val="auto"/>
              </w:rPr>
            </w:pPr>
            <w:r>
              <w:rPr>
                <w:rFonts w:ascii="Arial" w:cs="Arial" w:eastAsia="Arial" w:hAnsi="Arial"/>
                <w:sz w:val="12"/>
                <w:szCs w:val="12"/>
                <w:b w:val="1"/>
                <w:bCs w:val="1"/>
                <w:color w:val="auto"/>
              </w:rPr>
              <w:t>(Loss) earnings per common share (Note 12):</w:t>
            </w:r>
          </w:p>
        </w:tc>
        <w:tc>
          <w:tcPr>
            <w:tcW w:w="4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240" w:type="dxa"/>
            <w:vAlign w:val="bottom"/>
            <w:gridSpan w:val="2"/>
            <w:shd w:val="clear" w:color="auto" w:fill="CFF0FC"/>
          </w:tcPr>
          <w:p>
            <w:pPr>
              <w:ind w:left="140"/>
              <w:spacing w:after="0"/>
              <w:rPr>
                <w:sz w:val="20"/>
                <w:szCs w:val="20"/>
                <w:color w:val="auto"/>
              </w:rPr>
            </w:pPr>
            <w:r>
              <w:rPr>
                <w:rFonts w:ascii="Arial" w:cs="Arial" w:eastAsia="Arial" w:hAnsi="Arial"/>
                <w:sz w:val="12"/>
                <w:szCs w:val="12"/>
                <w:color w:val="auto"/>
              </w:rPr>
              <w:t>Basic</w:t>
            </w:r>
          </w:p>
        </w:tc>
        <w:tc>
          <w:tcPr>
            <w:tcW w:w="440" w:type="dxa"/>
            <w:vAlign w:val="bottom"/>
            <w:shd w:val="clear" w:color="auto" w:fill="CFF0FC"/>
          </w:tcPr>
          <w:p>
            <w:pPr>
              <w:jc w:val="right"/>
              <w:ind w:right="330"/>
              <w:spacing w:after="0"/>
              <w:rPr>
                <w:sz w:val="20"/>
                <w:szCs w:val="20"/>
                <w:color w:val="auto"/>
              </w:rPr>
            </w:pPr>
            <w:r>
              <w:rPr>
                <w:rFonts w:ascii="Arial" w:cs="Arial" w:eastAsia="Arial" w:hAnsi="Arial"/>
                <w:sz w:val="10"/>
                <w:szCs w:val="10"/>
                <w:color w:val="auto"/>
                <w:w w:val="71"/>
              </w:rPr>
              <w:t>$</w:t>
            </w:r>
          </w:p>
        </w:tc>
        <w:tc>
          <w:tcPr>
            <w:tcW w:w="16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(0.10)</w:t>
            </w:r>
          </w:p>
        </w:tc>
        <w:tc>
          <w:tcPr>
            <w:tcW w:w="640" w:type="dxa"/>
            <w:vAlign w:val="bottom"/>
            <w:shd w:val="clear" w:color="auto" w:fill="CFF0FC"/>
          </w:tcPr>
          <w:p>
            <w:pPr>
              <w:jc w:val="right"/>
              <w:ind w:right="530"/>
              <w:spacing w:after="0"/>
              <w:rPr>
                <w:sz w:val="20"/>
                <w:szCs w:val="20"/>
                <w:color w:val="auto"/>
              </w:rPr>
            </w:pPr>
            <w:r>
              <w:rPr>
                <w:rFonts w:ascii="Arial" w:cs="Arial" w:eastAsia="Arial" w:hAnsi="Arial"/>
                <w:sz w:val="10"/>
                <w:szCs w:val="10"/>
                <w:color w:val="auto"/>
                <w:w w:val="71"/>
              </w:rPr>
              <w:t>$</w:t>
            </w: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(0.04)</w:t>
            </w:r>
          </w:p>
        </w:tc>
        <w:tc>
          <w:tcPr>
            <w:tcW w:w="200" w:type="dxa"/>
            <w:vAlign w:val="bottom"/>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0.16</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Borders>
              <w:top w:val="single" w:sz="8" w:color="CFF0FC"/>
            </w:tcBorders>
            <w:gridSpan w:val="2"/>
            <w:vMerge w:val="restart"/>
          </w:tcPr>
          <w:p>
            <w:pPr>
              <w:ind w:left="140"/>
              <w:spacing w:after="0"/>
              <w:rPr>
                <w:sz w:val="20"/>
                <w:szCs w:val="20"/>
                <w:color w:val="auto"/>
              </w:rPr>
            </w:pPr>
            <w:r>
              <w:rPr>
                <w:rFonts w:ascii="Arial" w:cs="Arial" w:eastAsia="Arial" w:hAnsi="Arial"/>
                <w:sz w:val="12"/>
                <w:szCs w:val="12"/>
                <w:color w:val="auto"/>
              </w:rPr>
              <w:t>Diluted</w:t>
            </w: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6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tcPr>
          <w:p>
            <w:pPr>
              <w:spacing w:after="0"/>
              <w:rPr>
                <w:sz w:val="12"/>
                <w:szCs w:val="12"/>
                <w:color w:val="auto"/>
              </w:rPr>
            </w:pPr>
          </w:p>
        </w:tc>
        <w:tc>
          <w:tcPr>
            <w:tcW w:w="5240" w:type="dxa"/>
            <w:vAlign w:val="bottom"/>
            <w:gridSpan w:val="2"/>
            <w:vMerge w:val="continue"/>
          </w:tcPr>
          <w:p>
            <w:pPr>
              <w:spacing w:after="0"/>
              <w:rPr>
                <w:sz w:val="12"/>
                <w:szCs w:val="12"/>
                <w:color w:val="auto"/>
              </w:rPr>
            </w:pPr>
          </w:p>
        </w:tc>
        <w:tc>
          <w:tcPr>
            <w:tcW w:w="440" w:type="dxa"/>
            <w:vAlign w:val="bottom"/>
          </w:tcPr>
          <w:p>
            <w:pPr>
              <w:jc w:val="right"/>
              <w:ind w:right="330"/>
              <w:spacing w:after="0"/>
              <w:rPr>
                <w:sz w:val="20"/>
                <w:szCs w:val="20"/>
                <w:color w:val="auto"/>
              </w:rPr>
            </w:pPr>
            <w:r>
              <w:rPr>
                <w:rFonts w:ascii="Arial" w:cs="Arial" w:eastAsia="Arial" w:hAnsi="Arial"/>
                <w:sz w:val="10"/>
                <w:szCs w:val="10"/>
                <w:color w:val="auto"/>
                <w:w w:val="71"/>
              </w:rPr>
              <w:t>$</w:t>
            </w:r>
          </w:p>
        </w:tc>
        <w:tc>
          <w:tcPr>
            <w:tcW w:w="1660" w:type="dxa"/>
            <w:vAlign w:val="bottom"/>
            <w:gridSpan w:val="2"/>
          </w:tcPr>
          <w:p>
            <w:pPr>
              <w:jc w:val="right"/>
              <w:ind w:right="200"/>
              <w:spacing w:after="0"/>
              <w:rPr>
                <w:sz w:val="20"/>
                <w:szCs w:val="20"/>
                <w:color w:val="auto"/>
              </w:rPr>
            </w:pPr>
            <w:r>
              <w:rPr>
                <w:rFonts w:ascii="Arial" w:cs="Arial" w:eastAsia="Arial" w:hAnsi="Arial"/>
                <w:sz w:val="12"/>
                <w:szCs w:val="12"/>
                <w:color w:val="auto"/>
              </w:rPr>
              <w:t>(0.13)</w:t>
            </w:r>
          </w:p>
        </w:tc>
        <w:tc>
          <w:tcPr>
            <w:tcW w:w="640" w:type="dxa"/>
            <w:vAlign w:val="bottom"/>
          </w:tcPr>
          <w:p>
            <w:pPr>
              <w:jc w:val="right"/>
              <w:ind w:right="530"/>
              <w:spacing w:after="0"/>
              <w:rPr>
                <w:sz w:val="20"/>
                <w:szCs w:val="20"/>
                <w:color w:val="auto"/>
              </w:rPr>
            </w:pPr>
            <w:r>
              <w:rPr>
                <w:rFonts w:ascii="Arial" w:cs="Arial" w:eastAsia="Arial" w:hAnsi="Arial"/>
                <w:sz w:val="10"/>
                <w:szCs w:val="10"/>
                <w:color w:val="auto"/>
                <w:w w:val="71"/>
              </w:rPr>
              <w:t>$</w:t>
            </w:r>
          </w:p>
        </w:tc>
        <w:tc>
          <w:tcPr>
            <w:tcW w:w="1480" w:type="dxa"/>
            <w:vAlign w:val="bottom"/>
            <w:gridSpan w:val="2"/>
          </w:tcPr>
          <w:p>
            <w:pPr>
              <w:jc w:val="right"/>
              <w:ind w:right="200"/>
              <w:spacing w:after="0"/>
              <w:rPr>
                <w:sz w:val="20"/>
                <w:szCs w:val="20"/>
                <w:color w:val="auto"/>
              </w:rPr>
            </w:pPr>
            <w:r>
              <w:rPr>
                <w:rFonts w:ascii="Arial" w:cs="Arial" w:eastAsia="Arial" w:hAnsi="Arial"/>
                <w:sz w:val="12"/>
                <w:szCs w:val="12"/>
                <w:color w:val="auto"/>
              </w:rPr>
              <w:t>(0.04)</w:t>
            </w: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1680" w:type="dxa"/>
            <w:vAlign w:val="bottom"/>
          </w:tcPr>
          <w:p>
            <w:pPr>
              <w:jc w:val="right"/>
              <w:spacing w:after="0"/>
              <w:rPr>
                <w:sz w:val="20"/>
                <w:szCs w:val="20"/>
                <w:color w:val="auto"/>
              </w:rPr>
            </w:pPr>
            <w:r>
              <w:rPr>
                <w:rFonts w:ascii="Arial" w:cs="Arial" w:eastAsia="Arial" w:hAnsi="Arial"/>
                <w:sz w:val="12"/>
                <w:szCs w:val="12"/>
                <w:color w:val="auto"/>
              </w:rPr>
              <w:t>0.16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vMerge w:val="restart"/>
          </w:tcPr>
          <w:p>
            <w:pPr>
              <w:spacing w:after="0"/>
              <w:rPr>
                <w:sz w:val="13"/>
                <w:szCs w:val="13"/>
                <w:color w:val="auto"/>
              </w:rPr>
            </w:pPr>
          </w:p>
        </w:tc>
        <w:tc>
          <w:tcPr>
            <w:tcW w:w="510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440" w:type="dxa"/>
            <w:vAlign w:val="bottom"/>
            <w:tcBorders>
              <w:top w:val="single" w:sz="8" w:color="auto"/>
            </w:tcBorders>
            <w:shd w:val="clear" w:color="auto" w:fill="CFF0FC"/>
          </w:tcPr>
          <w:p>
            <w:pPr>
              <w:spacing w:after="0"/>
              <w:rPr>
                <w:sz w:val="13"/>
                <w:szCs w:val="13"/>
                <w:color w:val="auto"/>
              </w:rPr>
            </w:pPr>
          </w:p>
        </w:tc>
        <w:tc>
          <w:tcPr>
            <w:tcW w:w="1420" w:type="dxa"/>
            <w:vAlign w:val="bottom"/>
            <w:tcBorders>
              <w:top w:val="single" w:sz="8" w:color="auto"/>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640" w:type="dxa"/>
            <w:vAlign w:val="bottom"/>
            <w:tcBorders>
              <w:top w:val="single" w:sz="8" w:color="auto"/>
            </w:tcBorders>
            <w:shd w:val="clear" w:color="auto" w:fill="CFF0FC"/>
          </w:tcPr>
          <w:p>
            <w:pPr>
              <w:spacing w:after="0"/>
              <w:rPr>
                <w:sz w:val="13"/>
                <w:szCs w:val="13"/>
                <w:color w:val="auto"/>
              </w:rPr>
            </w:pPr>
          </w:p>
        </w:tc>
        <w:tc>
          <w:tcPr>
            <w:tcW w:w="1240" w:type="dxa"/>
            <w:vAlign w:val="bottom"/>
            <w:tcBorders>
              <w:top w:val="single" w:sz="8" w:color="auto"/>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168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5240" w:type="dxa"/>
            <w:vAlign w:val="bottom"/>
            <w:gridSpan w:val="2"/>
          </w:tcPr>
          <w:p>
            <w:pPr>
              <w:spacing w:after="0"/>
              <w:rPr>
                <w:sz w:val="20"/>
                <w:szCs w:val="20"/>
                <w:color w:val="auto"/>
              </w:rPr>
            </w:pPr>
            <w:r>
              <w:rPr>
                <w:rFonts w:ascii="Arial" w:cs="Arial" w:eastAsia="Arial" w:hAnsi="Arial"/>
                <w:sz w:val="12"/>
                <w:szCs w:val="12"/>
                <w:b w:val="1"/>
                <w:bCs w:val="1"/>
                <w:color w:val="auto"/>
              </w:rPr>
              <w:t>Weighted-average number of common shares outstanding</w:t>
            </w:r>
          </w:p>
        </w:tc>
        <w:tc>
          <w:tcPr>
            <w:tcW w:w="4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240" w:type="dxa"/>
            <w:vAlign w:val="bottom"/>
            <w:tcBorders>
              <w:bottom w:val="single" w:sz="8" w:color="CFF0FC"/>
            </w:tcBorders>
            <w:gridSpan w:val="2"/>
            <w:shd w:val="clear" w:color="auto" w:fill="CFF0FC"/>
          </w:tcPr>
          <w:p>
            <w:pPr>
              <w:ind w:left="140"/>
              <w:spacing w:after="0"/>
              <w:rPr>
                <w:sz w:val="20"/>
                <w:szCs w:val="20"/>
                <w:color w:val="auto"/>
              </w:rPr>
            </w:pPr>
            <w:r>
              <w:rPr>
                <w:rFonts w:ascii="Arial" w:cs="Arial" w:eastAsia="Arial" w:hAnsi="Arial"/>
                <w:sz w:val="12"/>
                <w:szCs w:val="12"/>
                <w:color w:val="auto"/>
              </w:rPr>
              <w:t>Basic</w:t>
            </w:r>
          </w:p>
        </w:tc>
        <w:tc>
          <w:tcPr>
            <w:tcW w:w="440" w:type="dxa"/>
            <w:vAlign w:val="bottom"/>
            <w:tcBorders>
              <w:bottom w:val="single" w:sz="8" w:color="auto"/>
            </w:tcBorders>
            <w:shd w:val="clear" w:color="auto" w:fill="CFF0FC"/>
          </w:tcPr>
          <w:p>
            <w:pPr>
              <w:spacing w:after="0"/>
              <w:rPr>
                <w:sz w:val="15"/>
                <w:szCs w:val="15"/>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168,693</w:t>
            </w:r>
          </w:p>
        </w:tc>
        <w:tc>
          <w:tcPr>
            <w:tcW w:w="240" w:type="dxa"/>
            <w:vAlign w:val="bottom"/>
            <w:tcBorders>
              <w:bottom w:val="single" w:sz="8" w:color="CFF0FC"/>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spacing w:after="0"/>
              <w:rPr>
                <w:sz w:val="15"/>
                <w:szCs w:val="15"/>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152,473</w:t>
            </w:r>
          </w:p>
        </w:tc>
        <w:tc>
          <w:tcPr>
            <w:tcW w:w="24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149,835</w:t>
            </w:r>
          </w:p>
        </w:tc>
        <w:tc>
          <w:tcPr>
            <w:tcW w:w="12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240" w:type="dxa"/>
            <w:vAlign w:val="bottom"/>
            <w:tcBorders>
              <w:bottom w:val="single" w:sz="8" w:color="CFF0FC"/>
            </w:tcBorders>
            <w:gridSpan w:val="2"/>
          </w:tcPr>
          <w:p>
            <w:pPr>
              <w:ind w:left="140"/>
              <w:spacing w:after="0"/>
              <w:rPr>
                <w:sz w:val="20"/>
                <w:szCs w:val="20"/>
                <w:color w:val="auto"/>
              </w:rPr>
            </w:pPr>
            <w:r>
              <w:rPr>
                <w:rFonts w:ascii="Arial" w:cs="Arial" w:eastAsia="Arial" w:hAnsi="Arial"/>
                <w:sz w:val="12"/>
                <w:szCs w:val="12"/>
                <w:color w:val="auto"/>
              </w:rPr>
              <w:t>Diluted</w:t>
            </w:r>
          </w:p>
        </w:tc>
        <w:tc>
          <w:tcPr>
            <w:tcW w:w="44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168,989</w:t>
            </w:r>
          </w:p>
        </w:tc>
        <w:tc>
          <w:tcPr>
            <w:tcW w:w="240" w:type="dxa"/>
            <w:vAlign w:val="bottom"/>
            <w:tcBorders>
              <w:bottom w:val="single" w:sz="8" w:color="CFF0FC"/>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152,473</w:t>
            </w:r>
          </w:p>
        </w:tc>
        <w:tc>
          <w:tcPr>
            <w:tcW w:w="240" w:type="dxa"/>
            <w:vAlign w:val="bottom"/>
            <w:tcBorders>
              <w:bottom w:val="single" w:sz="8" w:color="CFF0FC"/>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149,835</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vMerge w:val="restart"/>
          </w:tcPr>
          <w:p>
            <w:pPr>
              <w:spacing w:after="0"/>
              <w:rPr>
                <w:sz w:val="13"/>
                <w:szCs w:val="13"/>
                <w:color w:val="auto"/>
              </w:rPr>
            </w:pPr>
          </w:p>
        </w:tc>
        <w:tc>
          <w:tcPr>
            <w:tcW w:w="5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4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2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vMerge w:val="continue"/>
          </w:tcPr>
          <w:p>
            <w:pPr>
              <w:spacing w:after="0"/>
              <w:rPr>
                <w:sz w:val="13"/>
                <w:szCs w:val="13"/>
                <w:color w:val="auto"/>
              </w:rPr>
            </w:pPr>
          </w:p>
        </w:tc>
        <w:tc>
          <w:tcPr>
            <w:tcW w:w="5240" w:type="dxa"/>
            <w:vAlign w:val="bottom"/>
            <w:gridSpan w:val="2"/>
          </w:tcPr>
          <w:p>
            <w:pPr>
              <w:spacing w:after="0"/>
              <w:rPr>
                <w:sz w:val="20"/>
                <w:szCs w:val="20"/>
                <w:color w:val="auto"/>
              </w:rPr>
            </w:pPr>
            <w:r>
              <w:rPr>
                <w:rFonts w:ascii="Arial" w:cs="Arial" w:eastAsia="Arial" w:hAnsi="Arial"/>
                <w:sz w:val="12"/>
                <w:szCs w:val="12"/>
                <w:b w:val="1"/>
                <w:bCs w:val="1"/>
                <w:color w:val="auto"/>
              </w:rPr>
              <w:t>Dividends declared per common share</w:t>
            </w:r>
          </w:p>
        </w:tc>
        <w:tc>
          <w:tcPr>
            <w:tcW w:w="440" w:type="dxa"/>
            <w:vAlign w:val="bottom"/>
            <w:tcBorders>
              <w:bottom w:val="single" w:sz="8" w:color="auto"/>
            </w:tcBorders>
          </w:tcPr>
          <w:p>
            <w:pPr>
              <w:jc w:val="right"/>
              <w:ind w:right="330"/>
              <w:spacing w:after="0"/>
              <w:rPr>
                <w:sz w:val="20"/>
                <w:szCs w:val="20"/>
                <w:color w:val="auto"/>
              </w:rPr>
            </w:pPr>
            <w:r>
              <w:rPr>
                <w:rFonts w:ascii="Arial" w:cs="Arial" w:eastAsia="Arial" w:hAnsi="Arial"/>
                <w:sz w:val="10"/>
                <w:szCs w:val="10"/>
                <w:color w:val="auto"/>
                <w:w w:val="71"/>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2.40</w:t>
            </w:r>
          </w:p>
        </w:tc>
        <w:tc>
          <w:tcPr>
            <w:tcW w:w="240" w:type="dxa"/>
            <w:vAlign w:val="bottom"/>
          </w:tcPr>
          <w:p>
            <w:pPr>
              <w:spacing w:after="0"/>
              <w:rPr>
                <w:sz w:val="13"/>
                <w:szCs w:val="13"/>
                <w:color w:val="auto"/>
              </w:rPr>
            </w:pPr>
          </w:p>
        </w:tc>
        <w:tc>
          <w:tcPr>
            <w:tcW w:w="640" w:type="dxa"/>
            <w:vAlign w:val="bottom"/>
            <w:tcBorders>
              <w:bottom w:val="single" w:sz="8" w:color="auto"/>
            </w:tcBorders>
          </w:tcPr>
          <w:p>
            <w:pPr>
              <w:jc w:val="right"/>
              <w:ind w:right="530"/>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2.40</w:t>
            </w:r>
          </w:p>
        </w:tc>
        <w:tc>
          <w:tcPr>
            <w:tcW w:w="240" w:type="dxa"/>
            <w:vAlign w:val="bottom"/>
          </w:tcPr>
          <w:p>
            <w:pPr>
              <w:spacing w:after="0"/>
              <w:rPr>
                <w:sz w:val="13"/>
                <w:szCs w:val="13"/>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The accompanying notes are an integral part of these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52" w:name="page53"/>
    <w:bookmarkEnd w:id="52"/>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7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Uniti Group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Consolidated Statements of Comprehensive Income (Loss)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2440" w:type="dxa"/>
            <w:vAlign w:val="bottom"/>
            <w:tcBorders>
              <w:bottom w:val="single" w:sz="8" w:color="auto"/>
            </w:tcBorders>
            <w:gridSpan w:val="3"/>
          </w:tcPr>
          <w:p>
            <w:pPr>
              <w:jc w:val="right"/>
              <w:ind w:right="190"/>
              <w:spacing w:after="0"/>
              <w:rPr>
                <w:sz w:val="20"/>
                <w:szCs w:val="20"/>
                <w:color w:val="auto"/>
              </w:rPr>
            </w:pPr>
            <w:r>
              <w:rPr>
                <w:rFonts w:ascii="Arial" w:cs="Arial" w:eastAsia="Arial" w:hAnsi="Arial"/>
                <w:sz w:val="10"/>
                <w:szCs w:val="10"/>
                <w:b w:val="1"/>
                <w:bCs w:val="1"/>
                <w:color w:val="auto"/>
              </w:rPr>
              <w:t>Year Ended December 31,</w:t>
            </w:r>
          </w:p>
        </w:tc>
        <w:tc>
          <w:tcPr>
            <w:tcW w:w="1380" w:type="dxa"/>
            <w:vAlign w:val="bottom"/>
            <w:tcBorders>
              <w:bottom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920" w:type="dxa"/>
            <w:vAlign w:val="bottom"/>
            <w:gridSpan w:val="2"/>
          </w:tcPr>
          <w:p>
            <w:pPr>
              <w:jc w:val="right"/>
              <w:ind w:right="900"/>
              <w:spacing w:after="0"/>
              <w:rPr>
                <w:sz w:val="20"/>
                <w:szCs w:val="20"/>
                <w:color w:val="auto"/>
              </w:rPr>
            </w:pPr>
            <w:r>
              <w:rPr>
                <w:rFonts w:ascii="Arial" w:cs="Arial" w:eastAsia="Arial" w:hAnsi="Arial"/>
                <w:sz w:val="10"/>
                <w:szCs w:val="10"/>
                <w:b w:val="1"/>
                <w:bCs w:val="1"/>
                <w:color w:val="auto"/>
              </w:rPr>
              <w:t>Period from</w:t>
            </w:r>
          </w:p>
        </w:tc>
        <w:tc>
          <w:tcPr>
            <w:tcW w:w="0" w:type="dxa"/>
            <w:vAlign w:val="bottom"/>
          </w:tcPr>
          <w:p>
            <w:pPr>
              <w:spacing w:after="0"/>
              <w:rPr>
                <w:sz w:val="1"/>
                <w:szCs w:val="1"/>
                <w:color w:val="auto"/>
              </w:rPr>
            </w:pPr>
          </w:p>
        </w:tc>
      </w:tr>
      <w:tr>
        <w:trPr>
          <w:trHeight w:val="151"/>
        </w:trPr>
        <w:tc>
          <w:tcPr>
            <w:tcW w:w="462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(Thousands)</w:t>
            </w:r>
          </w:p>
        </w:tc>
        <w:tc>
          <w:tcPr>
            <w:tcW w:w="160" w:type="dxa"/>
            <w:vAlign w:val="bottom"/>
            <w:tcBorders>
              <w:bottom w:val="single" w:sz="8" w:color="CFF0FC"/>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ind w:right="863"/>
              <w:spacing w:after="0"/>
              <w:rPr>
                <w:sz w:val="20"/>
                <w:szCs w:val="20"/>
                <w:color w:val="auto"/>
              </w:rPr>
            </w:pPr>
            <w:r>
              <w:rPr>
                <w:rFonts w:ascii="Arial" w:cs="Arial" w:eastAsia="Arial" w:hAnsi="Arial"/>
                <w:sz w:val="10"/>
                <w:szCs w:val="10"/>
                <w:b w:val="1"/>
                <w:bCs w:val="1"/>
                <w:color w:val="auto"/>
              </w:rPr>
              <w:t>2017</w:t>
            </w:r>
          </w:p>
        </w:tc>
        <w:tc>
          <w:tcPr>
            <w:tcW w:w="260" w:type="dxa"/>
            <w:vAlign w:val="bottom"/>
            <w:tcBorders>
              <w:bottom w:val="single" w:sz="8" w:color="CFF0FC"/>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861"/>
              <w:spacing w:after="0"/>
              <w:rPr>
                <w:sz w:val="20"/>
                <w:szCs w:val="20"/>
                <w:color w:val="auto"/>
              </w:rPr>
            </w:pPr>
            <w:r>
              <w:rPr>
                <w:rFonts w:ascii="Arial" w:cs="Arial" w:eastAsia="Arial" w:hAnsi="Arial"/>
                <w:sz w:val="10"/>
                <w:szCs w:val="10"/>
                <w:b w:val="1"/>
                <w:bCs w:val="1"/>
                <w:color w:val="auto"/>
              </w:rPr>
              <w:t>2016</w:t>
            </w:r>
          </w:p>
        </w:tc>
        <w:tc>
          <w:tcPr>
            <w:tcW w:w="26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tcPr>
          <w:p>
            <w:pPr>
              <w:jc w:val="right"/>
              <w:ind w:right="363"/>
              <w:spacing w:after="0"/>
              <w:rPr>
                <w:sz w:val="20"/>
                <w:szCs w:val="20"/>
                <w:color w:val="auto"/>
              </w:rPr>
            </w:pPr>
            <w:r>
              <w:rPr>
                <w:rFonts w:ascii="Arial" w:cs="Arial" w:eastAsia="Arial" w:hAnsi="Arial"/>
                <w:sz w:val="10"/>
                <w:szCs w:val="10"/>
                <w:b w:val="1"/>
                <w:bCs w:val="1"/>
                <w:color w:val="auto"/>
              </w:rPr>
              <w:t>April 24 - December 31, 2015</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7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Net (loss) income</w:t>
            </w:r>
          </w:p>
        </w:tc>
        <w:tc>
          <w:tcPr>
            <w:tcW w:w="480" w:type="dxa"/>
            <w:vAlign w:val="bottom"/>
            <w:shd w:val="clear" w:color="auto" w:fill="CFF0FC"/>
          </w:tcPr>
          <w:p>
            <w:pPr>
              <w:jc w:val="right"/>
              <w:ind w:right="370"/>
              <w:spacing w:after="0"/>
              <w:rPr>
                <w:sz w:val="20"/>
                <w:szCs w:val="20"/>
                <w:color w:val="auto"/>
              </w:rPr>
            </w:pPr>
            <w:r>
              <w:rPr>
                <w:rFonts w:ascii="Arial" w:cs="Arial" w:eastAsia="Arial" w:hAnsi="Arial"/>
                <w:sz w:val="10"/>
                <w:szCs w:val="10"/>
                <w:color w:val="auto"/>
                <w:w w:val="71"/>
              </w:rPr>
              <w:t>$</w:t>
            </w:r>
          </w:p>
        </w:tc>
        <w:tc>
          <w:tcPr>
            <w:tcW w:w="180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(8,828)</w:t>
            </w:r>
          </w:p>
        </w:tc>
        <w:tc>
          <w:tcPr>
            <w:tcW w:w="640" w:type="dxa"/>
            <w:vAlign w:val="bottom"/>
            <w:shd w:val="clear" w:color="auto" w:fill="CFF0FC"/>
          </w:tcPr>
          <w:p>
            <w:pPr>
              <w:jc w:val="right"/>
              <w:ind w:right="530"/>
              <w:spacing w:after="0"/>
              <w:rPr>
                <w:sz w:val="20"/>
                <w:szCs w:val="20"/>
                <w:color w:val="auto"/>
              </w:rPr>
            </w:pPr>
            <w:r>
              <w:rPr>
                <w:rFonts w:ascii="Arial" w:cs="Arial" w:eastAsia="Arial" w:hAnsi="Arial"/>
                <w:sz w:val="10"/>
                <w:szCs w:val="10"/>
                <w:color w:val="auto"/>
                <w:w w:val="71"/>
              </w:rPr>
              <w:t>$</w:t>
            </w:r>
          </w:p>
        </w:tc>
        <w:tc>
          <w:tcPr>
            <w:tcW w:w="164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(212)</w:t>
            </w:r>
          </w:p>
        </w:tc>
        <w:tc>
          <w:tcPr>
            <w:tcW w:w="220" w:type="dxa"/>
            <w:vAlign w:val="bottom"/>
            <w:shd w:val="clear" w:color="auto" w:fill="CFF0FC"/>
          </w:tcPr>
          <w:p>
            <w:pPr>
              <w:jc w:val="right"/>
              <w:ind w:right="110"/>
              <w:spacing w:after="0"/>
              <w:rPr>
                <w:sz w:val="20"/>
                <w:szCs w:val="20"/>
                <w:color w:val="auto"/>
              </w:rPr>
            </w:pPr>
            <w:r>
              <w:rPr>
                <w:rFonts w:ascii="Arial" w:cs="Arial" w:eastAsia="Arial" w:hAnsi="Arial"/>
                <w:sz w:val="10"/>
                <w:szCs w:val="10"/>
                <w:color w:val="auto"/>
                <w:w w:val="71"/>
              </w:rPr>
              <w:t>$</w:t>
            </w:r>
          </w:p>
        </w:tc>
        <w:tc>
          <w:tcPr>
            <w:tcW w:w="1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24,870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780" w:type="dxa"/>
            <w:vAlign w:val="bottom"/>
            <w:gridSpan w:val="2"/>
          </w:tcPr>
          <w:p>
            <w:pPr>
              <w:spacing w:after="0"/>
              <w:rPr>
                <w:sz w:val="20"/>
                <w:szCs w:val="20"/>
                <w:color w:val="auto"/>
              </w:rPr>
            </w:pPr>
            <w:r>
              <w:rPr>
                <w:rFonts w:ascii="Arial" w:cs="Arial" w:eastAsia="Arial" w:hAnsi="Arial"/>
                <w:sz w:val="12"/>
                <w:szCs w:val="12"/>
                <w:color w:val="auto"/>
              </w:rPr>
              <w:t>Other comprehensive income (loss):</w:t>
            </w:r>
          </w:p>
        </w:tc>
        <w:tc>
          <w:tcPr>
            <w:tcW w:w="4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78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Unrealized gain (loss) on derivative contracts</w:t>
            </w:r>
          </w:p>
        </w:tc>
        <w:tc>
          <w:tcPr>
            <w:tcW w:w="480" w:type="dxa"/>
            <w:vAlign w:val="bottom"/>
            <w:shd w:val="clear" w:color="auto" w:fill="CFF0FC"/>
          </w:tcPr>
          <w:p>
            <w:pPr>
              <w:spacing w:after="0"/>
              <w:rPr>
                <w:sz w:val="13"/>
                <w:szCs w:val="13"/>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12,895</w:t>
            </w:r>
          </w:p>
        </w:tc>
        <w:tc>
          <w:tcPr>
            <w:tcW w:w="26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64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(675)</w:t>
            </w:r>
          </w:p>
        </w:tc>
        <w:tc>
          <w:tcPr>
            <w:tcW w:w="220" w:type="dxa"/>
            <w:vAlign w:val="bottom"/>
            <w:shd w:val="clear" w:color="auto" w:fill="CFF0FC"/>
          </w:tcPr>
          <w:p>
            <w:pPr>
              <w:spacing w:after="0"/>
              <w:rPr>
                <w:sz w:val="13"/>
                <w:szCs w:val="13"/>
                <w:color w:val="auto"/>
              </w:rPr>
            </w:pPr>
          </w:p>
        </w:tc>
        <w:tc>
          <w:tcPr>
            <w:tcW w:w="19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(5,427)</w:t>
            </w:r>
          </w:p>
        </w:tc>
        <w:tc>
          <w:tcPr>
            <w:tcW w:w="0" w:type="dxa"/>
            <w:vAlign w:val="bottom"/>
          </w:tcPr>
          <w:p>
            <w:pPr>
              <w:spacing w:after="0"/>
              <w:rPr>
                <w:sz w:val="1"/>
                <w:szCs w:val="1"/>
                <w:color w:val="auto"/>
              </w:rPr>
            </w:pPr>
          </w:p>
        </w:tc>
      </w:tr>
      <w:tr>
        <w:trPr>
          <w:trHeight w:val="153"/>
        </w:trPr>
        <w:tc>
          <w:tcPr>
            <w:tcW w:w="4780" w:type="dxa"/>
            <w:vAlign w:val="bottom"/>
            <w:gridSpan w:val="2"/>
          </w:tcPr>
          <w:p>
            <w:pPr>
              <w:ind w:left="160"/>
              <w:spacing w:after="0"/>
              <w:rPr>
                <w:sz w:val="20"/>
                <w:szCs w:val="20"/>
                <w:color w:val="auto"/>
              </w:rPr>
            </w:pPr>
            <w:r>
              <w:rPr>
                <w:rFonts w:ascii="Arial" w:cs="Arial" w:eastAsia="Arial" w:hAnsi="Arial"/>
                <w:sz w:val="12"/>
                <w:szCs w:val="12"/>
                <w:color w:val="auto"/>
              </w:rPr>
              <w:t>Changes in foreign currency translation</w:t>
            </w:r>
          </w:p>
        </w:tc>
        <w:tc>
          <w:tcPr>
            <w:tcW w:w="48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Arial" w:cs="Arial" w:eastAsia="Arial" w:hAnsi="Arial"/>
                <w:sz w:val="12"/>
                <w:szCs w:val="12"/>
                <w:color w:val="auto"/>
              </w:rPr>
              <w:t>1,660</w:t>
            </w: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2"/>
                <w:szCs w:val="12"/>
                <w:color w:val="auto"/>
              </w:rPr>
              <w:t>(267)</w:t>
            </w:r>
          </w:p>
        </w:tc>
        <w:tc>
          <w:tcPr>
            <w:tcW w:w="220" w:type="dxa"/>
            <w:vAlign w:val="bottom"/>
          </w:tcPr>
          <w:p>
            <w:pPr>
              <w:spacing w:after="0"/>
              <w:rPr>
                <w:sz w:val="13"/>
                <w:szCs w:val="13"/>
                <w:color w:val="auto"/>
              </w:rPr>
            </w:pPr>
          </w:p>
        </w:tc>
        <w:tc>
          <w:tcPr>
            <w:tcW w:w="18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780" w:type="dxa"/>
            <w:vAlign w:val="bottom"/>
            <w:gridSpan w:val="2"/>
            <w:vMerge w:val="restart"/>
            <w:shd w:val="clear" w:color="auto" w:fill="CFF0FC"/>
          </w:tcPr>
          <w:p>
            <w:pPr>
              <w:spacing w:after="0"/>
              <w:rPr>
                <w:sz w:val="20"/>
                <w:szCs w:val="20"/>
                <w:color w:val="auto"/>
              </w:rPr>
            </w:pPr>
            <w:r>
              <w:rPr>
                <w:rFonts w:ascii="Arial" w:cs="Arial" w:eastAsia="Arial" w:hAnsi="Arial"/>
                <w:sz w:val="12"/>
                <w:szCs w:val="12"/>
                <w:color w:val="auto"/>
              </w:rPr>
              <w:t>Other comprehensive income (loss)</w:t>
            </w:r>
          </w:p>
        </w:tc>
        <w:tc>
          <w:tcPr>
            <w:tcW w:w="48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780" w:type="dxa"/>
            <w:vAlign w:val="bottom"/>
            <w:gridSpan w:val="2"/>
            <w:vMerge w:val="continue"/>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14,555</w:t>
            </w:r>
          </w:p>
        </w:tc>
        <w:tc>
          <w:tcPr>
            <w:tcW w:w="2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64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(942)</w:t>
            </w:r>
          </w:p>
        </w:tc>
        <w:tc>
          <w:tcPr>
            <w:tcW w:w="220" w:type="dxa"/>
            <w:vAlign w:val="bottom"/>
            <w:shd w:val="clear" w:color="auto" w:fill="CFF0FC"/>
          </w:tcPr>
          <w:p>
            <w:pPr>
              <w:spacing w:after="0"/>
              <w:rPr>
                <w:sz w:val="12"/>
                <w:szCs w:val="12"/>
                <w:color w:val="auto"/>
              </w:rPr>
            </w:pPr>
          </w:p>
        </w:tc>
        <w:tc>
          <w:tcPr>
            <w:tcW w:w="19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(5,427)</w:t>
            </w:r>
          </w:p>
        </w:tc>
        <w:tc>
          <w:tcPr>
            <w:tcW w:w="0" w:type="dxa"/>
            <w:vAlign w:val="bottom"/>
          </w:tcPr>
          <w:p>
            <w:pPr>
              <w:spacing w:after="0"/>
              <w:rPr>
                <w:sz w:val="1"/>
                <w:szCs w:val="1"/>
                <w:color w:val="auto"/>
              </w:rPr>
            </w:pPr>
          </w:p>
        </w:tc>
      </w:tr>
      <w:tr>
        <w:trPr>
          <w:trHeight w:val="20"/>
        </w:trPr>
        <w:tc>
          <w:tcPr>
            <w:tcW w:w="4780" w:type="dxa"/>
            <w:vAlign w:val="bottom"/>
            <w:gridSpan w:val="2"/>
            <w:vMerge w:val="restart"/>
          </w:tcPr>
          <w:p>
            <w:pPr>
              <w:spacing w:after="0"/>
              <w:rPr>
                <w:sz w:val="20"/>
                <w:szCs w:val="20"/>
                <w:color w:val="auto"/>
              </w:rPr>
            </w:pPr>
            <w:r>
              <w:rPr>
                <w:rFonts w:ascii="Arial" w:cs="Arial" w:eastAsia="Arial" w:hAnsi="Arial"/>
                <w:sz w:val="12"/>
                <w:szCs w:val="12"/>
                <w:color w:val="auto"/>
              </w:rPr>
              <w:t>Comprehensive income (loss)</w:t>
            </w:r>
          </w:p>
        </w:tc>
        <w:tc>
          <w:tcPr>
            <w:tcW w:w="48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78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1540" w:type="dxa"/>
            <w:vAlign w:val="bottom"/>
          </w:tcPr>
          <w:p>
            <w:pPr>
              <w:jc w:val="right"/>
              <w:spacing w:after="0"/>
              <w:rPr>
                <w:sz w:val="20"/>
                <w:szCs w:val="20"/>
                <w:color w:val="auto"/>
              </w:rPr>
            </w:pPr>
            <w:r>
              <w:rPr>
                <w:rFonts w:ascii="Arial" w:cs="Arial" w:eastAsia="Arial" w:hAnsi="Arial"/>
                <w:sz w:val="12"/>
                <w:szCs w:val="12"/>
                <w:color w:val="auto"/>
              </w:rPr>
              <w:t>5,727</w:t>
            </w: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2"/>
                <w:szCs w:val="12"/>
                <w:color w:val="auto"/>
              </w:rPr>
              <w:t>(1,154)</w:t>
            </w:r>
          </w:p>
        </w:tc>
        <w:tc>
          <w:tcPr>
            <w:tcW w:w="220" w:type="dxa"/>
            <w:vAlign w:val="bottom"/>
          </w:tcPr>
          <w:p>
            <w:pPr>
              <w:spacing w:after="0"/>
              <w:rPr>
                <w:sz w:val="12"/>
                <w:szCs w:val="12"/>
                <w:color w:val="auto"/>
              </w:rPr>
            </w:pPr>
          </w:p>
        </w:tc>
        <w:tc>
          <w:tcPr>
            <w:tcW w:w="1800" w:type="dxa"/>
            <w:vAlign w:val="bottom"/>
          </w:tcPr>
          <w:p>
            <w:pPr>
              <w:jc w:val="right"/>
              <w:spacing w:after="0"/>
              <w:rPr>
                <w:sz w:val="20"/>
                <w:szCs w:val="20"/>
                <w:color w:val="auto"/>
              </w:rPr>
            </w:pPr>
            <w:r>
              <w:rPr>
                <w:rFonts w:ascii="Arial" w:cs="Arial" w:eastAsia="Arial" w:hAnsi="Arial"/>
                <w:sz w:val="12"/>
                <w:szCs w:val="12"/>
                <w:color w:val="auto"/>
              </w:rPr>
              <w:t>19,443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7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Comprehensive income attributable to noncontrolling interest</w:t>
            </w:r>
          </w:p>
        </w:tc>
        <w:tc>
          <w:tcPr>
            <w:tcW w:w="480" w:type="dxa"/>
            <w:vAlign w:val="bottom"/>
            <w:tcBorders>
              <w:bottom w:val="single" w:sz="8" w:color="auto"/>
            </w:tcBorders>
            <w:shd w:val="clear" w:color="auto" w:fill="CFF0FC"/>
          </w:tcPr>
          <w:p>
            <w:pPr>
              <w:spacing w:after="0"/>
              <w:rPr>
                <w:sz w:val="13"/>
                <w:szCs w:val="13"/>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976</w:t>
            </w:r>
          </w:p>
        </w:tc>
        <w:tc>
          <w:tcPr>
            <w:tcW w:w="260" w:type="dxa"/>
            <w:vAlign w:val="bottom"/>
            <w:shd w:val="clear" w:color="auto" w:fill="CFF0FC"/>
          </w:tcPr>
          <w:p>
            <w:pPr>
              <w:spacing w:after="0"/>
              <w:rPr>
                <w:sz w:val="13"/>
                <w:szCs w:val="13"/>
                <w:color w:val="auto"/>
              </w:rPr>
            </w:pPr>
          </w:p>
        </w:tc>
        <w:tc>
          <w:tcPr>
            <w:tcW w:w="640" w:type="dxa"/>
            <w:vAlign w:val="bottom"/>
            <w:tcBorders>
              <w:bottom w:val="single" w:sz="8" w:color="auto"/>
            </w:tcBorders>
            <w:shd w:val="clear" w:color="auto" w:fill="CFF0FC"/>
          </w:tcPr>
          <w:p>
            <w:pPr>
              <w:spacing w:after="0"/>
              <w:rPr>
                <w:sz w:val="13"/>
                <w:szCs w:val="13"/>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60" w:type="dxa"/>
            <w:vAlign w:val="bottom"/>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780" w:type="dxa"/>
            <w:vAlign w:val="bottom"/>
            <w:gridSpan w:val="2"/>
          </w:tcPr>
          <w:p>
            <w:pPr>
              <w:spacing w:after="0"/>
              <w:rPr>
                <w:sz w:val="20"/>
                <w:szCs w:val="20"/>
                <w:color w:val="auto"/>
              </w:rPr>
            </w:pPr>
            <w:r>
              <w:rPr>
                <w:rFonts w:ascii="Arial" w:cs="Arial" w:eastAsia="Arial" w:hAnsi="Arial"/>
                <w:sz w:val="12"/>
                <w:szCs w:val="12"/>
                <w:b w:val="1"/>
                <w:bCs w:val="1"/>
                <w:color w:val="auto"/>
              </w:rPr>
              <w:t>Comprehensive income (loss) attributable to common shareholders</w:t>
            </w:r>
          </w:p>
        </w:tc>
        <w:tc>
          <w:tcPr>
            <w:tcW w:w="480" w:type="dxa"/>
            <w:vAlign w:val="bottom"/>
          </w:tcPr>
          <w:p>
            <w:pPr>
              <w:jc w:val="right"/>
              <w:ind w:right="370"/>
              <w:spacing w:after="0"/>
              <w:rPr>
                <w:sz w:val="20"/>
                <w:szCs w:val="20"/>
                <w:color w:val="auto"/>
              </w:rPr>
            </w:pPr>
            <w:r>
              <w:rPr>
                <w:rFonts w:ascii="Arial" w:cs="Arial" w:eastAsia="Arial" w:hAnsi="Arial"/>
                <w:sz w:val="10"/>
                <w:szCs w:val="10"/>
                <w:color w:val="auto"/>
                <w:w w:val="71"/>
              </w:rPr>
              <w:t>$</w:t>
            </w:r>
          </w:p>
        </w:tc>
        <w:tc>
          <w:tcPr>
            <w:tcW w:w="1540" w:type="dxa"/>
            <w:vAlign w:val="bottom"/>
          </w:tcPr>
          <w:p>
            <w:pPr>
              <w:jc w:val="right"/>
              <w:spacing w:after="0"/>
              <w:rPr>
                <w:sz w:val="20"/>
                <w:szCs w:val="20"/>
                <w:color w:val="auto"/>
              </w:rPr>
            </w:pPr>
            <w:r>
              <w:rPr>
                <w:rFonts w:ascii="Arial" w:cs="Arial" w:eastAsia="Arial" w:hAnsi="Arial"/>
                <w:sz w:val="12"/>
                <w:szCs w:val="12"/>
                <w:color w:val="auto"/>
              </w:rPr>
              <w:t>4,751</w:t>
            </w:r>
          </w:p>
        </w:tc>
        <w:tc>
          <w:tcPr>
            <w:tcW w:w="260" w:type="dxa"/>
            <w:vAlign w:val="bottom"/>
          </w:tcPr>
          <w:p>
            <w:pPr>
              <w:spacing w:after="0"/>
              <w:rPr>
                <w:sz w:val="12"/>
                <w:szCs w:val="12"/>
                <w:color w:val="auto"/>
              </w:rPr>
            </w:pPr>
          </w:p>
        </w:tc>
        <w:tc>
          <w:tcPr>
            <w:tcW w:w="640" w:type="dxa"/>
            <w:vAlign w:val="bottom"/>
          </w:tcPr>
          <w:p>
            <w:pPr>
              <w:jc w:val="right"/>
              <w:ind w:right="530"/>
              <w:spacing w:after="0"/>
              <w:rPr>
                <w:sz w:val="20"/>
                <w:szCs w:val="20"/>
                <w:color w:val="auto"/>
              </w:rPr>
            </w:pPr>
            <w:r>
              <w:rPr>
                <w:rFonts w:ascii="Arial" w:cs="Arial" w:eastAsia="Arial" w:hAnsi="Arial"/>
                <w:sz w:val="10"/>
                <w:szCs w:val="10"/>
                <w:color w:val="auto"/>
                <w:w w:val="71"/>
              </w:rPr>
              <w:t>$</w:t>
            </w:r>
          </w:p>
        </w:tc>
        <w:tc>
          <w:tcPr>
            <w:tcW w:w="1640" w:type="dxa"/>
            <w:vAlign w:val="bottom"/>
            <w:gridSpan w:val="2"/>
          </w:tcPr>
          <w:p>
            <w:pPr>
              <w:jc w:val="right"/>
              <w:ind w:right="220"/>
              <w:spacing w:after="0"/>
              <w:rPr>
                <w:sz w:val="20"/>
                <w:szCs w:val="20"/>
                <w:color w:val="auto"/>
              </w:rPr>
            </w:pPr>
            <w:r>
              <w:rPr>
                <w:rFonts w:ascii="Arial" w:cs="Arial" w:eastAsia="Arial" w:hAnsi="Arial"/>
                <w:sz w:val="12"/>
                <w:szCs w:val="12"/>
                <w:color w:val="auto"/>
              </w:rPr>
              <w:t>(1,154)</w:t>
            </w: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1800" w:type="dxa"/>
            <w:vAlign w:val="bottom"/>
          </w:tcPr>
          <w:p>
            <w:pPr>
              <w:jc w:val="right"/>
              <w:spacing w:after="0"/>
              <w:rPr>
                <w:sz w:val="20"/>
                <w:szCs w:val="20"/>
                <w:color w:val="auto"/>
              </w:rPr>
            </w:pPr>
            <w:r>
              <w:rPr>
                <w:rFonts w:ascii="Arial" w:cs="Arial" w:eastAsia="Arial" w:hAnsi="Arial"/>
                <w:sz w:val="12"/>
                <w:szCs w:val="12"/>
                <w:color w:val="auto"/>
              </w:rPr>
              <w:t>19,443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The accompanying notes are an integral part of these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53" w:name="page54"/>
    <w:bookmarkEnd w:id="53"/>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7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Uniti Group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Consolidated Statements of Shareholders’ Deficit</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0"/>
                <w:szCs w:val="10"/>
                <w:color w:val="auto"/>
                <w:w w:val="91"/>
              </w:rPr>
              <w:t>Distributions in</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2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gridSpan w:val="3"/>
          </w:tcPr>
          <w:p>
            <w:pPr>
              <w:jc w:val="center"/>
              <w:ind w:right="140"/>
              <w:spacing w:after="0" w:line="99" w:lineRule="exact"/>
              <w:rPr>
                <w:sz w:val="20"/>
                <w:szCs w:val="20"/>
                <w:color w:val="auto"/>
              </w:rPr>
            </w:pPr>
            <w:r>
              <w:rPr>
                <w:rFonts w:ascii="Arial" w:cs="Arial" w:eastAsia="Arial" w:hAnsi="Arial"/>
                <w:sz w:val="10"/>
                <w:szCs w:val="10"/>
                <w:color w:val="auto"/>
                <w:w w:val="88"/>
              </w:rPr>
              <w:t>Accumulated Other</w:t>
            </w:r>
          </w:p>
        </w:tc>
        <w:tc>
          <w:tcPr>
            <w:tcW w:w="160" w:type="dxa"/>
            <w:vAlign w:val="bottom"/>
          </w:tcPr>
          <w:p>
            <w:pPr>
              <w:spacing w:after="0"/>
              <w:rPr>
                <w:sz w:val="8"/>
                <w:szCs w:val="8"/>
                <w:color w:val="auto"/>
              </w:rPr>
            </w:pPr>
          </w:p>
        </w:tc>
        <w:tc>
          <w:tcPr>
            <w:tcW w:w="860" w:type="dxa"/>
            <w:vAlign w:val="bottom"/>
            <w:gridSpan w:val="2"/>
          </w:tcPr>
          <w:p>
            <w:pPr>
              <w:jc w:val="center"/>
              <w:ind w:right="200"/>
              <w:spacing w:after="0" w:line="99" w:lineRule="exact"/>
              <w:rPr>
                <w:sz w:val="20"/>
                <w:szCs w:val="20"/>
                <w:color w:val="auto"/>
              </w:rPr>
            </w:pPr>
            <w:r>
              <w:rPr>
                <w:rFonts w:ascii="Arial" w:cs="Arial" w:eastAsia="Arial" w:hAnsi="Arial"/>
                <w:sz w:val="10"/>
                <w:szCs w:val="10"/>
                <w:color w:val="auto"/>
                <w:w w:val="87"/>
              </w:rPr>
              <w:t>Excess of</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gridSpan w:val="3"/>
          </w:tcPr>
          <w:p>
            <w:pPr>
              <w:jc w:val="right"/>
              <w:ind w:right="160"/>
              <w:spacing w:after="0" w:line="99" w:lineRule="exact"/>
              <w:rPr>
                <w:sz w:val="20"/>
                <w:szCs w:val="20"/>
                <w:color w:val="auto"/>
              </w:rPr>
            </w:pPr>
            <w:r>
              <w:rPr>
                <w:rFonts w:ascii="Arial" w:cs="Arial" w:eastAsia="Arial" w:hAnsi="Arial"/>
                <w:sz w:val="10"/>
                <w:szCs w:val="10"/>
                <w:color w:val="auto"/>
                <w:w w:val="91"/>
              </w:rPr>
              <w:t>Additional Paid-</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gridSpan w:val="2"/>
          </w:tcPr>
          <w:p>
            <w:pPr>
              <w:jc w:val="center"/>
              <w:ind w:right="220"/>
              <w:spacing w:after="0" w:line="99" w:lineRule="exact"/>
              <w:rPr>
                <w:sz w:val="20"/>
                <w:szCs w:val="20"/>
                <w:color w:val="auto"/>
              </w:rPr>
            </w:pPr>
            <w:r>
              <w:rPr>
                <w:rFonts w:ascii="Arial" w:cs="Arial" w:eastAsia="Arial" w:hAnsi="Arial"/>
                <w:sz w:val="10"/>
                <w:szCs w:val="10"/>
                <w:color w:val="auto"/>
                <w:w w:val="85"/>
              </w:rPr>
              <w:t>Comprehensive</w:t>
            </w:r>
          </w:p>
        </w:tc>
        <w:tc>
          <w:tcPr>
            <w:tcW w:w="160" w:type="dxa"/>
            <w:vAlign w:val="bottom"/>
          </w:tcPr>
          <w:p>
            <w:pPr>
              <w:spacing w:after="0"/>
              <w:rPr>
                <w:sz w:val="8"/>
                <w:szCs w:val="8"/>
                <w:color w:val="auto"/>
              </w:rPr>
            </w:pPr>
          </w:p>
        </w:tc>
        <w:tc>
          <w:tcPr>
            <w:tcW w:w="860" w:type="dxa"/>
            <w:vAlign w:val="bottom"/>
            <w:gridSpan w:val="2"/>
          </w:tcPr>
          <w:p>
            <w:pPr>
              <w:jc w:val="center"/>
              <w:ind w:right="200"/>
              <w:spacing w:after="0" w:line="99" w:lineRule="exact"/>
              <w:rPr>
                <w:sz w:val="20"/>
                <w:szCs w:val="20"/>
                <w:color w:val="auto"/>
              </w:rPr>
            </w:pPr>
            <w:r>
              <w:rPr>
                <w:rFonts w:ascii="Arial" w:cs="Arial" w:eastAsia="Arial" w:hAnsi="Arial"/>
                <w:sz w:val="10"/>
                <w:szCs w:val="10"/>
                <w:color w:val="auto"/>
                <w:w w:val="86"/>
              </w:rPr>
              <w:t>Accumulated</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gridSpan w:val="2"/>
          </w:tcPr>
          <w:p>
            <w:pPr>
              <w:jc w:val="right"/>
              <w:ind w:right="240"/>
              <w:spacing w:after="0" w:line="99" w:lineRule="exact"/>
              <w:rPr>
                <w:sz w:val="20"/>
                <w:szCs w:val="20"/>
                <w:color w:val="auto"/>
              </w:rPr>
            </w:pPr>
            <w:r>
              <w:rPr>
                <w:rFonts w:ascii="Arial" w:cs="Arial" w:eastAsia="Arial" w:hAnsi="Arial"/>
                <w:sz w:val="10"/>
                <w:szCs w:val="10"/>
                <w:color w:val="auto"/>
                <w:w w:val="93"/>
              </w:rPr>
              <w:t>Noncontrolling</w:t>
            </w:r>
          </w:p>
        </w:tc>
        <w:tc>
          <w:tcPr>
            <w:tcW w:w="100" w:type="dxa"/>
            <w:vAlign w:val="bottom"/>
          </w:tcPr>
          <w:p>
            <w:pPr>
              <w:spacing w:after="0"/>
              <w:rPr>
                <w:sz w:val="8"/>
                <w:szCs w:val="8"/>
                <w:color w:val="auto"/>
              </w:rPr>
            </w:pPr>
          </w:p>
        </w:tc>
        <w:tc>
          <w:tcPr>
            <w:tcW w:w="880" w:type="dxa"/>
            <w:vAlign w:val="bottom"/>
            <w:gridSpan w:val="3"/>
          </w:tcPr>
          <w:p>
            <w:pPr>
              <w:spacing w:after="0" w:line="99" w:lineRule="exact"/>
              <w:rPr>
                <w:sz w:val="20"/>
                <w:szCs w:val="20"/>
                <w:color w:val="auto"/>
              </w:rPr>
            </w:pPr>
            <w:r>
              <w:rPr>
                <w:rFonts w:ascii="Arial" w:cs="Arial" w:eastAsia="Arial" w:hAnsi="Arial"/>
                <w:sz w:val="10"/>
                <w:szCs w:val="10"/>
                <w:color w:val="auto"/>
                <w:w w:val="99"/>
              </w:rPr>
              <w:t>Total Shareholders'</w:t>
            </w:r>
          </w:p>
        </w:tc>
        <w:tc>
          <w:tcPr>
            <w:tcW w:w="0" w:type="dxa"/>
            <w:vAlign w:val="bottom"/>
          </w:tcPr>
          <w:p>
            <w:pPr>
              <w:spacing w:after="0"/>
              <w:rPr>
                <w:sz w:val="1"/>
                <w:szCs w:val="1"/>
                <w:color w:val="auto"/>
              </w:rPr>
            </w:pPr>
          </w:p>
        </w:tc>
      </w:tr>
      <w:tr>
        <w:trPr>
          <w:trHeight w:val="112"/>
        </w:trPr>
        <w:tc>
          <w:tcPr>
            <w:tcW w:w="2960" w:type="dxa"/>
            <w:vAlign w:val="bottom"/>
            <w:gridSpan w:val="2"/>
            <w:vMerge w:val="restart"/>
          </w:tcPr>
          <w:p>
            <w:pPr>
              <w:spacing w:after="0"/>
              <w:rPr>
                <w:sz w:val="20"/>
                <w:szCs w:val="20"/>
                <w:color w:val="auto"/>
              </w:rPr>
            </w:pPr>
            <w:r>
              <w:rPr>
                <w:rFonts w:ascii="Arial" w:cs="Arial" w:eastAsia="Arial" w:hAnsi="Arial"/>
                <w:sz w:val="10"/>
                <w:szCs w:val="10"/>
                <w:color w:val="auto"/>
              </w:rPr>
              <w:t>(Thousands, except share data)</w:t>
            </w: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0" w:type="dxa"/>
            <w:vAlign w:val="bottom"/>
            <w:gridSpan w:val="5"/>
          </w:tcPr>
          <w:p>
            <w:pPr>
              <w:ind w:left="20"/>
              <w:spacing w:after="0" w:line="112" w:lineRule="exact"/>
              <w:rPr>
                <w:sz w:val="20"/>
                <w:szCs w:val="20"/>
                <w:color w:val="auto"/>
              </w:rPr>
            </w:pPr>
            <w:r>
              <w:rPr>
                <w:rFonts w:ascii="Arial" w:cs="Arial" w:eastAsia="Arial" w:hAnsi="Arial"/>
                <w:sz w:val="10"/>
                <w:szCs w:val="10"/>
                <w:color w:val="auto"/>
              </w:rPr>
              <w:t>Preferred Stock</w:t>
            </w: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gridSpan w:val="3"/>
          </w:tcPr>
          <w:p>
            <w:pPr>
              <w:jc w:val="right"/>
              <w:spacing w:after="0" w:line="112" w:lineRule="exact"/>
              <w:rPr>
                <w:sz w:val="20"/>
                <w:szCs w:val="20"/>
                <w:color w:val="auto"/>
              </w:rPr>
            </w:pPr>
            <w:r>
              <w:rPr>
                <w:rFonts w:ascii="Arial" w:cs="Arial" w:eastAsia="Arial" w:hAnsi="Arial"/>
                <w:sz w:val="10"/>
                <w:szCs w:val="10"/>
                <w:color w:val="auto"/>
                <w:w w:val="87"/>
              </w:rPr>
              <w:t>Common Stock</w:t>
            </w: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2"/>
          </w:tcPr>
          <w:p>
            <w:pPr>
              <w:jc w:val="right"/>
              <w:ind w:right="280"/>
              <w:spacing w:after="0" w:line="112" w:lineRule="exact"/>
              <w:rPr>
                <w:sz w:val="20"/>
                <w:szCs w:val="20"/>
                <w:color w:val="auto"/>
              </w:rPr>
            </w:pPr>
            <w:r>
              <w:rPr>
                <w:rFonts w:ascii="Arial" w:cs="Arial" w:eastAsia="Arial" w:hAnsi="Arial"/>
                <w:sz w:val="10"/>
                <w:szCs w:val="10"/>
                <w:color w:val="auto"/>
              </w:rPr>
              <w:t>in Capital</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gridSpan w:val="2"/>
          </w:tcPr>
          <w:p>
            <w:pPr>
              <w:jc w:val="center"/>
              <w:ind w:right="220"/>
              <w:spacing w:after="0" w:line="112" w:lineRule="exact"/>
              <w:rPr>
                <w:sz w:val="20"/>
                <w:szCs w:val="20"/>
                <w:color w:val="auto"/>
              </w:rPr>
            </w:pPr>
            <w:r>
              <w:rPr>
                <w:rFonts w:ascii="Arial" w:cs="Arial" w:eastAsia="Arial" w:hAnsi="Arial"/>
                <w:sz w:val="10"/>
                <w:szCs w:val="10"/>
                <w:color w:val="auto"/>
                <w:w w:val="88"/>
              </w:rPr>
              <w:t>(Loss) Income</w:t>
            </w:r>
          </w:p>
        </w:tc>
        <w:tc>
          <w:tcPr>
            <w:tcW w:w="160" w:type="dxa"/>
            <w:vAlign w:val="bottom"/>
          </w:tcPr>
          <w:p>
            <w:pPr>
              <w:spacing w:after="0"/>
              <w:rPr>
                <w:sz w:val="9"/>
                <w:szCs w:val="9"/>
                <w:color w:val="auto"/>
              </w:rPr>
            </w:pPr>
          </w:p>
        </w:tc>
        <w:tc>
          <w:tcPr>
            <w:tcW w:w="860" w:type="dxa"/>
            <w:vAlign w:val="bottom"/>
            <w:gridSpan w:val="2"/>
          </w:tcPr>
          <w:p>
            <w:pPr>
              <w:jc w:val="center"/>
              <w:ind w:right="200"/>
              <w:spacing w:after="0" w:line="112" w:lineRule="exact"/>
              <w:rPr>
                <w:sz w:val="20"/>
                <w:szCs w:val="20"/>
                <w:color w:val="auto"/>
              </w:rPr>
            </w:pPr>
            <w:r>
              <w:rPr>
                <w:rFonts w:ascii="Arial" w:cs="Arial" w:eastAsia="Arial" w:hAnsi="Arial"/>
                <w:sz w:val="10"/>
                <w:szCs w:val="10"/>
                <w:color w:val="auto"/>
                <w:w w:val="86"/>
              </w:rPr>
              <w:t>Earnings</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gridSpan w:val="2"/>
          </w:tcPr>
          <w:p>
            <w:pPr>
              <w:jc w:val="right"/>
              <w:ind w:right="380"/>
              <w:spacing w:after="0" w:line="112" w:lineRule="exact"/>
              <w:rPr>
                <w:sz w:val="20"/>
                <w:szCs w:val="20"/>
                <w:color w:val="auto"/>
              </w:rPr>
            </w:pPr>
            <w:r>
              <w:rPr>
                <w:rFonts w:ascii="Arial" w:cs="Arial" w:eastAsia="Arial" w:hAnsi="Arial"/>
                <w:sz w:val="10"/>
                <w:szCs w:val="10"/>
                <w:color w:val="auto"/>
              </w:rPr>
              <w:t>Interests</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gridSpan w:val="2"/>
          </w:tcPr>
          <w:p>
            <w:pPr>
              <w:jc w:val="right"/>
              <w:ind w:right="380"/>
              <w:spacing w:after="0" w:line="112" w:lineRule="exact"/>
              <w:rPr>
                <w:sz w:val="20"/>
                <w:szCs w:val="20"/>
                <w:color w:val="auto"/>
              </w:rPr>
            </w:pPr>
            <w:r>
              <w:rPr>
                <w:rFonts w:ascii="Arial" w:cs="Arial" w:eastAsia="Arial" w:hAnsi="Arial"/>
                <w:sz w:val="10"/>
                <w:szCs w:val="10"/>
                <w:color w:val="auto"/>
              </w:rPr>
              <w:t>Deficit</w:t>
            </w:r>
          </w:p>
        </w:tc>
        <w:tc>
          <w:tcPr>
            <w:tcW w:w="0" w:type="dxa"/>
            <w:vAlign w:val="bottom"/>
          </w:tcPr>
          <w:p>
            <w:pPr>
              <w:spacing w:after="0"/>
              <w:rPr>
                <w:sz w:val="1"/>
                <w:szCs w:val="1"/>
                <w:color w:val="auto"/>
              </w:rPr>
            </w:pPr>
          </w:p>
        </w:tc>
      </w:tr>
      <w:tr>
        <w:trPr>
          <w:trHeight w:val="88"/>
        </w:trPr>
        <w:tc>
          <w:tcPr>
            <w:tcW w:w="2960" w:type="dxa"/>
            <w:vAlign w:val="bottom"/>
            <w:gridSpan w:val="2"/>
            <w:vMerge w:val="continue"/>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line="88" w:lineRule="exact"/>
              <w:rPr>
                <w:sz w:val="20"/>
                <w:szCs w:val="20"/>
                <w:color w:val="auto"/>
              </w:rPr>
            </w:pPr>
            <w:r>
              <w:rPr>
                <w:rFonts w:ascii="Arial" w:cs="Arial" w:eastAsia="Arial" w:hAnsi="Arial"/>
                <w:sz w:val="10"/>
                <w:szCs w:val="10"/>
                <w:color w:val="auto"/>
                <w:w w:val="75"/>
              </w:rPr>
              <w:t>Shares</w:t>
            </w:r>
          </w:p>
        </w:tc>
        <w:tc>
          <w:tcPr>
            <w:tcW w:w="220" w:type="dxa"/>
            <w:vAlign w:val="bottom"/>
            <w:tcBorders>
              <w:top w:val="single" w:sz="8" w:color="auto"/>
            </w:tcBorders>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380" w:type="dxa"/>
            <w:vAlign w:val="bottom"/>
            <w:tcBorders>
              <w:top w:val="single" w:sz="8" w:color="auto"/>
            </w:tcBorders>
            <w:gridSpan w:val="2"/>
          </w:tcPr>
          <w:p>
            <w:pPr>
              <w:spacing w:after="0" w:line="88" w:lineRule="exact"/>
              <w:rPr>
                <w:sz w:val="20"/>
                <w:szCs w:val="20"/>
                <w:color w:val="auto"/>
              </w:rPr>
            </w:pPr>
            <w:r>
              <w:rPr>
                <w:rFonts w:ascii="Arial" w:cs="Arial" w:eastAsia="Arial" w:hAnsi="Arial"/>
                <w:sz w:val="10"/>
                <w:szCs w:val="10"/>
                <w:color w:val="auto"/>
              </w:rPr>
              <w:t>Amount</w:t>
            </w:r>
          </w:p>
        </w:tc>
        <w:tc>
          <w:tcPr>
            <w:tcW w:w="12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480" w:type="dxa"/>
            <w:vAlign w:val="bottom"/>
            <w:tcBorders>
              <w:top w:val="single" w:sz="8" w:color="auto"/>
            </w:tcBorders>
            <w:gridSpan w:val="2"/>
          </w:tcPr>
          <w:p>
            <w:pPr>
              <w:jc w:val="right"/>
              <w:ind w:right="172"/>
              <w:spacing w:after="0" w:line="88" w:lineRule="exact"/>
              <w:rPr>
                <w:sz w:val="20"/>
                <w:szCs w:val="20"/>
                <w:color w:val="auto"/>
              </w:rPr>
            </w:pPr>
            <w:r>
              <w:rPr>
                <w:rFonts w:ascii="Arial" w:cs="Arial" w:eastAsia="Arial" w:hAnsi="Arial"/>
                <w:sz w:val="10"/>
                <w:szCs w:val="10"/>
                <w:color w:val="auto"/>
                <w:w w:val="75"/>
              </w:rPr>
              <w:t>Shares</w:t>
            </w:r>
          </w:p>
        </w:tc>
        <w:tc>
          <w:tcPr>
            <w:tcW w:w="220" w:type="dxa"/>
            <w:vAlign w:val="bottom"/>
            <w:tcBorders>
              <w:top w:val="single" w:sz="8" w:color="auto"/>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500" w:type="dxa"/>
            <w:vAlign w:val="bottom"/>
            <w:tcBorders>
              <w:top w:val="single" w:sz="8" w:color="auto"/>
            </w:tcBorders>
            <w:gridSpan w:val="2"/>
          </w:tcPr>
          <w:p>
            <w:pPr>
              <w:jc w:val="right"/>
              <w:ind w:right="180"/>
              <w:spacing w:after="0" w:line="88" w:lineRule="exact"/>
              <w:rPr>
                <w:sz w:val="20"/>
                <w:szCs w:val="20"/>
                <w:color w:val="auto"/>
              </w:rPr>
            </w:pPr>
            <w:r>
              <w:rPr>
                <w:rFonts w:ascii="Arial" w:cs="Arial" w:eastAsia="Arial" w:hAnsi="Arial"/>
                <w:sz w:val="10"/>
                <w:szCs w:val="10"/>
                <w:color w:val="auto"/>
                <w:w w:val="86"/>
              </w:rPr>
              <w:t>Amount</w:t>
            </w:r>
          </w:p>
        </w:tc>
        <w:tc>
          <w:tcPr>
            <w:tcW w:w="22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CFF0FC"/>
            </w:tcBorders>
          </w:tcPr>
          <w:p>
            <w:pPr>
              <w:spacing w:after="0" w:line="20" w:lineRule="exact"/>
              <w:rPr>
                <w:sz w:val="1"/>
                <w:szCs w:val="1"/>
                <w:color w:val="auto"/>
              </w:rPr>
            </w:pPr>
          </w:p>
        </w:tc>
        <w:tc>
          <w:tcPr>
            <w:tcW w:w="260" w:type="dxa"/>
            <w:vAlign w:val="bottom"/>
            <w:tcBorders>
              <w:bottom w:val="single" w:sz="8" w:color="CFF0FC"/>
            </w:tcBorders>
            <w:shd w:val="clear" w:color="auto" w:fill="000000"/>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CFF0FC"/>
            </w:tcBorders>
          </w:tcPr>
          <w:p>
            <w:pPr>
              <w:spacing w:after="0" w:line="20" w:lineRule="exact"/>
              <w:rPr>
                <w:sz w:val="1"/>
                <w:szCs w:val="1"/>
                <w:color w:val="auto"/>
              </w:rPr>
            </w:pPr>
          </w:p>
        </w:tc>
        <w:tc>
          <w:tcPr>
            <w:tcW w:w="300" w:type="dxa"/>
            <w:vAlign w:val="bottom"/>
            <w:tcBorders>
              <w:bottom w:val="single" w:sz="8" w:color="CFF0FC"/>
            </w:tcBorders>
            <w:shd w:val="clear" w:color="auto" w:fill="000000"/>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260" w:type="dxa"/>
            <w:vAlign w:val="bottom"/>
            <w:tcBorders>
              <w:bottom w:val="single" w:sz="8" w:color="CFF0FC"/>
            </w:tcBorders>
            <w:shd w:val="clear" w:color="auto" w:fill="000000"/>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CFF0FC"/>
            </w:tcBorders>
          </w:tcPr>
          <w:p>
            <w:pPr>
              <w:spacing w:after="0" w:line="20" w:lineRule="exact"/>
              <w:rPr>
                <w:sz w:val="1"/>
                <w:szCs w:val="1"/>
                <w:color w:val="auto"/>
              </w:rPr>
            </w:pPr>
          </w:p>
        </w:tc>
        <w:tc>
          <w:tcPr>
            <w:tcW w:w="320" w:type="dxa"/>
            <w:vAlign w:val="bottom"/>
            <w:tcBorders>
              <w:bottom w:val="single" w:sz="8" w:color="CFF0FC"/>
            </w:tcBorders>
            <w:shd w:val="clear" w:color="auto" w:fill="000000"/>
          </w:tcPr>
          <w:p>
            <w:pPr>
              <w:spacing w:after="0" w:line="20" w:lineRule="exact"/>
              <w:rPr>
                <w:sz w:val="1"/>
                <w:szCs w:val="1"/>
                <w:color w:val="auto"/>
              </w:rPr>
            </w:pPr>
          </w:p>
        </w:tc>
        <w:tc>
          <w:tcPr>
            <w:tcW w:w="18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58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72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CFF0FC"/>
            </w:tcBorders>
          </w:tcPr>
          <w:p>
            <w:pPr>
              <w:spacing w:after="0" w:line="20" w:lineRule="exact"/>
              <w:rPr>
                <w:sz w:val="1"/>
                <w:szCs w:val="1"/>
                <w:color w:val="auto"/>
              </w:rPr>
            </w:pPr>
          </w:p>
        </w:tc>
        <w:tc>
          <w:tcPr>
            <w:tcW w:w="74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72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CFF0FC"/>
            </w:tcBorders>
          </w:tcPr>
          <w:p>
            <w:pPr>
              <w:spacing w:after="0" w:line="20" w:lineRule="exact"/>
              <w:rPr>
                <w:sz w:val="1"/>
                <w:szCs w:val="1"/>
                <w:color w:val="auto"/>
              </w:rPr>
            </w:pPr>
          </w:p>
        </w:tc>
        <w:tc>
          <w:tcPr>
            <w:tcW w:w="62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960" w:type="dxa"/>
            <w:vAlign w:val="bottom"/>
            <w:gridSpan w:val="2"/>
            <w:shd w:val="clear" w:color="auto" w:fill="CFF0FC"/>
          </w:tcPr>
          <w:p>
            <w:pPr>
              <w:spacing w:after="0" w:line="122" w:lineRule="exact"/>
              <w:rPr>
                <w:sz w:val="20"/>
                <w:szCs w:val="20"/>
                <w:color w:val="auto"/>
              </w:rPr>
            </w:pPr>
            <w:r>
              <w:rPr>
                <w:rFonts w:ascii="Arial" w:cs="Arial" w:eastAsia="Arial" w:hAnsi="Arial"/>
                <w:sz w:val="11"/>
                <w:szCs w:val="11"/>
                <w:color w:val="auto"/>
              </w:rPr>
              <w:t>Balance at April 24, 2015</w:t>
            </w:r>
          </w:p>
        </w:tc>
        <w:tc>
          <w:tcPr>
            <w:tcW w:w="20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220" w:type="dxa"/>
            <w:vAlign w:val="bottom"/>
            <w:shd w:val="clear" w:color="auto" w:fill="CFF0FC"/>
          </w:tcPr>
          <w:p>
            <w:pPr>
              <w:jc w:val="right"/>
              <w:spacing w:after="0" w:line="119" w:lineRule="exact"/>
              <w:rPr>
                <w:sz w:val="20"/>
                <w:szCs w:val="20"/>
                <w:color w:val="auto"/>
              </w:rPr>
            </w:pPr>
            <w:r>
              <w:rPr>
                <w:rFonts w:ascii="Arial" w:cs="Arial" w:eastAsia="Arial" w:hAnsi="Arial"/>
                <w:sz w:val="11"/>
                <w:szCs w:val="11"/>
                <w:color w:val="auto"/>
              </w:rPr>
              <w:t>-</w:t>
            </w:r>
          </w:p>
        </w:tc>
        <w:tc>
          <w:tcPr>
            <w:tcW w:w="400" w:type="dxa"/>
            <w:vAlign w:val="bottom"/>
            <w:gridSpan w:val="2"/>
            <w:shd w:val="clear" w:color="auto" w:fill="CFF0FC"/>
          </w:tcPr>
          <w:p>
            <w:pPr>
              <w:jc w:val="right"/>
              <w:ind w:right="120"/>
              <w:spacing w:after="0" w:line="119" w:lineRule="exact"/>
              <w:rPr>
                <w:sz w:val="20"/>
                <w:szCs w:val="20"/>
                <w:color w:val="auto"/>
              </w:rPr>
            </w:pPr>
            <w:r>
              <w:rPr>
                <w:rFonts w:ascii="Arial" w:cs="Arial" w:eastAsia="Arial" w:hAnsi="Arial"/>
                <w:sz w:val="11"/>
                <w:szCs w:val="11"/>
                <w:color w:val="auto"/>
              </w:rPr>
              <w:t>$</w:t>
            </w:r>
          </w:p>
        </w:tc>
        <w:tc>
          <w:tcPr>
            <w:tcW w:w="3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jc w:val="right"/>
              <w:spacing w:after="0" w:line="119" w:lineRule="exact"/>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0"/>
                <w:szCs w:val="10"/>
                <w:color w:val="auto"/>
              </w:rPr>
            </w:pPr>
          </w:p>
        </w:tc>
        <w:tc>
          <w:tcPr>
            <w:tcW w:w="700" w:type="dxa"/>
            <w:vAlign w:val="bottom"/>
            <w:gridSpan w:val="3"/>
            <w:shd w:val="clear" w:color="auto" w:fill="CFF0FC"/>
          </w:tcPr>
          <w:p>
            <w:pPr>
              <w:jc w:val="right"/>
              <w:spacing w:after="0" w:line="119" w:lineRule="exact"/>
              <w:rPr>
                <w:sz w:val="20"/>
                <w:szCs w:val="20"/>
                <w:color w:val="auto"/>
              </w:rPr>
            </w:pPr>
            <w:r>
              <w:rPr>
                <w:rFonts w:ascii="Arial" w:cs="Arial" w:eastAsia="Arial" w:hAnsi="Arial"/>
                <w:sz w:val="11"/>
                <w:szCs w:val="11"/>
                <w:color w:val="auto"/>
              </w:rPr>
              <w:t>149,827,214</w:t>
            </w:r>
          </w:p>
        </w:tc>
        <w:tc>
          <w:tcPr>
            <w:tcW w:w="400" w:type="dxa"/>
            <w:vAlign w:val="bottom"/>
            <w:gridSpan w:val="2"/>
            <w:shd w:val="clear" w:color="auto" w:fill="CFF0FC"/>
          </w:tcPr>
          <w:p>
            <w:pPr>
              <w:jc w:val="right"/>
              <w:ind w:right="120"/>
              <w:spacing w:after="0" w:line="119" w:lineRule="exact"/>
              <w:rPr>
                <w:sz w:val="20"/>
                <w:szCs w:val="20"/>
                <w:color w:val="auto"/>
              </w:rPr>
            </w:pPr>
            <w:r>
              <w:rPr>
                <w:rFonts w:ascii="Arial" w:cs="Arial" w:eastAsia="Arial" w:hAnsi="Arial"/>
                <w:sz w:val="11"/>
                <w:szCs w:val="11"/>
                <w:color w:val="auto"/>
              </w:rPr>
              <w:t>$</w:t>
            </w:r>
          </w:p>
        </w:tc>
        <w:tc>
          <w:tcPr>
            <w:tcW w:w="500" w:type="dxa"/>
            <w:vAlign w:val="bottom"/>
            <w:gridSpan w:val="2"/>
            <w:shd w:val="clear" w:color="auto" w:fill="CFF0FC"/>
          </w:tcPr>
          <w:p>
            <w:pPr>
              <w:jc w:val="right"/>
              <w:spacing w:after="0" w:line="119" w:lineRule="exact"/>
              <w:rPr>
                <w:sz w:val="20"/>
                <w:szCs w:val="20"/>
                <w:color w:val="auto"/>
              </w:rPr>
            </w:pPr>
            <w:r>
              <w:rPr>
                <w:rFonts w:ascii="Arial" w:cs="Arial" w:eastAsia="Arial" w:hAnsi="Arial"/>
                <w:sz w:val="11"/>
                <w:szCs w:val="11"/>
                <w:color w:val="auto"/>
              </w:rPr>
              <w:t>15</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FF0FC"/>
          </w:tcPr>
          <w:p>
            <w:pPr>
              <w:jc w:val="right"/>
              <w:spacing w:after="0" w:line="119" w:lineRule="exact"/>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0"/>
                <w:szCs w:val="10"/>
                <w:color w:val="auto"/>
              </w:rPr>
            </w:pPr>
          </w:p>
        </w:tc>
        <w:tc>
          <w:tcPr>
            <w:tcW w:w="180" w:type="dxa"/>
            <w:vAlign w:val="bottom"/>
            <w:gridSpan w:val="2"/>
            <w:shd w:val="clear" w:color="auto" w:fill="CFF0FC"/>
          </w:tcPr>
          <w:p>
            <w:pPr>
              <w:jc w:val="right"/>
              <w:spacing w:after="0" w:line="119" w:lineRule="exact"/>
              <w:rPr>
                <w:sz w:val="20"/>
                <w:szCs w:val="20"/>
                <w:color w:val="auto"/>
              </w:rPr>
            </w:pPr>
            <w:r>
              <w:rPr>
                <w:rFonts w:ascii="Arial" w:cs="Arial" w:eastAsia="Arial" w:hAnsi="Arial"/>
                <w:sz w:val="11"/>
                <w:szCs w:val="11"/>
                <w:color w:val="auto"/>
              </w:rPr>
              <w:t>$</w:t>
            </w:r>
          </w:p>
        </w:tc>
        <w:tc>
          <w:tcPr>
            <w:tcW w:w="720" w:type="dxa"/>
            <w:vAlign w:val="bottom"/>
            <w:shd w:val="clear" w:color="auto" w:fill="CFF0FC"/>
          </w:tcPr>
          <w:p>
            <w:pPr>
              <w:jc w:val="right"/>
              <w:spacing w:after="0" w:line="119" w:lineRule="exact"/>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0"/>
                <w:szCs w:val="10"/>
                <w:color w:val="auto"/>
              </w:rPr>
            </w:pPr>
          </w:p>
        </w:tc>
        <w:tc>
          <w:tcPr>
            <w:tcW w:w="160" w:type="dxa"/>
            <w:vAlign w:val="bottom"/>
            <w:tcBorders>
              <w:right w:val="single" w:sz="8" w:color="CFF0FC"/>
            </w:tcBorders>
            <w:shd w:val="clear" w:color="auto" w:fill="CFF0FC"/>
          </w:tcPr>
          <w:p>
            <w:pPr>
              <w:jc w:val="right"/>
              <w:spacing w:after="0" w:line="119" w:lineRule="exact"/>
              <w:rPr>
                <w:sz w:val="20"/>
                <w:szCs w:val="20"/>
                <w:color w:val="auto"/>
              </w:rPr>
            </w:pPr>
            <w:r>
              <w:rPr>
                <w:rFonts w:ascii="Arial" w:cs="Arial" w:eastAsia="Arial" w:hAnsi="Arial"/>
                <w:sz w:val="11"/>
                <w:szCs w:val="11"/>
                <w:color w:val="auto"/>
              </w:rPr>
              <w:t>$</w:t>
            </w:r>
          </w:p>
        </w:tc>
        <w:tc>
          <w:tcPr>
            <w:tcW w:w="740" w:type="dxa"/>
            <w:vAlign w:val="bottom"/>
            <w:shd w:val="clear" w:color="auto" w:fill="CFF0FC"/>
          </w:tcPr>
          <w:p>
            <w:pPr>
              <w:jc w:val="right"/>
              <w:spacing w:after="0" w:line="119" w:lineRule="exact"/>
              <w:rPr>
                <w:sz w:val="20"/>
                <w:szCs w:val="20"/>
                <w:color w:val="auto"/>
              </w:rPr>
            </w:pPr>
            <w:r>
              <w:rPr>
                <w:rFonts w:ascii="Arial" w:cs="Arial" w:eastAsia="Arial" w:hAnsi="Arial"/>
                <w:sz w:val="11"/>
                <w:szCs w:val="11"/>
                <w:color w:val="auto"/>
              </w:rPr>
              <w:t>2,508,405</w:t>
            </w:r>
          </w:p>
        </w:tc>
        <w:tc>
          <w:tcPr>
            <w:tcW w:w="120" w:type="dxa"/>
            <w:vAlign w:val="bottom"/>
            <w:shd w:val="clear" w:color="auto" w:fill="CFF0FC"/>
          </w:tcPr>
          <w:p>
            <w:pPr>
              <w:spacing w:after="0"/>
              <w:rPr>
                <w:sz w:val="10"/>
                <w:szCs w:val="10"/>
                <w:color w:val="auto"/>
              </w:rPr>
            </w:pPr>
          </w:p>
        </w:tc>
        <w:tc>
          <w:tcPr>
            <w:tcW w:w="180" w:type="dxa"/>
            <w:vAlign w:val="bottom"/>
            <w:gridSpan w:val="2"/>
            <w:shd w:val="clear" w:color="auto" w:fill="CFF0FC"/>
          </w:tcPr>
          <w:p>
            <w:pPr>
              <w:jc w:val="right"/>
              <w:ind w:right="20"/>
              <w:spacing w:after="0" w:line="119" w:lineRule="exact"/>
              <w:rPr>
                <w:sz w:val="20"/>
                <w:szCs w:val="20"/>
                <w:color w:val="auto"/>
              </w:rPr>
            </w:pPr>
            <w:r>
              <w:rPr>
                <w:rFonts w:ascii="Arial" w:cs="Arial" w:eastAsia="Arial" w:hAnsi="Arial"/>
                <w:sz w:val="11"/>
                <w:szCs w:val="11"/>
                <w:color w:val="auto"/>
              </w:rPr>
              <w:t>$</w:t>
            </w:r>
          </w:p>
        </w:tc>
        <w:tc>
          <w:tcPr>
            <w:tcW w:w="720" w:type="dxa"/>
            <w:vAlign w:val="bottom"/>
            <w:shd w:val="clear" w:color="auto" w:fill="CFF0FC"/>
          </w:tcPr>
          <w:p>
            <w:pPr>
              <w:jc w:val="right"/>
              <w:spacing w:after="0" w:line="119" w:lineRule="exact"/>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0"/>
                <w:szCs w:val="10"/>
                <w:color w:val="auto"/>
              </w:rPr>
            </w:pPr>
          </w:p>
        </w:tc>
        <w:tc>
          <w:tcPr>
            <w:tcW w:w="240" w:type="dxa"/>
            <w:vAlign w:val="bottom"/>
            <w:gridSpan w:val="2"/>
            <w:shd w:val="clear" w:color="auto" w:fill="CFF0FC"/>
          </w:tcPr>
          <w:p>
            <w:pPr>
              <w:ind w:left="100"/>
              <w:spacing w:after="0" w:line="119" w:lineRule="exact"/>
              <w:rPr>
                <w:sz w:val="20"/>
                <w:szCs w:val="20"/>
                <w:color w:val="auto"/>
              </w:rPr>
            </w:pPr>
            <w:r>
              <w:rPr>
                <w:rFonts w:ascii="Arial" w:cs="Arial" w:eastAsia="Arial" w:hAnsi="Arial"/>
                <w:sz w:val="11"/>
                <w:szCs w:val="11"/>
                <w:color w:val="auto"/>
              </w:rPr>
              <w:t>$</w:t>
            </w:r>
          </w:p>
        </w:tc>
        <w:tc>
          <w:tcPr>
            <w:tcW w:w="620" w:type="dxa"/>
            <w:vAlign w:val="bottom"/>
            <w:shd w:val="clear" w:color="auto" w:fill="CFF0FC"/>
          </w:tcPr>
          <w:p>
            <w:pPr>
              <w:jc w:val="right"/>
              <w:spacing w:after="0" w:line="119" w:lineRule="exact"/>
              <w:rPr>
                <w:sz w:val="20"/>
                <w:szCs w:val="20"/>
                <w:color w:val="auto"/>
              </w:rPr>
            </w:pPr>
            <w:r>
              <w:rPr>
                <w:rFonts w:ascii="Arial" w:cs="Arial" w:eastAsia="Arial" w:hAnsi="Arial"/>
                <w:sz w:val="11"/>
                <w:szCs w:val="11"/>
                <w:color w:val="auto"/>
              </w:rPr>
              <w:t>2,508,420</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960" w:type="dxa"/>
            <w:vAlign w:val="bottom"/>
            <w:gridSpan w:val="2"/>
          </w:tcPr>
          <w:p>
            <w:pPr>
              <w:spacing w:after="0"/>
              <w:rPr>
                <w:sz w:val="20"/>
                <w:szCs w:val="20"/>
                <w:color w:val="auto"/>
              </w:rPr>
            </w:pPr>
            <w:r>
              <w:rPr>
                <w:rFonts w:ascii="Arial" w:cs="Arial" w:eastAsia="Arial" w:hAnsi="Arial"/>
                <w:sz w:val="11"/>
                <w:szCs w:val="11"/>
                <w:color w:val="auto"/>
              </w:rPr>
              <w:t>Net income</w:t>
            </w:r>
          </w:p>
        </w:tc>
        <w:tc>
          <w:tcPr>
            <w:tcW w:w="68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70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24,870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24,870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960" w:type="dxa"/>
            <w:vAlign w:val="bottom"/>
            <w:gridSpan w:val="2"/>
            <w:shd w:val="clear" w:color="auto" w:fill="CFF0FC"/>
          </w:tcPr>
          <w:p>
            <w:pPr>
              <w:spacing w:after="0"/>
              <w:rPr>
                <w:sz w:val="20"/>
                <w:szCs w:val="20"/>
                <w:color w:val="auto"/>
              </w:rPr>
            </w:pPr>
            <w:r>
              <w:rPr>
                <w:rFonts w:ascii="Arial" w:cs="Arial" w:eastAsia="Arial" w:hAnsi="Arial"/>
                <w:sz w:val="11"/>
                <w:szCs w:val="11"/>
                <w:color w:val="auto"/>
              </w:rPr>
              <w:t>Distributions to Windstream related to Spin-Off</w:t>
            </w:r>
          </w:p>
        </w:tc>
        <w:tc>
          <w:tcPr>
            <w:tcW w:w="680" w:type="dxa"/>
            <w:vAlign w:val="bottom"/>
            <w:gridSpan w:val="3"/>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700" w:type="dxa"/>
            <w:vAlign w:val="bottom"/>
            <w:gridSpan w:val="3"/>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160" w:type="dxa"/>
            <w:vAlign w:val="bottom"/>
            <w:tcBorders>
              <w:right w:val="single" w:sz="8" w:color="CFF0FC"/>
            </w:tcBorders>
            <w:shd w:val="clear" w:color="auto" w:fill="CFF0FC"/>
          </w:tcPr>
          <w:p>
            <w:pPr>
              <w:spacing w:after="0"/>
              <w:rPr>
                <w:sz w:val="12"/>
                <w:szCs w:val="12"/>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(3,447,879)</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(3,447,879)</w:t>
            </w:r>
          </w:p>
        </w:tc>
        <w:tc>
          <w:tcPr>
            <w:tcW w:w="0" w:type="dxa"/>
            <w:vAlign w:val="bottom"/>
          </w:tcPr>
          <w:p>
            <w:pPr>
              <w:spacing w:after="0"/>
              <w:rPr>
                <w:sz w:val="1"/>
                <w:szCs w:val="1"/>
                <w:color w:val="auto"/>
              </w:rPr>
            </w:pPr>
          </w:p>
        </w:tc>
      </w:tr>
      <w:tr>
        <w:trPr>
          <w:trHeight w:val="142"/>
        </w:trPr>
        <w:tc>
          <w:tcPr>
            <w:tcW w:w="2960" w:type="dxa"/>
            <w:vAlign w:val="bottom"/>
            <w:gridSpan w:val="2"/>
          </w:tcPr>
          <w:p>
            <w:pPr>
              <w:spacing w:after="0"/>
              <w:rPr>
                <w:sz w:val="20"/>
                <w:szCs w:val="20"/>
                <w:color w:val="auto"/>
              </w:rPr>
            </w:pPr>
            <w:r>
              <w:rPr>
                <w:rFonts w:ascii="Arial" w:cs="Arial" w:eastAsia="Arial" w:hAnsi="Arial"/>
                <w:sz w:val="11"/>
                <w:szCs w:val="11"/>
                <w:color w:val="auto"/>
              </w:rPr>
              <w:t>Other comprehensive loss</w:t>
            </w:r>
          </w:p>
        </w:tc>
        <w:tc>
          <w:tcPr>
            <w:tcW w:w="68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70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1"/>
                <w:szCs w:val="11"/>
                <w:color w:val="auto"/>
              </w:rPr>
              <w:t>(5,427)</w:t>
            </w:r>
          </w:p>
        </w:tc>
        <w:tc>
          <w:tcPr>
            <w:tcW w:w="1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1"/>
                <w:szCs w:val="11"/>
                <w:color w:val="auto"/>
              </w:rPr>
              <w:t>(5,427)</w:t>
            </w:r>
          </w:p>
        </w:tc>
        <w:tc>
          <w:tcPr>
            <w:tcW w:w="0" w:type="dxa"/>
            <w:vAlign w:val="bottom"/>
          </w:tcPr>
          <w:p>
            <w:pPr>
              <w:spacing w:after="0"/>
              <w:rPr>
                <w:sz w:val="1"/>
                <w:szCs w:val="1"/>
                <w:color w:val="auto"/>
              </w:rPr>
            </w:pPr>
          </w:p>
        </w:tc>
      </w:tr>
      <w:tr>
        <w:trPr>
          <w:trHeight w:val="146"/>
        </w:trPr>
        <w:tc>
          <w:tcPr>
            <w:tcW w:w="2960" w:type="dxa"/>
            <w:vAlign w:val="bottom"/>
            <w:gridSpan w:val="2"/>
            <w:shd w:val="clear" w:color="auto" w:fill="CFF0FC"/>
          </w:tcPr>
          <w:p>
            <w:pPr>
              <w:spacing w:after="0"/>
              <w:rPr>
                <w:sz w:val="20"/>
                <w:szCs w:val="20"/>
                <w:color w:val="auto"/>
              </w:rPr>
            </w:pPr>
            <w:r>
              <w:rPr>
                <w:rFonts w:ascii="Arial" w:cs="Arial" w:eastAsia="Arial" w:hAnsi="Arial"/>
                <w:sz w:val="11"/>
                <w:szCs w:val="11"/>
                <w:color w:val="auto"/>
              </w:rPr>
              <w:t>Common stock dividends</w:t>
            </w:r>
          </w:p>
        </w:tc>
        <w:tc>
          <w:tcPr>
            <w:tcW w:w="680" w:type="dxa"/>
            <w:vAlign w:val="bottom"/>
            <w:gridSpan w:val="3"/>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700" w:type="dxa"/>
            <w:vAlign w:val="bottom"/>
            <w:gridSpan w:val="3"/>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160" w:type="dxa"/>
            <w:vAlign w:val="bottom"/>
            <w:tcBorders>
              <w:right w:val="single" w:sz="8" w:color="CFF0FC"/>
            </w:tcBorders>
            <w:shd w:val="clear" w:color="auto" w:fill="CFF0FC"/>
          </w:tcPr>
          <w:p>
            <w:pPr>
              <w:spacing w:after="0"/>
              <w:rPr>
                <w:sz w:val="12"/>
                <w:szCs w:val="12"/>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(247,361)</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(247,361)</w:t>
            </w:r>
          </w:p>
        </w:tc>
        <w:tc>
          <w:tcPr>
            <w:tcW w:w="0" w:type="dxa"/>
            <w:vAlign w:val="bottom"/>
          </w:tcPr>
          <w:p>
            <w:pPr>
              <w:spacing w:after="0"/>
              <w:rPr>
                <w:sz w:val="1"/>
                <w:szCs w:val="1"/>
                <w:color w:val="auto"/>
              </w:rPr>
            </w:pPr>
          </w:p>
        </w:tc>
      </w:tr>
      <w:tr>
        <w:trPr>
          <w:trHeight w:val="142"/>
        </w:trPr>
        <w:tc>
          <w:tcPr>
            <w:tcW w:w="2960" w:type="dxa"/>
            <w:vAlign w:val="bottom"/>
            <w:gridSpan w:val="2"/>
          </w:tcPr>
          <w:p>
            <w:pPr>
              <w:spacing w:after="0"/>
              <w:rPr>
                <w:sz w:val="20"/>
                <w:szCs w:val="20"/>
                <w:color w:val="auto"/>
              </w:rPr>
            </w:pPr>
            <w:r>
              <w:rPr>
                <w:rFonts w:ascii="Arial" w:cs="Arial" w:eastAsia="Arial" w:hAnsi="Arial"/>
                <w:sz w:val="11"/>
                <w:szCs w:val="11"/>
                <w:color w:val="auto"/>
              </w:rPr>
              <w:t>Equity issuance cost</w:t>
            </w:r>
          </w:p>
        </w:tc>
        <w:tc>
          <w:tcPr>
            <w:tcW w:w="68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70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1"/>
                <w:szCs w:val="11"/>
                <w:color w:val="auto"/>
              </w:rPr>
              <w:t>(542)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1"/>
                <w:szCs w:val="11"/>
                <w:color w:val="auto"/>
              </w:rPr>
              <w:t>(114)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1"/>
                <w:szCs w:val="11"/>
                <w:color w:val="auto"/>
              </w:rPr>
              <w:t>(656)</w:t>
            </w:r>
          </w:p>
        </w:tc>
        <w:tc>
          <w:tcPr>
            <w:tcW w:w="0" w:type="dxa"/>
            <w:vAlign w:val="bottom"/>
          </w:tcPr>
          <w:p>
            <w:pPr>
              <w:spacing w:after="0"/>
              <w:rPr>
                <w:sz w:val="1"/>
                <w:szCs w:val="1"/>
                <w:color w:val="auto"/>
              </w:rPr>
            </w:pPr>
          </w:p>
        </w:tc>
      </w:tr>
      <w:tr>
        <w:trPr>
          <w:trHeight w:val="146"/>
        </w:trPr>
        <w:tc>
          <w:tcPr>
            <w:tcW w:w="2960" w:type="dxa"/>
            <w:vAlign w:val="bottom"/>
            <w:gridSpan w:val="2"/>
            <w:shd w:val="clear" w:color="auto" w:fill="CFF0FC"/>
          </w:tcPr>
          <w:p>
            <w:pPr>
              <w:spacing w:after="0"/>
              <w:rPr>
                <w:sz w:val="20"/>
                <w:szCs w:val="20"/>
                <w:color w:val="auto"/>
              </w:rPr>
            </w:pPr>
            <w:r>
              <w:rPr>
                <w:rFonts w:ascii="Arial" w:cs="Arial" w:eastAsia="Arial" w:hAnsi="Arial"/>
                <w:sz w:val="11"/>
                <w:szCs w:val="11"/>
                <w:color w:val="auto"/>
              </w:rPr>
              <w:t>Stock-based compensation</w:t>
            </w:r>
          </w:p>
        </w:tc>
        <w:tc>
          <w:tcPr>
            <w:tcW w:w="680" w:type="dxa"/>
            <w:vAlign w:val="bottom"/>
            <w:gridSpan w:val="3"/>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700" w:type="dxa"/>
            <w:vAlign w:val="bottom"/>
            <w:gridSpan w:val="3"/>
            <w:shd w:val="clear" w:color="auto" w:fill="CFF0FC"/>
          </w:tcPr>
          <w:p>
            <w:pPr>
              <w:jc w:val="right"/>
              <w:spacing w:after="0"/>
              <w:rPr>
                <w:sz w:val="20"/>
                <w:szCs w:val="20"/>
                <w:color w:val="auto"/>
              </w:rPr>
            </w:pPr>
            <w:r>
              <w:rPr>
                <w:rFonts w:ascii="Arial" w:cs="Arial" w:eastAsia="Arial" w:hAnsi="Arial"/>
                <w:sz w:val="11"/>
                <w:szCs w:val="11"/>
                <w:color w:val="auto"/>
              </w:rPr>
              <w:t>35,245</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1,934</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160" w:type="dxa"/>
            <w:vAlign w:val="bottom"/>
            <w:tcBorders>
              <w:right w:val="single" w:sz="8" w:color="CFF0FC"/>
            </w:tcBorders>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1,934</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60" w:type="dxa"/>
            <w:vAlign w:val="bottom"/>
            <w:gridSpan w:val="2"/>
          </w:tcPr>
          <w:p>
            <w:pPr>
              <w:spacing w:after="0"/>
              <w:rPr>
                <w:sz w:val="20"/>
                <w:szCs w:val="20"/>
                <w:color w:val="auto"/>
              </w:rPr>
            </w:pPr>
            <w:r>
              <w:rPr>
                <w:rFonts w:ascii="Arial" w:cs="Arial" w:eastAsia="Arial" w:hAnsi="Arial"/>
                <w:sz w:val="11"/>
                <w:szCs w:val="11"/>
                <w:color w:val="auto"/>
              </w:rPr>
              <w:t>Other</w:t>
            </w:r>
          </w:p>
        </w:tc>
        <w:tc>
          <w:tcPr>
            <w:tcW w:w="68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70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1"/>
                <w:szCs w:val="11"/>
                <w:color w:val="auto"/>
              </w:rPr>
              <w:t>(807)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1"/>
                <w:szCs w:val="11"/>
                <w:color w:val="auto"/>
              </w:rPr>
              <w:t>(807)</w:t>
            </w:r>
          </w:p>
        </w:tc>
        <w:tc>
          <w:tcPr>
            <w:tcW w:w="0" w:type="dxa"/>
            <w:vAlign w:val="bottom"/>
          </w:tcPr>
          <w:p>
            <w:pPr>
              <w:spacing w:after="0"/>
              <w:rPr>
                <w:sz w:val="1"/>
                <w:szCs w:val="1"/>
                <w:color w:val="auto"/>
              </w:rPr>
            </w:pPr>
          </w:p>
        </w:tc>
      </w:tr>
      <w:tr>
        <w:trPr>
          <w:trHeight w:val="20"/>
        </w:trPr>
        <w:tc>
          <w:tcPr>
            <w:tcW w:w="2960" w:type="dxa"/>
            <w:vAlign w:val="bottom"/>
            <w:gridSpan w:val="2"/>
            <w:vMerge w:val="restart"/>
            <w:shd w:val="clear" w:color="auto" w:fill="CFF0FC"/>
          </w:tcPr>
          <w:p>
            <w:pPr>
              <w:spacing w:after="0"/>
              <w:rPr>
                <w:sz w:val="20"/>
                <w:szCs w:val="20"/>
                <w:color w:val="auto"/>
              </w:rPr>
            </w:pPr>
            <w:r>
              <w:rPr>
                <w:rFonts w:ascii="Arial" w:cs="Arial" w:eastAsia="Arial" w:hAnsi="Arial"/>
                <w:sz w:val="11"/>
                <w:szCs w:val="11"/>
                <w:color w:val="auto"/>
              </w:rPr>
              <w:t>Balance at December 31, 2015</w:t>
            </w:r>
          </w:p>
        </w:tc>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tcBorders>
              <w:right w:val="single" w:sz="8" w:color="auto"/>
            </w:tcBorders>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960" w:type="dxa"/>
            <w:vAlign w:val="bottom"/>
            <w:gridSpan w:val="2"/>
            <w:vMerge w:val="continue"/>
            <w:shd w:val="clear" w:color="auto" w:fill="CFF0FC"/>
          </w:tcPr>
          <w:p>
            <w:pPr>
              <w:spacing w:after="0"/>
              <w:rPr>
                <w:sz w:val="13"/>
                <w:szCs w:val="13"/>
                <w:color w:val="auto"/>
              </w:rPr>
            </w:pPr>
          </w:p>
        </w:tc>
        <w:tc>
          <w:tcPr>
            <w:tcW w:w="680" w:type="dxa"/>
            <w:vAlign w:val="bottom"/>
            <w:gridSpan w:val="3"/>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0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3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3"/>
                <w:szCs w:val="13"/>
                <w:color w:val="auto"/>
              </w:rPr>
            </w:pPr>
          </w:p>
        </w:tc>
        <w:tc>
          <w:tcPr>
            <w:tcW w:w="700" w:type="dxa"/>
            <w:vAlign w:val="bottom"/>
            <w:gridSpan w:val="3"/>
            <w:shd w:val="clear" w:color="auto" w:fill="CFF0FC"/>
          </w:tcPr>
          <w:p>
            <w:pPr>
              <w:jc w:val="right"/>
              <w:spacing w:after="0"/>
              <w:rPr>
                <w:sz w:val="20"/>
                <w:szCs w:val="20"/>
                <w:color w:val="auto"/>
              </w:rPr>
            </w:pPr>
            <w:r>
              <w:rPr>
                <w:rFonts w:ascii="Arial" w:cs="Arial" w:eastAsia="Arial" w:hAnsi="Arial"/>
                <w:sz w:val="11"/>
                <w:szCs w:val="11"/>
                <w:color w:val="auto"/>
              </w:rPr>
              <w:t>149,862,459</w:t>
            </w:r>
          </w:p>
        </w:tc>
        <w:tc>
          <w:tcPr>
            <w:tcW w:w="40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15</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1,392</w:t>
            </w:r>
          </w:p>
        </w:tc>
        <w:tc>
          <w:tcPr>
            <w:tcW w:w="140" w:type="dxa"/>
            <w:vAlign w:val="bottom"/>
            <w:shd w:val="clear" w:color="auto" w:fill="CFF0FC"/>
          </w:tcPr>
          <w:p>
            <w:pPr>
              <w:spacing w:after="0"/>
              <w:rPr>
                <w:sz w:val="13"/>
                <w:szCs w:val="13"/>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(5,427)</w:t>
            </w:r>
          </w:p>
        </w:tc>
        <w:tc>
          <w:tcPr>
            <w:tcW w:w="1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(1,162,886)</w:t>
            </w: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3"/>
                <w:szCs w:val="13"/>
                <w:color w:val="auto"/>
              </w:rPr>
            </w:pPr>
          </w:p>
        </w:tc>
        <w:tc>
          <w:tcPr>
            <w:tcW w:w="240" w:type="dxa"/>
            <w:vAlign w:val="bottom"/>
            <w:gridSpan w:val="2"/>
            <w:shd w:val="clear" w:color="auto" w:fill="CFF0FC"/>
          </w:tcPr>
          <w:p>
            <w:pPr>
              <w:ind w:left="100"/>
              <w:spacing w:after="0"/>
              <w:rPr>
                <w:sz w:val="20"/>
                <w:szCs w:val="20"/>
                <w:color w:val="auto"/>
              </w:rPr>
            </w:pPr>
            <w:r>
              <w:rPr>
                <w:rFonts w:ascii="Arial" w:cs="Arial" w:eastAsia="Arial" w:hAnsi="Arial"/>
                <w:sz w:val="11"/>
                <w:szCs w:val="11"/>
                <w:color w:val="auto"/>
              </w:rPr>
              <w:t>$</w:t>
            </w:r>
          </w:p>
        </w:tc>
        <w:tc>
          <w:tcPr>
            <w:tcW w:w="74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(1,166,906)</w:t>
            </w:r>
          </w:p>
        </w:tc>
        <w:tc>
          <w:tcPr>
            <w:tcW w:w="0" w:type="dxa"/>
            <w:vAlign w:val="bottom"/>
          </w:tcPr>
          <w:p>
            <w:pPr>
              <w:spacing w:after="0"/>
              <w:rPr>
                <w:sz w:val="1"/>
                <w:szCs w:val="1"/>
                <w:color w:val="auto"/>
              </w:rPr>
            </w:pPr>
          </w:p>
        </w:tc>
      </w:tr>
      <w:tr>
        <w:trPr>
          <w:trHeight w:val="131"/>
        </w:trPr>
        <w:tc>
          <w:tcPr>
            <w:tcW w:w="2960" w:type="dxa"/>
            <w:vAlign w:val="bottom"/>
            <w:tcBorders>
              <w:top w:val="single" w:sz="8" w:color="CFF0FC"/>
            </w:tcBorders>
            <w:gridSpan w:val="2"/>
          </w:tcPr>
          <w:p>
            <w:pPr>
              <w:spacing w:after="0"/>
              <w:rPr>
                <w:sz w:val="20"/>
                <w:szCs w:val="20"/>
                <w:color w:val="auto"/>
              </w:rPr>
            </w:pPr>
            <w:r>
              <w:rPr>
                <w:rFonts w:ascii="Arial" w:cs="Arial" w:eastAsia="Arial" w:hAnsi="Arial"/>
                <w:sz w:val="11"/>
                <w:szCs w:val="11"/>
                <w:color w:val="auto"/>
              </w:rPr>
              <w:t>2016 Activity:</w:t>
            </w:r>
          </w:p>
        </w:tc>
        <w:tc>
          <w:tcPr>
            <w:tcW w:w="2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4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40" w:type="dxa"/>
            <w:vAlign w:val="bottom"/>
            <w:tcBorders>
              <w:top w:val="single" w:sz="8" w:color="CFF0FC"/>
            </w:tcBorders>
          </w:tcPr>
          <w:p>
            <w:pPr>
              <w:spacing w:after="0"/>
              <w:rPr>
                <w:sz w:val="11"/>
                <w:szCs w:val="11"/>
                <w:color w:val="auto"/>
              </w:rPr>
            </w:pPr>
          </w:p>
        </w:tc>
        <w:tc>
          <w:tcPr>
            <w:tcW w:w="160" w:type="dxa"/>
            <w:vAlign w:val="bottom"/>
            <w:tcBorders>
              <w:top w:val="single" w:sz="8" w:color="CFF0FC"/>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4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960" w:type="dxa"/>
            <w:vAlign w:val="bottom"/>
            <w:gridSpan w:val="2"/>
            <w:shd w:val="clear" w:color="auto" w:fill="CFF0FC"/>
          </w:tcPr>
          <w:p>
            <w:pPr>
              <w:spacing w:after="0"/>
              <w:rPr>
                <w:sz w:val="20"/>
                <w:szCs w:val="20"/>
                <w:color w:val="auto"/>
              </w:rPr>
            </w:pPr>
            <w:r>
              <w:rPr>
                <w:rFonts w:ascii="Arial" w:cs="Arial" w:eastAsia="Arial" w:hAnsi="Arial"/>
                <w:sz w:val="11"/>
                <w:szCs w:val="11"/>
                <w:color w:val="auto"/>
              </w:rPr>
              <w:t>Net loss</w:t>
            </w:r>
          </w:p>
        </w:tc>
        <w:tc>
          <w:tcPr>
            <w:tcW w:w="680" w:type="dxa"/>
            <w:vAlign w:val="bottom"/>
            <w:gridSpan w:val="3"/>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700" w:type="dxa"/>
            <w:vAlign w:val="bottom"/>
            <w:gridSpan w:val="3"/>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160" w:type="dxa"/>
            <w:vAlign w:val="bottom"/>
            <w:tcBorders>
              <w:right w:val="single" w:sz="8" w:color="CFF0FC"/>
            </w:tcBorders>
            <w:shd w:val="clear" w:color="auto" w:fill="CFF0FC"/>
          </w:tcPr>
          <w:p>
            <w:pPr>
              <w:spacing w:after="0"/>
              <w:rPr>
                <w:sz w:val="12"/>
                <w:szCs w:val="12"/>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(212)</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(212)</w:t>
            </w:r>
          </w:p>
        </w:tc>
        <w:tc>
          <w:tcPr>
            <w:tcW w:w="0" w:type="dxa"/>
            <w:vAlign w:val="bottom"/>
          </w:tcPr>
          <w:p>
            <w:pPr>
              <w:spacing w:after="0"/>
              <w:rPr>
                <w:sz w:val="1"/>
                <w:szCs w:val="1"/>
                <w:color w:val="auto"/>
              </w:rPr>
            </w:pPr>
          </w:p>
        </w:tc>
      </w:tr>
      <w:tr>
        <w:trPr>
          <w:trHeight w:val="142"/>
        </w:trPr>
        <w:tc>
          <w:tcPr>
            <w:tcW w:w="2960" w:type="dxa"/>
            <w:vAlign w:val="bottom"/>
            <w:gridSpan w:val="2"/>
          </w:tcPr>
          <w:p>
            <w:pPr>
              <w:spacing w:after="0"/>
              <w:rPr>
                <w:sz w:val="20"/>
                <w:szCs w:val="20"/>
                <w:color w:val="auto"/>
              </w:rPr>
            </w:pPr>
            <w:r>
              <w:rPr>
                <w:rFonts w:ascii="Arial" w:cs="Arial" w:eastAsia="Arial" w:hAnsi="Arial"/>
                <w:sz w:val="11"/>
                <w:szCs w:val="11"/>
                <w:color w:val="auto"/>
              </w:rPr>
              <w:t>Issuance of common stock</w:t>
            </w:r>
          </w:p>
        </w:tc>
        <w:tc>
          <w:tcPr>
            <w:tcW w:w="68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700" w:type="dxa"/>
            <w:vAlign w:val="bottom"/>
            <w:gridSpan w:val="3"/>
          </w:tcPr>
          <w:p>
            <w:pPr>
              <w:jc w:val="right"/>
              <w:spacing w:after="0"/>
              <w:rPr>
                <w:sz w:val="20"/>
                <w:szCs w:val="20"/>
                <w:color w:val="auto"/>
              </w:rPr>
            </w:pPr>
            <w:r>
              <w:rPr>
                <w:rFonts w:ascii="Arial" w:cs="Arial" w:eastAsia="Arial" w:hAnsi="Arial"/>
                <w:sz w:val="11"/>
                <w:szCs w:val="11"/>
                <w:color w:val="auto"/>
              </w:rPr>
              <w:t>5,077,629</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137,665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137,665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960" w:type="dxa"/>
            <w:vAlign w:val="bottom"/>
            <w:gridSpan w:val="2"/>
            <w:shd w:val="clear" w:color="auto" w:fill="CFF0FC"/>
          </w:tcPr>
          <w:p>
            <w:pPr>
              <w:spacing w:after="0"/>
              <w:rPr>
                <w:sz w:val="20"/>
                <w:szCs w:val="20"/>
                <w:color w:val="auto"/>
              </w:rPr>
            </w:pPr>
            <w:r>
              <w:rPr>
                <w:rFonts w:ascii="Arial" w:cs="Arial" w:eastAsia="Arial" w:hAnsi="Arial"/>
                <w:sz w:val="11"/>
                <w:szCs w:val="11"/>
                <w:color w:val="auto"/>
              </w:rPr>
              <w:t>Amortization of discount on convertible preferred stock</w:t>
            </w:r>
          </w:p>
        </w:tc>
        <w:tc>
          <w:tcPr>
            <w:tcW w:w="680" w:type="dxa"/>
            <w:vAlign w:val="bottom"/>
            <w:gridSpan w:val="3"/>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700" w:type="dxa"/>
            <w:vAlign w:val="bottom"/>
            <w:gridSpan w:val="3"/>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(1,985)</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160" w:type="dxa"/>
            <w:vAlign w:val="bottom"/>
            <w:tcBorders>
              <w:right w:val="single" w:sz="8" w:color="CFF0FC"/>
            </w:tcBorders>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(1,985)</w:t>
            </w:r>
          </w:p>
        </w:tc>
        <w:tc>
          <w:tcPr>
            <w:tcW w:w="0" w:type="dxa"/>
            <w:vAlign w:val="bottom"/>
          </w:tcPr>
          <w:p>
            <w:pPr>
              <w:spacing w:after="0"/>
              <w:rPr>
                <w:sz w:val="1"/>
                <w:szCs w:val="1"/>
                <w:color w:val="auto"/>
              </w:rPr>
            </w:pPr>
          </w:p>
        </w:tc>
      </w:tr>
      <w:tr>
        <w:trPr>
          <w:trHeight w:val="142"/>
        </w:trPr>
        <w:tc>
          <w:tcPr>
            <w:tcW w:w="2960" w:type="dxa"/>
            <w:vAlign w:val="bottom"/>
            <w:gridSpan w:val="2"/>
          </w:tcPr>
          <w:p>
            <w:pPr>
              <w:spacing w:after="0"/>
              <w:rPr>
                <w:sz w:val="20"/>
                <w:szCs w:val="20"/>
                <w:color w:val="auto"/>
              </w:rPr>
            </w:pPr>
            <w:r>
              <w:rPr>
                <w:rFonts w:ascii="Arial" w:cs="Arial" w:eastAsia="Arial" w:hAnsi="Arial"/>
                <w:sz w:val="11"/>
                <w:szCs w:val="11"/>
                <w:color w:val="auto"/>
              </w:rPr>
              <w:t>Other comprehensive loss</w:t>
            </w:r>
          </w:p>
        </w:tc>
        <w:tc>
          <w:tcPr>
            <w:tcW w:w="68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70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1"/>
                <w:szCs w:val="11"/>
                <w:color w:val="auto"/>
              </w:rPr>
              <w:t>(942)</w:t>
            </w:r>
          </w:p>
        </w:tc>
        <w:tc>
          <w:tcPr>
            <w:tcW w:w="1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1"/>
                <w:szCs w:val="11"/>
                <w:color w:val="auto"/>
              </w:rPr>
              <w:t>(942)</w:t>
            </w:r>
          </w:p>
        </w:tc>
        <w:tc>
          <w:tcPr>
            <w:tcW w:w="0" w:type="dxa"/>
            <w:vAlign w:val="bottom"/>
          </w:tcPr>
          <w:p>
            <w:pPr>
              <w:spacing w:after="0"/>
              <w:rPr>
                <w:sz w:val="1"/>
                <w:szCs w:val="1"/>
                <w:color w:val="auto"/>
              </w:rPr>
            </w:pPr>
          </w:p>
        </w:tc>
      </w:tr>
      <w:tr>
        <w:trPr>
          <w:trHeight w:val="146"/>
        </w:trPr>
        <w:tc>
          <w:tcPr>
            <w:tcW w:w="2960" w:type="dxa"/>
            <w:vAlign w:val="bottom"/>
            <w:gridSpan w:val="2"/>
            <w:shd w:val="clear" w:color="auto" w:fill="CFF0FC"/>
          </w:tcPr>
          <w:p>
            <w:pPr>
              <w:spacing w:after="0"/>
              <w:rPr>
                <w:sz w:val="20"/>
                <w:szCs w:val="20"/>
                <w:color w:val="auto"/>
              </w:rPr>
            </w:pPr>
            <w:r>
              <w:rPr>
                <w:rFonts w:ascii="Arial" w:cs="Arial" w:eastAsia="Arial" w:hAnsi="Arial"/>
                <w:sz w:val="11"/>
                <w:szCs w:val="11"/>
                <w:color w:val="auto"/>
              </w:rPr>
              <w:t>Common stock dividends</w:t>
            </w:r>
          </w:p>
        </w:tc>
        <w:tc>
          <w:tcPr>
            <w:tcW w:w="680" w:type="dxa"/>
            <w:vAlign w:val="bottom"/>
            <w:gridSpan w:val="3"/>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700" w:type="dxa"/>
            <w:vAlign w:val="bottom"/>
            <w:gridSpan w:val="3"/>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160" w:type="dxa"/>
            <w:vAlign w:val="bottom"/>
            <w:tcBorders>
              <w:right w:val="single" w:sz="8" w:color="CFF0FC"/>
            </w:tcBorders>
            <w:shd w:val="clear" w:color="auto" w:fill="CFF0FC"/>
          </w:tcPr>
          <w:p>
            <w:pPr>
              <w:spacing w:after="0"/>
              <w:rPr>
                <w:sz w:val="12"/>
                <w:szCs w:val="12"/>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(370,186)</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(370,186)</w:t>
            </w:r>
          </w:p>
        </w:tc>
        <w:tc>
          <w:tcPr>
            <w:tcW w:w="0" w:type="dxa"/>
            <w:vAlign w:val="bottom"/>
          </w:tcPr>
          <w:p>
            <w:pPr>
              <w:spacing w:after="0"/>
              <w:rPr>
                <w:sz w:val="1"/>
                <w:szCs w:val="1"/>
                <w:color w:val="auto"/>
              </w:rPr>
            </w:pPr>
          </w:p>
        </w:tc>
      </w:tr>
      <w:tr>
        <w:trPr>
          <w:trHeight w:val="142"/>
        </w:trPr>
        <w:tc>
          <w:tcPr>
            <w:tcW w:w="2960" w:type="dxa"/>
            <w:vAlign w:val="bottom"/>
            <w:gridSpan w:val="2"/>
          </w:tcPr>
          <w:p>
            <w:pPr>
              <w:spacing w:after="0"/>
              <w:rPr>
                <w:sz w:val="20"/>
                <w:szCs w:val="20"/>
                <w:color w:val="auto"/>
              </w:rPr>
            </w:pPr>
            <w:r>
              <w:rPr>
                <w:rFonts w:ascii="Arial" w:cs="Arial" w:eastAsia="Arial" w:hAnsi="Arial"/>
                <w:sz w:val="11"/>
                <w:szCs w:val="11"/>
                <w:color w:val="auto"/>
              </w:rPr>
              <w:t>Convertible preferred stock dividends</w:t>
            </w:r>
          </w:p>
        </w:tc>
        <w:tc>
          <w:tcPr>
            <w:tcW w:w="68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70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1"/>
                <w:szCs w:val="11"/>
                <w:color w:val="auto"/>
              </w:rPr>
              <w:t>(1,743)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1"/>
                <w:szCs w:val="11"/>
                <w:color w:val="auto"/>
              </w:rPr>
              <w:t>(1,743)</w:t>
            </w:r>
          </w:p>
        </w:tc>
        <w:tc>
          <w:tcPr>
            <w:tcW w:w="0" w:type="dxa"/>
            <w:vAlign w:val="bottom"/>
          </w:tcPr>
          <w:p>
            <w:pPr>
              <w:spacing w:after="0"/>
              <w:rPr>
                <w:sz w:val="1"/>
                <w:szCs w:val="1"/>
                <w:color w:val="auto"/>
              </w:rPr>
            </w:pPr>
          </w:p>
        </w:tc>
      </w:tr>
      <w:tr>
        <w:trPr>
          <w:trHeight w:val="146"/>
        </w:trPr>
        <w:tc>
          <w:tcPr>
            <w:tcW w:w="2960" w:type="dxa"/>
            <w:vAlign w:val="bottom"/>
            <w:gridSpan w:val="2"/>
            <w:shd w:val="clear" w:color="auto" w:fill="CFF0FC"/>
          </w:tcPr>
          <w:p>
            <w:pPr>
              <w:spacing w:after="0"/>
              <w:rPr>
                <w:sz w:val="20"/>
                <w:szCs w:val="20"/>
                <w:color w:val="auto"/>
              </w:rPr>
            </w:pPr>
            <w:r>
              <w:rPr>
                <w:rFonts w:ascii="Arial" w:cs="Arial" w:eastAsia="Arial" w:hAnsi="Arial"/>
                <w:sz w:val="11"/>
                <w:szCs w:val="11"/>
                <w:color w:val="auto"/>
              </w:rPr>
              <w:t>Equity issuance cost</w:t>
            </w:r>
          </w:p>
        </w:tc>
        <w:tc>
          <w:tcPr>
            <w:tcW w:w="680" w:type="dxa"/>
            <w:vAlign w:val="bottom"/>
            <w:gridSpan w:val="3"/>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700" w:type="dxa"/>
            <w:vAlign w:val="bottom"/>
            <w:gridSpan w:val="3"/>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(623)</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160" w:type="dxa"/>
            <w:vAlign w:val="bottom"/>
            <w:tcBorders>
              <w:right w:val="single" w:sz="8" w:color="CFF0FC"/>
            </w:tcBorders>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(623)</w:t>
            </w:r>
          </w:p>
        </w:tc>
        <w:tc>
          <w:tcPr>
            <w:tcW w:w="0" w:type="dxa"/>
            <w:vAlign w:val="bottom"/>
          </w:tcPr>
          <w:p>
            <w:pPr>
              <w:spacing w:after="0"/>
              <w:rPr>
                <w:sz w:val="1"/>
                <w:szCs w:val="1"/>
                <w:color w:val="auto"/>
              </w:rPr>
            </w:pPr>
          </w:p>
        </w:tc>
      </w:tr>
      <w:tr>
        <w:trPr>
          <w:trHeight w:val="142"/>
        </w:trPr>
        <w:tc>
          <w:tcPr>
            <w:tcW w:w="2960" w:type="dxa"/>
            <w:vAlign w:val="bottom"/>
            <w:gridSpan w:val="2"/>
          </w:tcPr>
          <w:p>
            <w:pPr>
              <w:spacing w:after="0"/>
              <w:rPr>
                <w:sz w:val="20"/>
                <w:szCs w:val="20"/>
                <w:color w:val="auto"/>
              </w:rPr>
            </w:pPr>
            <w:r>
              <w:rPr>
                <w:rFonts w:ascii="Arial" w:cs="Arial" w:eastAsia="Arial" w:hAnsi="Arial"/>
                <w:sz w:val="11"/>
                <w:szCs w:val="11"/>
                <w:color w:val="auto"/>
              </w:rPr>
              <w:t>Net share settlement</w:t>
            </w:r>
          </w:p>
        </w:tc>
        <w:tc>
          <w:tcPr>
            <w:tcW w:w="68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70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1"/>
                <w:szCs w:val="11"/>
                <w:color w:val="auto"/>
              </w:rPr>
              <w:t>(203)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1"/>
                <w:szCs w:val="11"/>
                <w:color w:val="auto"/>
              </w:rPr>
              <w:t>(2,156)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1"/>
                <w:szCs w:val="11"/>
                <w:color w:val="auto"/>
              </w:rPr>
              <w:t>(2,359)</w:t>
            </w:r>
          </w:p>
        </w:tc>
        <w:tc>
          <w:tcPr>
            <w:tcW w:w="0" w:type="dxa"/>
            <w:vAlign w:val="bottom"/>
          </w:tcPr>
          <w:p>
            <w:pPr>
              <w:spacing w:after="0"/>
              <w:rPr>
                <w:sz w:val="1"/>
                <w:szCs w:val="1"/>
                <w:color w:val="auto"/>
              </w:rPr>
            </w:pPr>
          </w:p>
        </w:tc>
      </w:tr>
      <w:tr>
        <w:trPr>
          <w:trHeight w:val="146"/>
        </w:trPr>
        <w:tc>
          <w:tcPr>
            <w:tcW w:w="2960" w:type="dxa"/>
            <w:vAlign w:val="bottom"/>
            <w:gridSpan w:val="2"/>
            <w:shd w:val="clear" w:color="auto" w:fill="CFF0FC"/>
          </w:tcPr>
          <w:p>
            <w:pPr>
              <w:spacing w:after="0"/>
              <w:rPr>
                <w:sz w:val="20"/>
                <w:szCs w:val="20"/>
                <w:color w:val="auto"/>
              </w:rPr>
            </w:pPr>
            <w:r>
              <w:rPr>
                <w:rFonts w:ascii="Arial" w:cs="Arial" w:eastAsia="Arial" w:hAnsi="Arial"/>
                <w:sz w:val="11"/>
                <w:szCs w:val="11"/>
                <w:color w:val="auto"/>
              </w:rPr>
              <w:t>Stock-based compensation</w:t>
            </w:r>
          </w:p>
        </w:tc>
        <w:tc>
          <w:tcPr>
            <w:tcW w:w="68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70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1"/>
                <w:szCs w:val="11"/>
                <w:color w:val="auto"/>
              </w:rPr>
              <w:t>198,549</w:t>
            </w:r>
          </w:p>
        </w:tc>
        <w:tc>
          <w:tcPr>
            <w:tcW w:w="220" w:type="dxa"/>
            <w:vAlign w:val="bottom"/>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5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4,846</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160" w:type="dxa"/>
            <w:vAlign w:val="bottom"/>
            <w:tcBorders>
              <w:right w:val="single" w:sz="8" w:color="CFF0FC"/>
            </w:tcBorders>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4,846</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960" w:type="dxa"/>
            <w:vAlign w:val="bottom"/>
            <w:gridSpan w:val="2"/>
          </w:tcPr>
          <w:p>
            <w:pPr>
              <w:spacing w:after="0"/>
              <w:rPr>
                <w:sz w:val="20"/>
                <w:szCs w:val="20"/>
                <w:color w:val="auto"/>
              </w:rPr>
            </w:pPr>
            <w:r>
              <w:rPr>
                <w:rFonts w:ascii="Arial" w:cs="Arial" w:eastAsia="Arial" w:hAnsi="Arial"/>
                <w:sz w:val="11"/>
                <w:szCs w:val="11"/>
                <w:color w:val="auto"/>
              </w:rPr>
              <w:t>Balance at December 31, 2016</w:t>
            </w:r>
          </w:p>
        </w:tc>
        <w:tc>
          <w:tcPr>
            <w:tcW w:w="68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4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700" w:type="dxa"/>
            <w:vAlign w:val="bottom"/>
            <w:gridSpan w:val="3"/>
          </w:tcPr>
          <w:p>
            <w:pPr>
              <w:jc w:val="right"/>
              <w:spacing w:after="0"/>
              <w:rPr>
                <w:sz w:val="20"/>
                <w:szCs w:val="20"/>
                <w:color w:val="auto"/>
              </w:rPr>
            </w:pPr>
            <w:r>
              <w:rPr>
                <w:rFonts w:ascii="Arial" w:cs="Arial" w:eastAsia="Arial" w:hAnsi="Arial"/>
                <w:sz w:val="11"/>
                <w:szCs w:val="11"/>
                <w:color w:val="auto"/>
              </w:rPr>
              <w:t>155,138,637</w:t>
            </w:r>
          </w:p>
        </w:tc>
        <w:tc>
          <w:tcPr>
            <w:tcW w:w="4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15</w:t>
            </w:r>
          </w:p>
        </w:tc>
        <w:tc>
          <w:tcPr>
            <w:tcW w:w="2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141,092</w:t>
            </w:r>
          </w:p>
        </w:tc>
        <w:tc>
          <w:tcPr>
            <w:tcW w:w="140" w:type="dxa"/>
            <w:vAlign w:val="bottom"/>
          </w:tcPr>
          <w:p>
            <w:pPr>
              <w:spacing w:after="0"/>
              <w:rPr>
                <w:sz w:val="12"/>
                <w:szCs w:val="12"/>
                <w:color w:val="auto"/>
              </w:rPr>
            </w:pPr>
          </w:p>
        </w:tc>
        <w:tc>
          <w:tcPr>
            <w:tcW w:w="18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1"/>
                <w:szCs w:val="11"/>
                <w:color w:val="auto"/>
              </w:rPr>
              <w:t>(6,369)</w:t>
            </w:r>
          </w:p>
        </w:tc>
        <w:tc>
          <w:tcPr>
            <w:tcW w:w="160" w:type="dxa"/>
            <w:vAlign w:val="bottom"/>
          </w:tcPr>
          <w:p>
            <w:pPr>
              <w:jc w:val="right"/>
              <w:spacing w:after="0"/>
              <w:rPr>
                <w:sz w:val="20"/>
                <w:szCs w:val="20"/>
                <w:color w:val="auto"/>
              </w:rPr>
            </w:pPr>
            <w:r>
              <w:rPr>
                <w:rFonts w:ascii="Arial" w:cs="Arial" w:eastAsia="Arial" w:hAnsi="Arial"/>
                <w:sz w:val="11"/>
                <w:szCs w:val="11"/>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1"/>
                <w:szCs w:val="11"/>
                <w:color w:val="auto"/>
              </w:rPr>
              <w:t>(1,537,183)</w:t>
            </w:r>
          </w:p>
        </w:tc>
        <w:tc>
          <w:tcPr>
            <w:tcW w:w="18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24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1"/>
                <w:szCs w:val="11"/>
                <w:color w:val="auto"/>
              </w:rPr>
              <w:t>(1,402,445)</w:t>
            </w:r>
          </w:p>
        </w:tc>
        <w:tc>
          <w:tcPr>
            <w:tcW w:w="0" w:type="dxa"/>
            <w:vAlign w:val="bottom"/>
          </w:tcPr>
          <w:p>
            <w:pPr>
              <w:spacing w:after="0"/>
              <w:rPr>
                <w:sz w:val="1"/>
                <w:szCs w:val="1"/>
                <w:color w:val="auto"/>
              </w:rPr>
            </w:pPr>
          </w:p>
        </w:tc>
      </w:tr>
      <w:tr>
        <w:trPr>
          <w:trHeight w:val="144"/>
        </w:trPr>
        <w:tc>
          <w:tcPr>
            <w:tcW w:w="29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1"/>
                <w:szCs w:val="11"/>
                <w:color w:val="auto"/>
              </w:rPr>
              <w:t>2017 Activity:</w:t>
            </w:r>
          </w:p>
        </w:tc>
        <w:tc>
          <w:tcPr>
            <w:tcW w:w="200" w:type="dxa"/>
            <w:vAlign w:val="bottom"/>
            <w:tcBorders>
              <w:top w:val="single" w:sz="8" w:color="auto"/>
            </w:tcBorders>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auto"/>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32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58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CFF0FC"/>
              <w:right w:val="single" w:sz="8" w:color="CFF0FC"/>
            </w:tcBorders>
            <w:shd w:val="clear" w:color="auto" w:fill="CFF0FC"/>
          </w:tcPr>
          <w:p>
            <w:pPr>
              <w:spacing w:after="0"/>
              <w:rPr>
                <w:sz w:val="12"/>
                <w:szCs w:val="12"/>
                <w:color w:val="auto"/>
              </w:rPr>
            </w:pPr>
          </w:p>
        </w:tc>
        <w:tc>
          <w:tcPr>
            <w:tcW w:w="74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60" w:type="dxa"/>
            <w:vAlign w:val="bottom"/>
            <w:gridSpan w:val="2"/>
          </w:tcPr>
          <w:p>
            <w:pPr>
              <w:spacing w:after="0"/>
              <w:rPr>
                <w:sz w:val="20"/>
                <w:szCs w:val="20"/>
                <w:color w:val="auto"/>
              </w:rPr>
            </w:pPr>
            <w:r>
              <w:rPr>
                <w:rFonts w:ascii="Arial" w:cs="Arial" w:eastAsia="Arial" w:hAnsi="Arial"/>
                <w:sz w:val="11"/>
                <w:szCs w:val="11"/>
                <w:color w:val="auto"/>
              </w:rPr>
              <w:t>Net loss</w:t>
            </w:r>
          </w:p>
        </w:tc>
        <w:tc>
          <w:tcPr>
            <w:tcW w:w="68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70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1"/>
                <w:szCs w:val="11"/>
                <w:color w:val="auto"/>
              </w:rPr>
              <w:t>(9,439)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611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1"/>
                <w:szCs w:val="11"/>
                <w:color w:val="auto"/>
              </w:rPr>
              <w:t>(8,828)</w:t>
            </w:r>
          </w:p>
        </w:tc>
        <w:tc>
          <w:tcPr>
            <w:tcW w:w="0" w:type="dxa"/>
            <w:vAlign w:val="bottom"/>
          </w:tcPr>
          <w:p>
            <w:pPr>
              <w:spacing w:after="0"/>
              <w:rPr>
                <w:sz w:val="1"/>
                <w:szCs w:val="1"/>
                <w:color w:val="auto"/>
              </w:rPr>
            </w:pPr>
          </w:p>
        </w:tc>
      </w:tr>
      <w:tr>
        <w:trPr>
          <w:trHeight w:val="146"/>
        </w:trPr>
        <w:tc>
          <w:tcPr>
            <w:tcW w:w="2960" w:type="dxa"/>
            <w:vAlign w:val="bottom"/>
            <w:gridSpan w:val="2"/>
            <w:shd w:val="clear" w:color="auto" w:fill="CFF0FC"/>
          </w:tcPr>
          <w:p>
            <w:pPr>
              <w:spacing w:after="0"/>
              <w:rPr>
                <w:sz w:val="20"/>
                <w:szCs w:val="20"/>
                <w:color w:val="auto"/>
              </w:rPr>
            </w:pPr>
            <w:r>
              <w:rPr>
                <w:rFonts w:ascii="Arial" w:cs="Arial" w:eastAsia="Arial" w:hAnsi="Arial"/>
                <w:sz w:val="11"/>
                <w:szCs w:val="11"/>
                <w:color w:val="auto"/>
              </w:rPr>
              <w:t>Issuance of common stock</w:t>
            </w:r>
          </w:p>
        </w:tc>
        <w:tc>
          <w:tcPr>
            <w:tcW w:w="680" w:type="dxa"/>
            <w:vAlign w:val="bottom"/>
            <w:gridSpan w:val="3"/>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700" w:type="dxa"/>
            <w:vAlign w:val="bottom"/>
            <w:gridSpan w:val="3"/>
            <w:shd w:val="clear" w:color="auto" w:fill="CFF0FC"/>
          </w:tcPr>
          <w:p>
            <w:pPr>
              <w:jc w:val="right"/>
              <w:spacing w:after="0"/>
              <w:rPr>
                <w:sz w:val="20"/>
                <w:szCs w:val="20"/>
                <w:color w:val="auto"/>
              </w:rPr>
            </w:pPr>
            <w:r>
              <w:rPr>
                <w:rFonts w:ascii="Arial" w:cs="Arial" w:eastAsia="Arial" w:hAnsi="Arial"/>
                <w:sz w:val="11"/>
                <w:szCs w:val="11"/>
                <w:color w:val="auto"/>
              </w:rPr>
              <w:t>19,528,302</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517,499</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160" w:type="dxa"/>
            <w:vAlign w:val="bottom"/>
            <w:tcBorders>
              <w:right w:val="single" w:sz="8" w:color="CFF0FC"/>
            </w:tcBorders>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517,501</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60" w:type="dxa"/>
            <w:vAlign w:val="bottom"/>
            <w:gridSpan w:val="2"/>
          </w:tcPr>
          <w:p>
            <w:pPr>
              <w:spacing w:after="0"/>
              <w:rPr>
                <w:sz w:val="20"/>
                <w:szCs w:val="20"/>
                <w:color w:val="auto"/>
              </w:rPr>
            </w:pPr>
            <w:r>
              <w:rPr>
                <w:rFonts w:ascii="Arial" w:cs="Arial" w:eastAsia="Arial" w:hAnsi="Arial"/>
                <w:sz w:val="11"/>
                <w:szCs w:val="11"/>
                <w:color w:val="auto"/>
              </w:rPr>
              <w:t>Amortization of discount on convertible preferred stock</w:t>
            </w:r>
          </w:p>
        </w:tc>
        <w:tc>
          <w:tcPr>
            <w:tcW w:w="68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70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1"/>
                <w:szCs w:val="11"/>
                <w:color w:val="auto"/>
              </w:rPr>
              <w:t>(2,980)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1"/>
                <w:szCs w:val="11"/>
                <w:color w:val="auto"/>
              </w:rPr>
              <w:t>(2,980)</w:t>
            </w:r>
          </w:p>
        </w:tc>
        <w:tc>
          <w:tcPr>
            <w:tcW w:w="0" w:type="dxa"/>
            <w:vAlign w:val="bottom"/>
          </w:tcPr>
          <w:p>
            <w:pPr>
              <w:spacing w:after="0"/>
              <w:rPr>
                <w:sz w:val="1"/>
                <w:szCs w:val="1"/>
                <w:color w:val="auto"/>
              </w:rPr>
            </w:pPr>
          </w:p>
        </w:tc>
      </w:tr>
      <w:tr>
        <w:trPr>
          <w:trHeight w:val="146"/>
        </w:trPr>
        <w:tc>
          <w:tcPr>
            <w:tcW w:w="2960" w:type="dxa"/>
            <w:vAlign w:val="bottom"/>
            <w:gridSpan w:val="2"/>
            <w:shd w:val="clear" w:color="auto" w:fill="CFF0FC"/>
          </w:tcPr>
          <w:p>
            <w:pPr>
              <w:spacing w:after="0"/>
              <w:rPr>
                <w:sz w:val="20"/>
                <w:szCs w:val="20"/>
                <w:color w:val="auto"/>
              </w:rPr>
            </w:pPr>
            <w:r>
              <w:rPr>
                <w:rFonts w:ascii="Arial" w:cs="Arial" w:eastAsia="Arial" w:hAnsi="Arial"/>
                <w:sz w:val="11"/>
                <w:szCs w:val="11"/>
                <w:color w:val="auto"/>
              </w:rPr>
              <w:t>Other comprehensive income</w:t>
            </w:r>
          </w:p>
        </w:tc>
        <w:tc>
          <w:tcPr>
            <w:tcW w:w="680" w:type="dxa"/>
            <w:vAlign w:val="bottom"/>
            <w:gridSpan w:val="3"/>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700" w:type="dxa"/>
            <w:vAlign w:val="bottom"/>
            <w:gridSpan w:val="3"/>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14,190</w:t>
            </w:r>
          </w:p>
        </w:tc>
        <w:tc>
          <w:tcPr>
            <w:tcW w:w="140" w:type="dxa"/>
            <w:vAlign w:val="bottom"/>
            <w:shd w:val="clear" w:color="auto" w:fill="CFF0FC"/>
          </w:tcPr>
          <w:p>
            <w:pPr>
              <w:spacing w:after="0"/>
              <w:rPr>
                <w:sz w:val="12"/>
                <w:szCs w:val="12"/>
                <w:color w:val="auto"/>
              </w:rPr>
            </w:pPr>
          </w:p>
        </w:tc>
        <w:tc>
          <w:tcPr>
            <w:tcW w:w="160" w:type="dxa"/>
            <w:vAlign w:val="bottom"/>
            <w:tcBorders>
              <w:right w:val="single" w:sz="8" w:color="CFF0FC"/>
            </w:tcBorders>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365</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14,555</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60" w:type="dxa"/>
            <w:vAlign w:val="bottom"/>
            <w:gridSpan w:val="2"/>
          </w:tcPr>
          <w:p>
            <w:pPr>
              <w:spacing w:after="0"/>
              <w:rPr>
                <w:sz w:val="20"/>
                <w:szCs w:val="20"/>
                <w:color w:val="auto"/>
              </w:rPr>
            </w:pPr>
            <w:r>
              <w:rPr>
                <w:rFonts w:ascii="Arial" w:cs="Arial" w:eastAsia="Arial" w:hAnsi="Arial"/>
                <w:sz w:val="11"/>
                <w:szCs w:val="11"/>
                <w:color w:val="auto"/>
              </w:rPr>
              <w:t>Common stock dividends</w:t>
            </w:r>
          </w:p>
        </w:tc>
        <w:tc>
          <w:tcPr>
            <w:tcW w:w="68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70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1"/>
                <w:szCs w:val="11"/>
                <w:color w:val="auto"/>
              </w:rPr>
              <w:t>(410,054)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1"/>
                <w:szCs w:val="11"/>
                <w:color w:val="auto"/>
              </w:rPr>
              <w:t>(410,054)</w:t>
            </w:r>
          </w:p>
        </w:tc>
        <w:tc>
          <w:tcPr>
            <w:tcW w:w="0" w:type="dxa"/>
            <w:vAlign w:val="bottom"/>
          </w:tcPr>
          <w:p>
            <w:pPr>
              <w:spacing w:after="0"/>
              <w:rPr>
                <w:sz w:val="1"/>
                <w:szCs w:val="1"/>
                <w:color w:val="auto"/>
              </w:rPr>
            </w:pPr>
          </w:p>
        </w:tc>
      </w:tr>
      <w:tr>
        <w:trPr>
          <w:trHeight w:val="146"/>
        </w:trPr>
        <w:tc>
          <w:tcPr>
            <w:tcW w:w="2960" w:type="dxa"/>
            <w:vAlign w:val="bottom"/>
            <w:gridSpan w:val="2"/>
            <w:shd w:val="clear" w:color="auto" w:fill="CFF0FC"/>
          </w:tcPr>
          <w:p>
            <w:pPr>
              <w:spacing w:after="0"/>
              <w:rPr>
                <w:sz w:val="20"/>
                <w:szCs w:val="20"/>
                <w:color w:val="auto"/>
              </w:rPr>
            </w:pPr>
            <w:r>
              <w:rPr>
                <w:rFonts w:ascii="Arial" w:cs="Arial" w:eastAsia="Arial" w:hAnsi="Arial"/>
                <w:sz w:val="11"/>
                <w:szCs w:val="11"/>
                <w:color w:val="auto"/>
              </w:rPr>
              <w:t>Distributions to noncontrolling interest</w:t>
            </w:r>
          </w:p>
        </w:tc>
        <w:tc>
          <w:tcPr>
            <w:tcW w:w="680" w:type="dxa"/>
            <w:vAlign w:val="bottom"/>
            <w:gridSpan w:val="3"/>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700" w:type="dxa"/>
            <w:vAlign w:val="bottom"/>
            <w:gridSpan w:val="3"/>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160" w:type="dxa"/>
            <w:vAlign w:val="bottom"/>
            <w:tcBorders>
              <w:right w:val="single" w:sz="8" w:color="CFF0FC"/>
            </w:tcBorders>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(4,978)</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(4,978)</w:t>
            </w:r>
          </w:p>
        </w:tc>
        <w:tc>
          <w:tcPr>
            <w:tcW w:w="0" w:type="dxa"/>
            <w:vAlign w:val="bottom"/>
          </w:tcPr>
          <w:p>
            <w:pPr>
              <w:spacing w:after="0"/>
              <w:rPr>
                <w:sz w:val="1"/>
                <w:szCs w:val="1"/>
                <w:color w:val="auto"/>
              </w:rPr>
            </w:pPr>
          </w:p>
        </w:tc>
      </w:tr>
    </w:tbl>
    <w:p>
      <w:pPr>
        <w:spacing w:after="0" w:line="13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54" w:name="page55"/>
    <w:bookmarkEnd w:id="54"/>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960" w:type="dxa"/>
            <w:vAlign w:val="bottom"/>
          </w:tcPr>
          <w:p>
            <w:pPr>
              <w:spacing w:after="0"/>
              <w:rPr>
                <w:sz w:val="20"/>
                <w:szCs w:val="20"/>
                <w:color w:val="auto"/>
              </w:rPr>
            </w:pPr>
            <w:r>
              <w:rPr>
                <w:rFonts w:ascii="Arial" w:cs="Arial" w:eastAsia="Arial" w:hAnsi="Arial"/>
                <w:sz w:val="11"/>
                <w:szCs w:val="11"/>
                <w:color w:val="auto"/>
              </w:rPr>
              <w:t>Convertible preferred stock dividends</w:t>
            </w: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1"/>
                <w:szCs w:val="11"/>
                <w:color w:val="auto"/>
              </w:rPr>
              <w:t>(2,624)</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1"/>
                <w:szCs w:val="11"/>
                <w:color w:val="auto"/>
              </w:rPr>
              <w:t>(2,624)</w:t>
            </w:r>
          </w:p>
        </w:tc>
      </w:tr>
      <w:tr>
        <w:trPr>
          <w:trHeight w:val="146"/>
        </w:trPr>
        <w:tc>
          <w:tcPr>
            <w:tcW w:w="2960" w:type="dxa"/>
            <w:vAlign w:val="bottom"/>
            <w:shd w:val="clear" w:color="auto" w:fill="CFF0FC"/>
          </w:tcPr>
          <w:p>
            <w:pPr>
              <w:spacing w:after="0"/>
              <w:rPr>
                <w:sz w:val="20"/>
                <w:szCs w:val="20"/>
                <w:color w:val="auto"/>
              </w:rPr>
            </w:pPr>
            <w:r>
              <w:rPr>
                <w:rFonts w:ascii="Arial" w:cs="Arial" w:eastAsia="Arial" w:hAnsi="Arial"/>
                <w:sz w:val="11"/>
                <w:szCs w:val="11"/>
                <w:color w:val="auto"/>
              </w:rPr>
              <w:t>Equity issuance cost</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(18,575)</w:t>
            </w: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(18,575)</w:t>
            </w:r>
          </w:p>
        </w:tc>
      </w:tr>
      <w:tr>
        <w:trPr>
          <w:trHeight w:val="142"/>
        </w:trPr>
        <w:tc>
          <w:tcPr>
            <w:tcW w:w="2960" w:type="dxa"/>
            <w:vAlign w:val="bottom"/>
          </w:tcPr>
          <w:p>
            <w:pPr>
              <w:spacing w:after="0"/>
              <w:rPr>
                <w:sz w:val="20"/>
                <w:szCs w:val="20"/>
                <w:color w:val="auto"/>
              </w:rPr>
            </w:pPr>
            <w:r>
              <w:rPr>
                <w:rFonts w:ascii="Arial" w:cs="Arial" w:eastAsia="Arial" w:hAnsi="Arial"/>
                <w:sz w:val="11"/>
                <w:szCs w:val="11"/>
                <w:color w:val="auto"/>
              </w:rPr>
              <w:t>Contributions from noncontrolling interest holders</w:t>
            </w: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105,969</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105,969</w:t>
            </w:r>
          </w:p>
        </w:tc>
        <w:tc>
          <w:tcPr>
            <w:tcW w:w="120" w:type="dxa"/>
            <w:vAlign w:val="bottom"/>
          </w:tcPr>
          <w:p>
            <w:pPr>
              <w:spacing w:after="0"/>
              <w:rPr>
                <w:sz w:val="12"/>
                <w:szCs w:val="12"/>
                <w:color w:val="auto"/>
              </w:rPr>
            </w:pPr>
          </w:p>
        </w:tc>
      </w:tr>
      <w:tr>
        <w:trPr>
          <w:trHeight w:val="146"/>
        </w:trPr>
        <w:tc>
          <w:tcPr>
            <w:tcW w:w="2960" w:type="dxa"/>
            <w:vAlign w:val="bottom"/>
            <w:shd w:val="clear" w:color="auto" w:fill="CFF0FC"/>
          </w:tcPr>
          <w:p>
            <w:pPr>
              <w:spacing w:after="0"/>
              <w:rPr>
                <w:sz w:val="20"/>
                <w:szCs w:val="20"/>
                <w:color w:val="auto"/>
              </w:rPr>
            </w:pPr>
            <w:r>
              <w:rPr>
                <w:rFonts w:ascii="Arial" w:cs="Arial" w:eastAsia="Arial" w:hAnsi="Arial"/>
                <w:sz w:val="11"/>
                <w:szCs w:val="11"/>
                <w:color w:val="auto"/>
              </w:rPr>
              <w:t>Purchase of noncontrolling interest</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(560)</w:t>
            </w:r>
          </w:p>
        </w:tc>
        <w:tc>
          <w:tcPr>
            <w:tcW w:w="16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(560)</w:t>
            </w:r>
          </w:p>
        </w:tc>
      </w:tr>
      <w:tr>
        <w:trPr>
          <w:trHeight w:val="142"/>
        </w:trPr>
        <w:tc>
          <w:tcPr>
            <w:tcW w:w="2960" w:type="dxa"/>
            <w:vAlign w:val="bottom"/>
          </w:tcPr>
          <w:p>
            <w:pPr>
              <w:spacing w:after="0"/>
              <w:rPr>
                <w:sz w:val="20"/>
                <w:szCs w:val="20"/>
                <w:color w:val="auto"/>
              </w:rPr>
            </w:pPr>
            <w:r>
              <w:rPr>
                <w:rFonts w:ascii="Arial" w:cs="Arial" w:eastAsia="Arial" w:hAnsi="Arial"/>
                <w:sz w:val="11"/>
                <w:szCs w:val="11"/>
                <w:color w:val="auto"/>
              </w:rPr>
              <w:t>Net share settlement</w:t>
            </w: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1"/>
                <w:szCs w:val="11"/>
                <w:color w:val="auto"/>
              </w:rPr>
              <w:t>(421)</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1"/>
                <w:szCs w:val="11"/>
                <w:color w:val="auto"/>
              </w:rPr>
              <w:t>(1,415)</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1"/>
                <w:szCs w:val="11"/>
                <w:color w:val="auto"/>
              </w:rPr>
              <w:t>(1,836)</w:t>
            </w:r>
          </w:p>
        </w:tc>
      </w:tr>
      <w:tr>
        <w:trPr>
          <w:trHeight w:val="146"/>
        </w:trPr>
        <w:tc>
          <w:tcPr>
            <w:tcW w:w="2960" w:type="dxa"/>
            <w:vAlign w:val="bottom"/>
            <w:shd w:val="clear" w:color="auto" w:fill="CFF0FC"/>
          </w:tcPr>
          <w:p>
            <w:pPr>
              <w:spacing w:after="0"/>
              <w:rPr>
                <w:sz w:val="20"/>
                <w:szCs w:val="20"/>
                <w:color w:val="auto"/>
              </w:rPr>
            </w:pPr>
            <w:r>
              <w:rPr>
                <w:rFonts w:ascii="Arial" w:cs="Arial" w:eastAsia="Arial" w:hAnsi="Arial"/>
                <w:sz w:val="11"/>
                <w:szCs w:val="11"/>
                <w:color w:val="auto"/>
              </w:rPr>
              <w:t>Stock-based compensation</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340" w:type="dxa"/>
            <w:vAlign w:val="bottom"/>
            <w:tcBorders>
              <w:bottom w:val="single" w:sz="8" w:color="auto"/>
            </w:tcBorders>
            <w:shd w:val="clear" w:color="auto" w:fill="CFF0FC"/>
          </w:tcPr>
          <w:p>
            <w:pPr>
              <w:spacing w:after="0"/>
              <w:rPr>
                <w:sz w:val="12"/>
                <w:szCs w:val="12"/>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184,575</w:t>
            </w:r>
          </w:p>
        </w:tc>
        <w:tc>
          <w:tcPr>
            <w:tcW w:w="220" w:type="dxa"/>
            <w:vAlign w:val="bottom"/>
            <w:shd w:val="clear" w:color="auto" w:fill="CFF0FC"/>
          </w:tcPr>
          <w:p>
            <w:pPr>
              <w:spacing w:after="0"/>
              <w:rPr>
                <w:sz w:val="12"/>
                <w:szCs w:val="12"/>
                <w:color w:val="auto"/>
              </w:rPr>
            </w:pPr>
          </w:p>
        </w:tc>
        <w:tc>
          <w:tcPr>
            <w:tcW w:w="320" w:type="dxa"/>
            <w:vAlign w:val="bottom"/>
            <w:tcBorders>
              <w:bottom w:val="single" w:sz="8" w:color="auto"/>
            </w:tcBorders>
            <w:shd w:val="clear" w:color="auto" w:fill="CFF0FC"/>
          </w:tcPr>
          <w:p>
            <w:pPr>
              <w:spacing w:after="0"/>
              <w:rPr>
                <w:sz w:val="12"/>
                <w:szCs w:val="12"/>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7,713</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spacing w:after="0"/>
              <w:rPr>
                <w:sz w:val="12"/>
                <w:szCs w:val="12"/>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40" w:type="dxa"/>
            <w:vAlign w:val="bottom"/>
            <w:tcBorders>
              <w:bottom w:val="single" w:sz="8" w:color="auto"/>
            </w:tcBorders>
            <w:shd w:val="clear" w:color="auto" w:fill="CFF0FC"/>
          </w:tcPr>
          <w:p>
            <w:pPr>
              <w:spacing w:after="0"/>
              <w:rPr>
                <w:sz w:val="12"/>
                <w:szCs w:val="12"/>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7,713</w:t>
            </w:r>
          </w:p>
        </w:tc>
        <w:tc>
          <w:tcPr>
            <w:tcW w:w="120" w:type="dxa"/>
            <w:vAlign w:val="bottom"/>
            <w:shd w:val="clear" w:color="auto" w:fill="CFF0FC"/>
          </w:tcPr>
          <w:p>
            <w:pPr>
              <w:spacing w:after="0"/>
              <w:rPr>
                <w:sz w:val="12"/>
                <w:szCs w:val="12"/>
                <w:color w:val="auto"/>
              </w:rPr>
            </w:pPr>
          </w:p>
        </w:tc>
      </w:tr>
      <w:tr>
        <w:trPr>
          <w:trHeight w:val="131"/>
        </w:trPr>
        <w:tc>
          <w:tcPr>
            <w:tcW w:w="2960" w:type="dxa"/>
            <w:vAlign w:val="bottom"/>
          </w:tcPr>
          <w:p>
            <w:pPr>
              <w:spacing w:after="0"/>
              <w:rPr>
                <w:sz w:val="20"/>
                <w:szCs w:val="20"/>
                <w:color w:val="auto"/>
              </w:rPr>
            </w:pPr>
            <w:r>
              <w:rPr>
                <w:rFonts w:ascii="Arial" w:cs="Arial" w:eastAsia="Arial" w:hAnsi="Arial"/>
                <w:sz w:val="11"/>
                <w:szCs w:val="11"/>
                <w:color w:val="auto"/>
              </w:rPr>
              <w:t>Balance at December 31, 2017</w:t>
            </w: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56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3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174,851,514</w:t>
            </w:r>
          </w:p>
        </w:tc>
        <w:tc>
          <w:tcPr>
            <w:tcW w:w="5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360" w:type="dxa"/>
            <w:vAlign w:val="bottom"/>
          </w:tcPr>
          <w:p>
            <w:pPr>
              <w:jc w:val="right"/>
              <w:spacing w:after="0"/>
              <w:rPr>
                <w:sz w:val="20"/>
                <w:szCs w:val="20"/>
                <w:color w:val="auto"/>
              </w:rPr>
            </w:pPr>
            <w:r>
              <w:rPr>
                <w:rFonts w:ascii="Arial" w:cs="Arial" w:eastAsia="Arial" w:hAnsi="Arial"/>
                <w:sz w:val="11"/>
                <w:szCs w:val="11"/>
                <w:color w:val="auto"/>
              </w:rPr>
              <w:t>17</w:t>
            </w:r>
          </w:p>
        </w:tc>
        <w:tc>
          <w:tcPr>
            <w:tcW w:w="220" w:type="dxa"/>
            <w:vAlign w:val="bottom"/>
          </w:tcPr>
          <w:p>
            <w:pPr>
              <w:spacing w:after="0"/>
              <w:rPr>
                <w:sz w:val="11"/>
                <w:szCs w:val="11"/>
                <w:color w:val="auto"/>
              </w:rPr>
            </w:pP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644,328</w:t>
            </w:r>
          </w:p>
        </w:tc>
        <w:tc>
          <w:tcPr>
            <w:tcW w:w="140" w:type="dxa"/>
            <w:vAlign w:val="bottom"/>
          </w:tcPr>
          <w:p>
            <w:pPr>
              <w:spacing w:after="0"/>
              <w:rPr>
                <w:sz w:val="11"/>
                <w:szCs w:val="11"/>
                <w:color w:val="auto"/>
              </w:rPr>
            </w:pPr>
          </w:p>
        </w:tc>
        <w:tc>
          <w:tcPr>
            <w:tcW w:w="40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7,821</w:t>
            </w:r>
          </w:p>
        </w:tc>
        <w:tc>
          <w:tcPr>
            <w:tcW w:w="4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1"/>
                <w:szCs w:val="11"/>
                <w:color w:val="auto"/>
              </w:rPr>
              <w:t>(1,960,715)</w:t>
            </w:r>
          </w:p>
        </w:tc>
        <w:tc>
          <w:tcPr>
            <w:tcW w:w="3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101,407</w:t>
            </w:r>
          </w:p>
        </w:tc>
        <w:tc>
          <w:tcPr>
            <w:tcW w:w="240" w:type="dxa"/>
            <w:vAlign w:val="bottom"/>
          </w:tcPr>
          <w:p>
            <w:pPr>
              <w:spacing w:after="0"/>
              <w:rPr>
                <w:sz w:val="11"/>
                <w:szCs w:val="11"/>
                <w:color w:val="auto"/>
              </w:rPr>
            </w:pPr>
          </w:p>
        </w:tc>
        <w:tc>
          <w:tcPr>
            <w:tcW w:w="160" w:type="dxa"/>
            <w:vAlign w:val="bottom"/>
          </w:tcPr>
          <w:p>
            <w:pPr>
              <w:jc w:val="right"/>
              <w:ind w:right="93"/>
              <w:spacing w:after="0"/>
              <w:rPr>
                <w:sz w:val="20"/>
                <w:szCs w:val="20"/>
                <w:color w:val="auto"/>
              </w:rPr>
            </w:pPr>
            <w:r>
              <w:rPr>
                <w:rFonts w:ascii="Arial" w:cs="Arial" w:eastAsia="Arial" w:hAnsi="Arial"/>
                <w:sz w:val="5"/>
                <w:szCs w:val="5"/>
                <w:color w:val="auto"/>
                <w:w w:val="70"/>
              </w:rPr>
              <w:t>$</w:t>
            </w:r>
          </w:p>
        </w:tc>
        <w:tc>
          <w:tcPr>
            <w:tcW w:w="720" w:type="dxa"/>
            <w:vAlign w:val="bottom"/>
            <w:gridSpan w:val="2"/>
          </w:tcPr>
          <w:p>
            <w:pPr>
              <w:jc w:val="right"/>
              <w:ind w:right="80"/>
              <w:spacing w:after="0"/>
              <w:rPr>
                <w:sz w:val="20"/>
                <w:szCs w:val="20"/>
                <w:color w:val="auto"/>
              </w:rPr>
            </w:pPr>
            <w:r>
              <w:rPr>
                <w:rFonts w:ascii="Arial" w:cs="Arial" w:eastAsia="Arial" w:hAnsi="Arial"/>
                <w:sz w:val="11"/>
                <w:szCs w:val="11"/>
                <w:color w:val="auto"/>
              </w:rPr>
              <w:t>(1,207,142)</w:t>
            </w:r>
          </w:p>
        </w:tc>
      </w:tr>
      <w:tr>
        <w:trPr>
          <w:trHeight w:val="29"/>
        </w:trPr>
        <w:tc>
          <w:tcPr>
            <w:tcW w:w="29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The accompanying notes are an integral part of these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55" w:name="page56"/>
    <w:bookmarkEnd w:id="55"/>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7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Uniti Group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Consolidated Statements of Cash Flows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9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460" w:type="dxa"/>
            <w:vAlign w:val="bottom"/>
            <w:tcBorders>
              <w:bottom w:val="single" w:sz="8" w:color="auto"/>
            </w:tcBorders>
            <w:gridSpan w:val="3"/>
          </w:tcPr>
          <w:p>
            <w:pPr>
              <w:jc w:val="right"/>
              <w:ind w:right="231"/>
              <w:spacing w:after="0"/>
              <w:rPr>
                <w:sz w:val="20"/>
                <w:szCs w:val="20"/>
                <w:color w:val="auto"/>
              </w:rPr>
            </w:pPr>
            <w:r>
              <w:rPr>
                <w:rFonts w:ascii="Arial" w:cs="Arial" w:eastAsia="Arial" w:hAnsi="Arial"/>
                <w:sz w:val="10"/>
                <w:szCs w:val="10"/>
                <w:b w:val="1"/>
                <w:bCs w:val="1"/>
                <w:color w:val="auto"/>
              </w:rPr>
              <w:t>Year Ended December 31,</w:t>
            </w:r>
          </w:p>
        </w:tc>
        <w:tc>
          <w:tcPr>
            <w:tcW w:w="132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20" w:type="dxa"/>
            <w:vAlign w:val="bottom"/>
            <w:gridSpan w:val="2"/>
          </w:tcPr>
          <w:p>
            <w:pPr>
              <w:jc w:val="right"/>
              <w:ind w:right="680"/>
              <w:spacing w:after="0"/>
              <w:rPr>
                <w:sz w:val="20"/>
                <w:szCs w:val="20"/>
                <w:color w:val="auto"/>
              </w:rPr>
            </w:pPr>
            <w:r>
              <w:rPr>
                <w:rFonts w:ascii="Arial" w:cs="Arial" w:eastAsia="Arial" w:hAnsi="Arial"/>
                <w:sz w:val="10"/>
                <w:szCs w:val="10"/>
                <w:b w:val="1"/>
                <w:bCs w:val="1"/>
                <w:color w:val="auto"/>
              </w:rPr>
              <w:t>Period from</w:t>
            </w:r>
          </w:p>
        </w:tc>
        <w:tc>
          <w:tcPr>
            <w:tcW w:w="0" w:type="dxa"/>
            <w:vAlign w:val="bottom"/>
          </w:tcPr>
          <w:p>
            <w:pPr>
              <w:spacing w:after="0"/>
              <w:rPr>
                <w:sz w:val="1"/>
                <w:szCs w:val="1"/>
                <w:color w:val="auto"/>
              </w:rPr>
            </w:pPr>
          </w:p>
        </w:tc>
      </w:tr>
      <w:tr>
        <w:trPr>
          <w:trHeight w:val="151"/>
        </w:trPr>
        <w:tc>
          <w:tcPr>
            <w:tcW w:w="5260" w:type="dxa"/>
            <w:vAlign w:val="bottom"/>
            <w:gridSpan w:val="2"/>
          </w:tcPr>
          <w:p>
            <w:pPr>
              <w:spacing w:after="0"/>
              <w:rPr>
                <w:sz w:val="20"/>
                <w:szCs w:val="20"/>
                <w:color w:val="auto"/>
              </w:rPr>
            </w:pPr>
            <w:r>
              <w:rPr>
                <w:rFonts w:ascii="Arial" w:cs="Arial" w:eastAsia="Arial" w:hAnsi="Arial"/>
                <w:sz w:val="10"/>
                <w:szCs w:val="10"/>
                <w:color w:val="auto"/>
              </w:rPr>
              <w:t>(Thousands)</w:t>
            </w:r>
          </w:p>
        </w:tc>
        <w:tc>
          <w:tcPr>
            <w:tcW w:w="460" w:type="dxa"/>
            <w:vAlign w:val="bottom"/>
          </w:tcPr>
          <w:p>
            <w:pPr>
              <w:spacing w:after="0"/>
              <w:rPr>
                <w:sz w:val="13"/>
                <w:szCs w:val="13"/>
                <w:color w:val="auto"/>
              </w:rPr>
            </w:pPr>
          </w:p>
        </w:tc>
        <w:tc>
          <w:tcPr>
            <w:tcW w:w="1460" w:type="dxa"/>
            <w:vAlign w:val="bottom"/>
          </w:tcPr>
          <w:p>
            <w:pPr>
              <w:jc w:val="right"/>
              <w:ind w:right="806"/>
              <w:spacing w:after="0"/>
              <w:rPr>
                <w:sz w:val="20"/>
                <w:szCs w:val="20"/>
                <w:color w:val="auto"/>
              </w:rPr>
            </w:pPr>
            <w:r>
              <w:rPr>
                <w:rFonts w:ascii="Arial" w:cs="Arial" w:eastAsia="Arial" w:hAnsi="Arial"/>
                <w:sz w:val="10"/>
                <w:szCs w:val="10"/>
                <w:b w:val="1"/>
                <w:bCs w:val="1"/>
                <w:color w:val="auto"/>
              </w:rPr>
              <w:t>2017</w:t>
            </w:r>
          </w:p>
        </w:tc>
        <w:tc>
          <w:tcPr>
            <w:tcW w:w="4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320" w:type="dxa"/>
            <w:vAlign w:val="bottom"/>
          </w:tcPr>
          <w:p>
            <w:pPr>
              <w:jc w:val="right"/>
              <w:ind w:right="826"/>
              <w:spacing w:after="0"/>
              <w:rPr>
                <w:sz w:val="20"/>
                <w:szCs w:val="20"/>
                <w:color w:val="auto"/>
              </w:rPr>
            </w:pPr>
            <w:r>
              <w:rPr>
                <w:rFonts w:ascii="Arial" w:cs="Arial" w:eastAsia="Arial" w:hAnsi="Arial"/>
                <w:sz w:val="10"/>
                <w:szCs w:val="10"/>
                <w:b w:val="1"/>
                <w:bCs w:val="1"/>
                <w:color w:val="auto"/>
              </w:rPr>
              <w:t>2016</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gridSpan w:val="2"/>
          </w:tcPr>
          <w:p>
            <w:pPr>
              <w:jc w:val="right"/>
              <w:ind w:right="340"/>
              <w:spacing w:after="0"/>
              <w:rPr>
                <w:sz w:val="20"/>
                <w:szCs w:val="20"/>
                <w:color w:val="auto"/>
              </w:rPr>
            </w:pPr>
            <w:r>
              <w:rPr>
                <w:rFonts w:ascii="Arial" w:cs="Arial" w:eastAsia="Arial" w:hAnsi="Arial"/>
                <w:sz w:val="10"/>
                <w:szCs w:val="10"/>
                <w:b w:val="1"/>
                <w:bCs w:val="1"/>
                <w:color w:val="auto"/>
                <w:w w:val="92"/>
              </w:rPr>
              <w:t>April 24 - December 31, 2015</w:t>
            </w:r>
          </w:p>
        </w:tc>
        <w:tc>
          <w:tcPr>
            <w:tcW w:w="0" w:type="dxa"/>
            <w:vAlign w:val="bottom"/>
          </w:tcPr>
          <w:p>
            <w:pPr>
              <w:spacing w:after="0"/>
              <w:rPr>
                <w:sz w:val="1"/>
                <w:szCs w:val="1"/>
                <w:color w:val="auto"/>
              </w:rPr>
            </w:pPr>
          </w:p>
        </w:tc>
      </w:tr>
      <w:tr>
        <w:trPr>
          <w:trHeight w:val="133"/>
        </w:trPr>
        <w:tc>
          <w:tcPr>
            <w:tcW w:w="49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1"/>
                <w:szCs w:val="11"/>
                <w:b w:val="1"/>
                <w:bCs w:val="1"/>
                <w:color w:val="auto"/>
              </w:rPr>
              <w:t>Cash flow from operating activities</w:t>
            </w:r>
          </w:p>
        </w:tc>
        <w:tc>
          <w:tcPr>
            <w:tcW w:w="280" w:type="dxa"/>
            <w:vAlign w:val="bottom"/>
            <w:tcBorders>
              <w:top w:val="single" w:sz="8" w:color="CFF0FC"/>
            </w:tcBorders>
            <w:shd w:val="clear" w:color="auto" w:fill="CFF0FC"/>
          </w:tcPr>
          <w:p>
            <w:pPr>
              <w:spacing w:after="0"/>
              <w:rPr>
                <w:sz w:val="11"/>
                <w:szCs w:val="11"/>
                <w:color w:val="auto"/>
              </w:rPr>
            </w:pPr>
          </w:p>
        </w:tc>
        <w:tc>
          <w:tcPr>
            <w:tcW w:w="460" w:type="dxa"/>
            <w:vAlign w:val="bottom"/>
            <w:tcBorders>
              <w:top w:val="single" w:sz="8" w:color="auto"/>
            </w:tcBorders>
            <w:shd w:val="clear" w:color="auto" w:fill="CFF0FC"/>
          </w:tcPr>
          <w:p>
            <w:pPr>
              <w:spacing w:after="0"/>
              <w:rPr>
                <w:sz w:val="11"/>
                <w:szCs w:val="11"/>
                <w:color w:val="auto"/>
              </w:rPr>
            </w:pPr>
          </w:p>
        </w:tc>
        <w:tc>
          <w:tcPr>
            <w:tcW w:w="1460" w:type="dxa"/>
            <w:vAlign w:val="bottom"/>
            <w:tcBorders>
              <w:top w:val="single" w:sz="8" w:color="auto"/>
            </w:tcBorders>
            <w:shd w:val="clear" w:color="auto" w:fill="CFF0FC"/>
          </w:tcPr>
          <w:p>
            <w:pPr>
              <w:spacing w:after="0"/>
              <w:rPr>
                <w:sz w:val="11"/>
                <w:szCs w:val="11"/>
                <w:color w:val="auto"/>
              </w:rPr>
            </w:pPr>
          </w:p>
        </w:tc>
        <w:tc>
          <w:tcPr>
            <w:tcW w:w="400" w:type="dxa"/>
            <w:vAlign w:val="bottom"/>
            <w:tcBorders>
              <w:top w:val="single" w:sz="8" w:color="CFF0FC"/>
            </w:tcBorders>
            <w:shd w:val="clear" w:color="auto" w:fill="CFF0FC"/>
          </w:tcPr>
          <w:p>
            <w:pPr>
              <w:spacing w:after="0"/>
              <w:rPr>
                <w:sz w:val="11"/>
                <w:szCs w:val="11"/>
                <w:color w:val="auto"/>
              </w:rPr>
            </w:pPr>
          </w:p>
        </w:tc>
        <w:tc>
          <w:tcPr>
            <w:tcW w:w="600" w:type="dxa"/>
            <w:vAlign w:val="bottom"/>
            <w:tcBorders>
              <w:top w:val="single" w:sz="8" w:color="auto"/>
            </w:tcBorders>
            <w:shd w:val="clear" w:color="auto" w:fill="CFF0FC"/>
          </w:tcPr>
          <w:p>
            <w:pPr>
              <w:spacing w:after="0"/>
              <w:rPr>
                <w:sz w:val="11"/>
                <w:szCs w:val="11"/>
                <w:color w:val="auto"/>
              </w:rPr>
            </w:pPr>
          </w:p>
        </w:tc>
        <w:tc>
          <w:tcPr>
            <w:tcW w:w="132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150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5260" w:type="dxa"/>
            <w:vAlign w:val="bottom"/>
            <w:gridSpan w:val="2"/>
          </w:tcPr>
          <w:p>
            <w:pPr>
              <w:spacing w:after="0"/>
              <w:rPr>
                <w:sz w:val="20"/>
                <w:szCs w:val="20"/>
                <w:color w:val="auto"/>
              </w:rPr>
            </w:pPr>
            <w:r>
              <w:rPr>
                <w:rFonts w:ascii="Arial" w:cs="Arial" w:eastAsia="Arial" w:hAnsi="Arial"/>
                <w:sz w:val="11"/>
                <w:szCs w:val="11"/>
                <w:color w:val="auto"/>
              </w:rPr>
              <w:t>Net (loss) income</w:t>
            </w:r>
          </w:p>
        </w:tc>
        <w:tc>
          <w:tcPr>
            <w:tcW w:w="460" w:type="dxa"/>
            <w:vAlign w:val="bottom"/>
          </w:tcPr>
          <w:p>
            <w:pPr>
              <w:jc w:val="right"/>
              <w:ind w:right="351"/>
              <w:spacing w:after="0"/>
              <w:rPr>
                <w:sz w:val="20"/>
                <w:szCs w:val="20"/>
                <w:color w:val="auto"/>
              </w:rPr>
            </w:pPr>
            <w:r>
              <w:rPr>
                <w:rFonts w:ascii="Arial" w:cs="Arial" w:eastAsia="Arial" w:hAnsi="Arial"/>
                <w:sz w:val="10"/>
                <w:szCs w:val="10"/>
                <w:color w:val="auto"/>
                <w:w w:val="71"/>
              </w:rPr>
              <w:t>$</w:t>
            </w:r>
          </w:p>
        </w:tc>
        <w:tc>
          <w:tcPr>
            <w:tcW w:w="1860" w:type="dxa"/>
            <w:vAlign w:val="bottom"/>
            <w:gridSpan w:val="2"/>
          </w:tcPr>
          <w:p>
            <w:pPr>
              <w:jc w:val="right"/>
              <w:ind w:right="360"/>
              <w:spacing w:after="0"/>
              <w:rPr>
                <w:sz w:val="20"/>
                <w:szCs w:val="20"/>
                <w:color w:val="auto"/>
              </w:rPr>
            </w:pPr>
            <w:r>
              <w:rPr>
                <w:rFonts w:ascii="Arial" w:cs="Arial" w:eastAsia="Arial" w:hAnsi="Arial"/>
                <w:sz w:val="11"/>
                <w:szCs w:val="11"/>
                <w:color w:val="auto"/>
              </w:rPr>
              <w:t>(8,828)</w:t>
            </w:r>
          </w:p>
        </w:tc>
        <w:tc>
          <w:tcPr>
            <w:tcW w:w="600" w:type="dxa"/>
            <w:vAlign w:val="bottom"/>
          </w:tcPr>
          <w:p>
            <w:pPr>
              <w:jc w:val="right"/>
              <w:ind w:right="491"/>
              <w:spacing w:after="0"/>
              <w:rPr>
                <w:sz w:val="20"/>
                <w:szCs w:val="20"/>
                <w:color w:val="auto"/>
              </w:rPr>
            </w:pPr>
            <w:r>
              <w:rPr>
                <w:rFonts w:ascii="Arial" w:cs="Arial" w:eastAsia="Arial" w:hAnsi="Arial"/>
                <w:sz w:val="10"/>
                <w:szCs w:val="10"/>
                <w:color w:val="auto"/>
                <w:w w:val="71"/>
              </w:rPr>
              <w:t>$</w:t>
            </w:r>
          </w:p>
        </w:tc>
        <w:tc>
          <w:tcPr>
            <w:tcW w:w="1540" w:type="dxa"/>
            <w:vAlign w:val="bottom"/>
            <w:gridSpan w:val="2"/>
          </w:tcPr>
          <w:p>
            <w:pPr>
              <w:jc w:val="right"/>
              <w:ind w:right="180"/>
              <w:spacing w:after="0"/>
              <w:rPr>
                <w:sz w:val="20"/>
                <w:szCs w:val="20"/>
                <w:color w:val="auto"/>
              </w:rPr>
            </w:pPr>
            <w:r>
              <w:rPr>
                <w:rFonts w:ascii="Arial" w:cs="Arial" w:eastAsia="Arial" w:hAnsi="Arial"/>
                <w:sz w:val="11"/>
                <w:szCs w:val="11"/>
                <w:color w:val="auto"/>
              </w:rPr>
              <w:t>(212)</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500" w:type="dxa"/>
            <w:vAlign w:val="bottom"/>
          </w:tcPr>
          <w:p>
            <w:pPr>
              <w:jc w:val="right"/>
              <w:spacing w:after="0"/>
              <w:rPr>
                <w:sz w:val="20"/>
                <w:szCs w:val="20"/>
                <w:color w:val="auto"/>
              </w:rPr>
            </w:pPr>
            <w:r>
              <w:rPr>
                <w:rFonts w:ascii="Arial" w:cs="Arial" w:eastAsia="Arial" w:hAnsi="Arial"/>
                <w:sz w:val="11"/>
                <w:szCs w:val="11"/>
                <w:color w:val="auto"/>
              </w:rPr>
              <w:t>24,870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260" w:type="dxa"/>
            <w:vAlign w:val="bottom"/>
            <w:gridSpan w:val="2"/>
            <w:shd w:val="clear" w:color="auto" w:fill="CFF0FC"/>
          </w:tcPr>
          <w:p>
            <w:pPr>
              <w:spacing w:after="0"/>
              <w:rPr>
                <w:sz w:val="20"/>
                <w:szCs w:val="20"/>
                <w:color w:val="auto"/>
              </w:rPr>
            </w:pPr>
            <w:r>
              <w:rPr>
                <w:rFonts w:ascii="Arial" w:cs="Arial" w:eastAsia="Arial" w:hAnsi="Arial"/>
                <w:sz w:val="11"/>
                <w:szCs w:val="11"/>
                <w:color w:val="auto"/>
              </w:rPr>
              <w:t>Adjustments to reconcile net (loss) income to net cash provided by operating activities:</w:t>
            </w:r>
          </w:p>
        </w:tc>
        <w:tc>
          <w:tcPr>
            <w:tcW w:w="460" w:type="dxa"/>
            <w:vAlign w:val="bottom"/>
            <w:shd w:val="clear" w:color="auto" w:fill="CFF0FC"/>
          </w:tcPr>
          <w:p>
            <w:pPr>
              <w:spacing w:after="0"/>
              <w:rPr>
                <w:sz w:val="12"/>
                <w:szCs w:val="12"/>
                <w:color w:val="auto"/>
              </w:rPr>
            </w:pPr>
          </w:p>
        </w:tc>
        <w:tc>
          <w:tcPr>
            <w:tcW w:w="146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260" w:type="dxa"/>
            <w:vAlign w:val="bottom"/>
            <w:gridSpan w:val="2"/>
          </w:tcPr>
          <w:p>
            <w:pPr>
              <w:ind w:left="160"/>
              <w:spacing w:after="0"/>
              <w:rPr>
                <w:sz w:val="20"/>
                <w:szCs w:val="20"/>
                <w:color w:val="auto"/>
              </w:rPr>
            </w:pPr>
            <w:r>
              <w:rPr>
                <w:rFonts w:ascii="Arial" w:cs="Arial" w:eastAsia="Arial" w:hAnsi="Arial"/>
                <w:sz w:val="11"/>
                <w:szCs w:val="11"/>
                <w:color w:val="auto"/>
              </w:rPr>
              <w:t>Depreciation and amortization</w:t>
            </w:r>
          </w:p>
        </w:tc>
        <w:tc>
          <w:tcPr>
            <w:tcW w:w="460" w:type="dxa"/>
            <w:vAlign w:val="bottom"/>
          </w:tcPr>
          <w:p>
            <w:pPr>
              <w:spacing w:after="0"/>
              <w:rPr>
                <w:sz w:val="12"/>
                <w:szCs w:val="12"/>
                <w:color w:val="auto"/>
              </w:rPr>
            </w:pPr>
          </w:p>
        </w:tc>
        <w:tc>
          <w:tcPr>
            <w:tcW w:w="1460" w:type="dxa"/>
            <w:vAlign w:val="bottom"/>
          </w:tcPr>
          <w:p>
            <w:pPr>
              <w:jc w:val="right"/>
              <w:spacing w:after="0"/>
              <w:rPr>
                <w:sz w:val="20"/>
                <w:szCs w:val="20"/>
                <w:color w:val="auto"/>
              </w:rPr>
            </w:pPr>
            <w:r>
              <w:rPr>
                <w:rFonts w:ascii="Arial" w:cs="Arial" w:eastAsia="Arial" w:hAnsi="Arial"/>
                <w:sz w:val="11"/>
                <w:szCs w:val="11"/>
                <w:color w:val="auto"/>
              </w:rPr>
              <w:t>434,205</w:t>
            </w:r>
          </w:p>
        </w:tc>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Arial" w:cs="Arial" w:eastAsia="Arial" w:hAnsi="Arial"/>
                <w:sz w:val="11"/>
                <w:szCs w:val="11"/>
                <w:color w:val="auto"/>
              </w:rPr>
              <w:t>375,970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tcPr>
          <w:p>
            <w:pPr>
              <w:jc w:val="right"/>
              <w:spacing w:after="0"/>
              <w:rPr>
                <w:sz w:val="20"/>
                <w:szCs w:val="20"/>
                <w:color w:val="auto"/>
              </w:rPr>
            </w:pPr>
            <w:r>
              <w:rPr>
                <w:rFonts w:ascii="Arial" w:cs="Arial" w:eastAsia="Arial" w:hAnsi="Arial"/>
                <w:sz w:val="11"/>
                <w:szCs w:val="11"/>
                <w:color w:val="auto"/>
              </w:rPr>
              <w:t>238,748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260" w:type="dxa"/>
            <w:vAlign w:val="bottom"/>
            <w:gridSpan w:val="2"/>
            <w:shd w:val="clear" w:color="auto" w:fill="CFF0FC"/>
          </w:tcPr>
          <w:p>
            <w:pPr>
              <w:ind w:left="160"/>
              <w:spacing w:after="0"/>
              <w:rPr>
                <w:sz w:val="20"/>
                <w:szCs w:val="20"/>
                <w:color w:val="auto"/>
              </w:rPr>
            </w:pPr>
            <w:r>
              <w:rPr>
                <w:rFonts w:ascii="Arial" w:cs="Arial" w:eastAsia="Arial" w:hAnsi="Arial"/>
                <w:sz w:val="11"/>
                <w:szCs w:val="11"/>
                <w:color w:val="auto"/>
              </w:rPr>
              <w:t>Amortization of deferred financing costs and debt discount</w:t>
            </w:r>
          </w:p>
        </w:tc>
        <w:tc>
          <w:tcPr>
            <w:tcW w:w="460" w:type="dxa"/>
            <w:vAlign w:val="bottom"/>
            <w:shd w:val="clear" w:color="auto" w:fill="CFF0FC"/>
          </w:tcPr>
          <w:p>
            <w:pPr>
              <w:spacing w:after="0"/>
              <w:rPr>
                <w:sz w:val="12"/>
                <w:szCs w:val="12"/>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23,102</w:t>
            </w:r>
          </w:p>
        </w:tc>
        <w:tc>
          <w:tcPr>
            <w:tcW w:w="4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16,002</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10,004</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260" w:type="dxa"/>
            <w:vAlign w:val="bottom"/>
            <w:gridSpan w:val="2"/>
          </w:tcPr>
          <w:p>
            <w:pPr>
              <w:ind w:left="160"/>
              <w:spacing w:after="0"/>
              <w:rPr>
                <w:sz w:val="20"/>
                <w:szCs w:val="20"/>
                <w:color w:val="auto"/>
              </w:rPr>
            </w:pPr>
            <w:r>
              <w:rPr>
                <w:rFonts w:ascii="Arial" w:cs="Arial" w:eastAsia="Arial" w:hAnsi="Arial"/>
                <w:sz w:val="11"/>
                <w:szCs w:val="11"/>
                <w:color w:val="auto"/>
              </w:rPr>
              <w:t>Deferred income taxes</w:t>
            </w:r>
          </w:p>
        </w:tc>
        <w:tc>
          <w:tcPr>
            <w:tcW w:w="460" w:type="dxa"/>
            <w:vAlign w:val="bottom"/>
          </w:tcPr>
          <w:p>
            <w:pPr>
              <w:spacing w:after="0"/>
              <w:rPr>
                <w:sz w:val="12"/>
                <w:szCs w:val="12"/>
                <w:color w:val="auto"/>
              </w:rPr>
            </w:pPr>
          </w:p>
        </w:tc>
        <w:tc>
          <w:tcPr>
            <w:tcW w:w="1860" w:type="dxa"/>
            <w:vAlign w:val="bottom"/>
            <w:gridSpan w:val="2"/>
          </w:tcPr>
          <w:p>
            <w:pPr>
              <w:jc w:val="right"/>
              <w:ind w:right="360"/>
              <w:spacing w:after="0"/>
              <w:rPr>
                <w:sz w:val="20"/>
                <w:szCs w:val="20"/>
                <w:color w:val="auto"/>
              </w:rPr>
            </w:pPr>
            <w:r>
              <w:rPr>
                <w:rFonts w:ascii="Arial" w:cs="Arial" w:eastAsia="Arial" w:hAnsi="Arial"/>
                <w:sz w:val="11"/>
                <w:szCs w:val="11"/>
                <w:color w:val="auto"/>
              </w:rPr>
              <w:t>(41,171)</w:t>
            </w:r>
          </w:p>
        </w:tc>
        <w:tc>
          <w:tcPr>
            <w:tcW w:w="600" w:type="dxa"/>
            <w:vAlign w:val="bottom"/>
          </w:tcPr>
          <w:p>
            <w:pPr>
              <w:spacing w:after="0"/>
              <w:rPr>
                <w:sz w:val="12"/>
                <w:szCs w:val="12"/>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1"/>
                <w:szCs w:val="11"/>
                <w:color w:val="auto"/>
              </w:rPr>
              <w:t>(2,186)</w:t>
            </w:r>
          </w:p>
        </w:tc>
        <w:tc>
          <w:tcPr>
            <w:tcW w:w="140" w:type="dxa"/>
            <w:vAlign w:val="bottom"/>
          </w:tcPr>
          <w:p>
            <w:pPr>
              <w:spacing w:after="0"/>
              <w:rPr>
                <w:sz w:val="12"/>
                <w:szCs w:val="12"/>
                <w:color w:val="auto"/>
              </w:rPr>
            </w:pPr>
          </w:p>
        </w:tc>
        <w:tc>
          <w:tcPr>
            <w:tcW w:w="1620" w:type="dxa"/>
            <w:vAlign w:val="bottom"/>
            <w:gridSpan w:val="2"/>
          </w:tcPr>
          <w:p>
            <w:pPr>
              <w:jc w:val="right"/>
              <w:ind w:right="80"/>
              <w:spacing w:after="0"/>
              <w:rPr>
                <w:sz w:val="20"/>
                <w:szCs w:val="20"/>
                <w:color w:val="auto"/>
              </w:rPr>
            </w:pPr>
            <w:r>
              <w:rPr>
                <w:rFonts w:ascii="Arial" w:cs="Arial" w:eastAsia="Arial" w:hAnsi="Arial"/>
                <w:sz w:val="11"/>
                <w:szCs w:val="11"/>
                <w:color w:val="auto"/>
              </w:rPr>
              <w:t>(1,211)</w:t>
            </w:r>
          </w:p>
        </w:tc>
        <w:tc>
          <w:tcPr>
            <w:tcW w:w="0" w:type="dxa"/>
            <w:vAlign w:val="bottom"/>
          </w:tcPr>
          <w:p>
            <w:pPr>
              <w:spacing w:after="0"/>
              <w:rPr>
                <w:sz w:val="1"/>
                <w:szCs w:val="1"/>
                <w:color w:val="auto"/>
              </w:rPr>
            </w:pPr>
          </w:p>
        </w:tc>
      </w:tr>
      <w:tr>
        <w:trPr>
          <w:trHeight w:val="146"/>
        </w:trPr>
        <w:tc>
          <w:tcPr>
            <w:tcW w:w="5260" w:type="dxa"/>
            <w:vAlign w:val="bottom"/>
            <w:gridSpan w:val="2"/>
            <w:shd w:val="clear" w:color="auto" w:fill="CFF0FC"/>
          </w:tcPr>
          <w:p>
            <w:pPr>
              <w:ind w:left="160"/>
              <w:spacing w:after="0"/>
              <w:rPr>
                <w:sz w:val="20"/>
                <w:szCs w:val="20"/>
                <w:color w:val="auto"/>
              </w:rPr>
            </w:pPr>
            <w:r>
              <w:rPr>
                <w:rFonts w:ascii="Arial" w:cs="Arial" w:eastAsia="Arial" w:hAnsi="Arial"/>
                <w:sz w:val="11"/>
                <w:szCs w:val="11"/>
                <w:color w:val="auto"/>
              </w:rPr>
              <w:t>Straight-line rental revenues</w:t>
            </w:r>
          </w:p>
        </w:tc>
        <w:tc>
          <w:tcPr>
            <w:tcW w:w="460" w:type="dxa"/>
            <w:vAlign w:val="bottom"/>
            <w:shd w:val="clear" w:color="auto" w:fill="CFF0FC"/>
          </w:tcPr>
          <w:p>
            <w:pPr>
              <w:spacing w:after="0"/>
              <w:rPr>
                <w:sz w:val="12"/>
                <w:szCs w:val="12"/>
                <w:color w:val="auto"/>
              </w:rPr>
            </w:pPr>
          </w:p>
        </w:tc>
        <w:tc>
          <w:tcPr>
            <w:tcW w:w="1860" w:type="dxa"/>
            <w:vAlign w:val="bottom"/>
            <w:gridSpan w:val="2"/>
            <w:shd w:val="clear" w:color="auto" w:fill="CFF0FC"/>
          </w:tcPr>
          <w:p>
            <w:pPr>
              <w:jc w:val="right"/>
              <w:ind w:right="360"/>
              <w:spacing w:after="0"/>
              <w:rPr>
                <w:sz w:val="20"/>
                <w:szCs w:val="20"/>
                <w:color w:val="auto"/>
              </w:rPr>
            </w:pPr>
            <w:r>
              <w:rPr>
                <w:rFonts w:ascii="Arial" w:cs="Arial" w:eastAsia="Arial" w:hAnsi="Arial"/>
                <w:sz w:val="11"/>
                <w:szCs w:val="11"/>
                <w:color w:val="auto"/>
              </w:rPr>
              <w:t>(15,136)</w:t>
            </w:r>
          </w:p>
        </w:tc>
        <w:tc>
          <w:tcPr>
            <w:tcW w:w="600" w:type="dxa"/>
            <w:vAlign w:val="bottom"/>
            <w:shd w:val="clear" w:color="auto" w:fill="CFF0FC"/>
          </w:tcPr>
          <w:p>
            <w:pPr>
              <w:spacing w:after="0"/>
              <w:rPr>
                <w:sz w:val="12"/>
                <w:szCs w:val="12"/>
                <w:color w:val="auto"/>
              </w:rPr>
            </w:pPr>
          </w:p>
        </w:tc>
        <w:tc>
          <w:tcPr>
            <w:tcW w:w="154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(17,293)</w:t>
            </w:r>
          </w:p>
        </w:tc>
        <w:tc>
          <w:tcPr>
            <w:tcW w:w="140" w:type="dxa"/>
            <w:vAlign w:val="bottom"/>
            <w:shd w:val="clear" w:color="auto" w:fill="CFF0FC"/>
          </w:tcPr>
          <w:p>
            <w:pPr>
              <w:spacing w:after="0"/>
              <w:rPr>
                <w:sz w:val="12"/>
                <w:szCs w:val="12"/>
                <w:color w:val="auto"/>
              </w:rPr>
            </w:pPr>
          </w:p>
        </w:tc>
        <w:tc>
          <w:tcPr>
            <w:tcW w:w="162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(11,795)</w:t>
            </w:r>
          </w:p>
        </w:tc>
        <w:tc>
          <w:tcPr>
            <w:tcW w:w="0" w:type="dxa"/>
            <w:vAlign w:val="bottom"/>
          </w:tcPr>
          <w:p>
            <w:pPr>
              <w:spacing w:after="0"/>
              <w:rPr>
                <w:sz w:val="1"/>
                <w:szCs w:val="1"/>
                <w:color w:val="auto"/>
              </w:rPr>
            </w:pPr>
          </w:p>
        </w:tc>
      </w:tr>
      <w:tr>
        <w:trPr>
          <w:trHeight w:val="142"/>
        </w:trPr>
        <w:tc>
          <w:tcPr>
            <w:tcW w:w="5260" w:type="dxa"/>
            <w:vAlign w:val="bottom"/>
            <w:gridSpan w:val="2"/>
          </w:tcPr>
          <w:p>
            <w:pPr>
              <w:ind w:left="160"/>
              <w:spacing w:after="0"/>
              <w:rPr>
                <w:sz w:val="20"/>
                <w:szCs w:val="20"/>
                <w:color w:val="auto"/>
              </w:rPr>
            </w:pPr>
            <w:r>
              <w:rPr>
                <w:rFonts w:ascii="Arial" w:cs="Arial" w:eastAsia="Arial" w:hAnsi="Arial"/>
                <w:sz w:val="11"/>
                <w:szCs w:val="11"/>
                <w:color w:val="auto"/>
              </w:rPr>
              <w:t>Stock-based compensation</w:t>
            </w:r>
          </w:p>
        </w:tc>
        <w:tc>
          <w:tcPr>
            <w:tcW w:w="460" w:type="dxa"/>
            <w:vAlign w:val="bottom"/>
          </w:tcPr>
          <w:p>
            <w:pPr>
              <w:spacing w:after="0"/>
              <w:rPr>
                <w:sz w:val="12"/>
                <w:szCs w:val="12"/>
                <w:color w:val="auto"/>
              </w:rPr>
            </w:pPr>
          </w:p>
        </w:tc>
        <w:tc>
          <w:tcPr>
            <w:tcW w:w="1460" w:type="dxa"/>
            <w:vAlign w:val="bottom"/>
          </w:tcPr>
          <w:p>
            <w:pPr>
              <w:jc w:val="right"/>
              <w:spacing w:after="0"/>
              <w:rPr>
                <w:sz w:val="20"/>
                <w:szCs w:val="20"/>
                <w:color w:val="auto"/>
              </w:rPr>
            </w:pPr>
            <w:r>
              <w:rPr>
                <w:rFonts w:ascii="Arial" w:cs="Arial" w:eastAsia="Arial" w:hAnsi="Arial"/>
                <w:sz w:val="11"/>
                <w:szCs w:val="11"/>
                <w:color w:val="auto"/>
              </w:rPr>
              <w:t>7,713</w:t>
            </w:r>
          </w:p>
        </w:tc>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Arial" w:cs="Arial" w:eastAsia="Arial" w:hAnsi="Arial"/>
                <w:sz w:val="11"/>
                <w:szCs w:val="11"/>
                <w:color w:val="auto"/>
              </w:rPr>
              <w:t>4,846</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tcPr>
          <w:p>
            <w:pPr>
              <w:jc w:val="right"/>
              <w:spacing w:after="0"/>
              <w:rPr>
                <w:sz w:val="20"/>
                <w:szCs w:val="20"/>
                <w:color w:val="auto"/>
              </w:rPr>
            </w:pPr>
            <w:r>
              <w:rPr>
                <w:rFonts w:ascii="Arial" w:cs="Arial" w:eastAsia="Arial" w:hAnsi="Arial"/>
                <w:sz w:val="11"/>
                <w:szCs w:val="11"/>
                <w:color w:val="auto"/>
              </w:rPr>
              <w:t>1,934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260" w:type="dxa"/>
            <w:vAlign w:val="bottom"/>
            <w:gridSpan w:val="2"/>
            <w:shd w:val="clear" w:color="auto" w:fill="CFF0FC"/>
          </w:tcPr>
          <w:p>
            <w:pPr>
              <w:ind w:left="160"/>
              <w:spacing w:after="0"/>
              <w:rPr>
                <w:sz w:val="20"/>
                <w:szCs w:val="20"/>
                <w:color w:val="auto"/>
              </w:rPr>
            </w:pPr>
            <w:r>
              <w:rPr>
                <w:rFonts w:ascii="Arial" w:cs="Arial" w:eastAsia="Arial" w:hAnsi="Arial"/>
                <w:sz w:val="11"/>
                <w:szCs w:val="11"/>
                <w:color w:val="auto"/>
              </w:rPr>
              <w:t>Change in fair value of contingent consideration</w:t>
            </w:r>
          </w:p>
        </w:tc>
        <w:tc>
          <w:tcPr>
            <w:tcW w:w="460" w:type="dxa"/>
            <w:vAlign w:val="bottom"/>
            <w:shd w:val="clear" w:color="auto" w:fill="CFF0FC"/>
          </w:tcPr>
          <w:p>
            <w:pPr>
              <w:spacing w:after="0"/>
              <w:rPr>
                <w:sz w:val="12"/>
                <w:szCs w:val="12"/>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10,736</w:t>
            </w:r>
          </w:p>
        </w:tc>
        <w:tc>
          <w:tcPr>
            <w:tcW w:w="4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260" w:type="dxa"/>
            <w:vAlign w:val="bottom"/>
            <w:gridSpan w:val="2"/>
          </w:tcPr>
          <w:p>
            <w:pPr>
              <w:ind w:left="160"/>
              <w:spacing w:after="0"/>
              <w:rPr>
                <w:sz w:val="20"/>
                <w:szCs w:val="20"/>
                <w:color w:val="auto"/>
              </w:rPr>
            </w:pPr>
            <w:r>
              <w:rPr>
                <w:rFonts w:ascii="Arial" w:cs="Arial" w:eastAsia="Arial" w:hAnsi="Arial"/>
                <w:sz w:val="11"/>
                <w:szCs w:val="11"/>
                <w:color w:val="auto"/>
              </w:rPr>
              <w:t>Other</w:t>
            </w:r>
          </w:p>
        </w:tc>
        <w:tc>
          <w:tcPr>
            <w:tcW w:w="460" w:type="dxa"/>
            <w:vAlign w:val="bottom"/>
          </w:tcPr>
          <w:p>
            <w:pPr>
              <w:spacing w:after="0"/>
              <w:rPr>
                <w:sz w:val="12"/>
                <w:szCs w:val="12"/>
                <w:color w:val="auto"/>
              </w:rPr>
            </w:pPr>
          </w:p>
        </w:tc>
        <w:tc>
          <w:tcPr>
            <w:tcW w:w="1460" w:type="dxa"/>
            <w:vAlign w:val="bottom"/>
          </w:tcPr>
          <w:p>
            <w:pPr>
              <w:jc w:val="right"/>
              <w:spacing w:after="0"/>
              <w:rPr>
                <w:sz w:val="20"/>
                <w:szCs w:val="20"/>
                <w:color w:val="auto"/>
              </w:rPr>
            </w:pPr>
            <w:r>
              <w:rPr>
                <w:rFonts w:ascii="Arial" w:cs="Arial" w:eastAsia="Arial" w:hAnsi="Arial"/>
                <w:sz w:val="11"/>
                <w:szCs w:val="11"/>
                <w:color w:val="auto"/>
              </w:rPr>
              <w:t>872</w:t>
            </w:r>
          </w:p>
        </w:tc>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Arial" w:cs="Arial" w:eastAsia="Arial" w:hAnsi="Arial"/>
                <w:sz w:val="11"/>
                <w:szCs w:val="11"/>
                <w:color w:val="auto"/>
              </w:rPr>
              <w:t>936</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gridSpan w:val="2"/>
          </w:tcPr>
          <w:p>
            <w:pPr>
              <w:jc w:val="right"/>
              <w:ind w:right="80"/>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146"/>
        </w:trPr>
        <w:tc>
          <w:tcPr>
            <w:tcW w:w="5260" w:type="dxa"/>
            <w:vAlign w:val="bottom"/>
            <w:gridSpan w:val="2"/>
            <w:shd w:val="clear" w:color="auto" w:fill="CFF0FC"/>
          </w:tcPr>
          <w:p>
            <w:pPr>
              <w:ind w:left="160"/>
              <w:spacing w:after="0"/>
              <w:rPr>
                <w:sz w:val="20"/>
                <w:szCs w:val="20"/>
                <w:color w:val="auto"/>
              </w:rPr>
            </w:pPr>
            <w:r>
              <w:rPr>
                <w:rFonts w:ascii="Arial" w:cs="Arial" w:eastAsia="Arial" w:hAnsi="Arial"/>
                <w:sz w:val="11"/>
                <w:szCs w:val="11"/>
                <w:color w:val="auto"/>
              </w:rPr>
              <w:t>Changes in assets and liabilities, net of acquisitions:</w:t>
            </w:r>
          </w:p>
        </w:tc>
        <w:tc>
          <w:tcPr>
            <w:tcW w:w="460" w:type="dxa"/>
            <w:vAlign w:val="bottom"/>
            <w:shd w:val="clear" w:color="auto" w:fill="CFF0FC"/>
          </w:tcPr>
          <w:p>
            <w:pPr>
              <w:spacing w:after="0"/>
              <w:rPr>
                <w:sz w:val="12"/>
                <w:szCs w:val="12"/>
                <w:color w:val="auto"/>
              </w:rPr>
            </w:pPr>
          </w:p>
        </w:tc>
        <w:tc>
          <w:tcPr>
            <w:tcW w:w="146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260" w:type="dxa"/>
            <w:vAlign w:val="bottom"/>
            <w:gridSpan w:val="2"/>
          </w:tcPr>
          <w:p>
            <w:pPr>
              <w:ind w:left="240"/>
              <w:spacing w:after="0"/>
              <w:rPr>
                <w:sz w:val="20"/>
                <w:szCs w:val="20"/>
                <w:color w:val="auto"/>
              </w:rPr>
            </w:pPr>
            <w:r>
              <w:rPr>
                <w:rFonts w:ascii="Arial" w:cs="Arial" w:eastAsia="Arial" w:hAnsi="Arial"/>
                <w:sz w:val="11"/>
                <w:szCs w:val="11"/>
                <w:color w:val="auto"/>
              </w:rPr>
              <w:t>Accounts receivable</w:t>
            </w:r>
          </w:p>
        </w:tc>
        <w:tc>
          <w:tcPr>
            <w:tcW w:w="460" w:type="dxa"/>
            <w:vAlign w:val="bottom"/>
          </w:tcPr>
          <w:p>
            <w:pPr>
              <w:spacing w:after="0"/>
              <w:rPr>
                <w:sz w:val="12"/>
                <w:szCs w:val="12"/>
                <w:color w:val="auto"/>
              </w:rPr>
            </w:pPr>
          </w:p>
        </w:tc>
        <w:tc>
          <w:tcPr>
            <w:tcW w:w="1860" w:type="dxa"/>
            <w:vAlign w:val="bottom"/>
            <w:gridSpan w:val="2"/>
          </w:tcPr>
          <w:p>
            <w:pPr>
              <w:jc w:val="right"/>
              <w:ind w:right="360"/>
              <w:spacing w:after="0"/>
              <w:rPr>
                <w:sz w:val="20"/>
                <w:szCs w:val="20"/>
                <w:color w:val="auto"/>
              </w:rPr>
            </w:pPr>
            <w:r>
              <w:rPr>
                <w:rFonts w:ascii="Arial" w:cs="Arial" w:eastAsia="Arial" w:hAnsi="Arial"/>
                <w:sz w:val="11"/>
                <w:szCs w:val="11"/>
                <w:color w:val="auto"/>
              </w:rPr>
              <w:t>(10,524)</w:t>
            </w:r>
          </w:p>
        </w:tc>
        <w:tc>
          <w:tcPr>
            <w:tcW w:w="600" w:type="dxa"/>
            <w:vAlign w:val="bottom"/>
          </w:tcPr>
          <w:p>
            <w:pPr>
              <w:spacing w:after="0"/>
              <w:rPr>
                <w:sz w:val="12"/>
                <w:szCs w:val="12"/>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1"/>
                <w:szCs w:val="11"/>
                <w:color w:val="auto"/>
              </w:rPr>
              <w:t>(3,516)</w:t>
            </w:r>
          </w:p>
        </w:tc>
        <w:tc>
          <w:tcPr>
            <w:tcW w:w="140" w:type="dxa"/>
            <w:vAlign w:val="bottom"/>
          </w:tcPr>
          <w:p>
            <w:pPr>
              <w:spacing w:after="0"/>
              <w:rPr>
                <w:sz w:val="12"/>
                <w:szCs w:val="12"/>
                <w:color w:val="auto"/>
              </w:rPr>
            </w:pPr>
          </w:p>
        </w:tc>
        <w:tc>
          <w:tcPr>
            <w:tcW w:w="1620" w:type="dxa"/>
            <w:vAlign w:val="bottom"/>
            <w:gridSpan w:val="2"/>
          </w:tcPr>
          <w:p>
            <w:pPr>
              <w:jc w:val="right"/>
              <w:ind w:right="80"/>
              <w:spacing w:after="0"/>
              <w:rPr>
                <w:sz w:val="20"/>
                <w:szCs w:val="20"/>
                <w:color w:val="auto"/>
              </w:rPr>
            </w:pPr>
            <w:r>
              <w:rPr>
                <w:rFonts w:ascii="Arial" w:cs="Arial" w:eastAsia="Arial" w:hAnsi="Arial"/>
                <w:sz w:val="11"/>
                <w:szCs w:val="11"/>
                <w:color w:val="auto"/>
              </w:rPr>
              <w:t>(215)</w:t>
            </w:r>
          </w:p>
        </w:tc>
        <w:tc>
          <w:tcPr>
            <w:tcW w:w="0" w:type="dxa"/>
            <w:vAlign w:val="bottom"/>
          </w:tcPr>
          <w:p>
            <w:pPr>
              <w:spacing w:after="0"/>
              <w:rPr>
                <w:sz w:val="1"/>
                <w:szCs w:val="1"/>
                <w:color w:val="auto"/>
              </w:rPr>
            </w:pPr>
          </w:p>
        </w:tc>
      </w:tr>
      <w:tr>
        <w:trPr>
          <w:trHeight w:val="146"/>
        </w:trPr>
        <w:tc>
          <w:tcPr>
            <w:tcW w:w="5260" w:type="dxa"/>
            <w:vAlign w:val="bottom"/>
            <w:gridSpan w:val="2"/>
            <w:shd w:val="clear" w:color="auto" w:fill="CFF0FC"/>
          </w:tcPr>
          <w:p>
            <w:pPr>
              <w:ind w:left="240"/>
              <w:spacing w:after="0"/>
              <w:rPr>
                <w:sz w:val="20"/>
                <w:szCs w:val="20"/>
                <w:color w:val="auto"/>
              </w:rPr>
            </w:pPr>
            <w:r>
              <w:rPr>
                <w:rFonts w:ascii="Arial" w:cs="Arial" w:eastAsia="Arial" w:hAnsi="Arial"/>
                <w:sz w:val="11"/>
                <w:szCs w:val="11"/>
                <w:color w:val="auto"/>
              </w:rPr>
              <w:t>Other assets</w:t>
            </w:r>
          </w:p>
        </w:tc>
        <w:tc>
          <w:tcPr>
            <w:tcW w:w="460" w:type="dxa"/>
            <w:vAlign w:val="bottom"/>
            <w:shd w:val="clear" w:color="auto" w:fill="CFF0FC"/>
          </w:tcPr>
          <w:p>
            <w:pPr>
              <w:spacing w:after="0"/>
              <w:rPr>
                <w:sz w:val="12"/>
                <w:szCs w:val="12"/>
                <w:color w:val="auto"/>
              </w:rPr>
            </w:pPr>
          </w:p>
        </w:tc>
        <w:tc>
          <w:tcPr>
            <w:tcW w:w="1860" w:type="dxa"/>
            <w:vAlign w:val="bottom"/>
            <w:gridSpan w:val="2"/>
            <w:shd w:val="clear" w:color="auto" w:fill="CFF0FC"/>
          </w:tcPr>
          <w:p>
            <w:pPr>
              <w:jc w:val="right"/>
              <w:ind w:right="360"/>
              <w:spacing w:after="0"/>
              <w:rPr>
                <w:sz w:val="20"/>
                <w:szCs w:val="20"/>
                <w:color w:val="auto"/>
              </w:rPr>
            </w:pPr>
            <w:r>
              <w:rPr>
                <w:rFonts w:ascii="Arial" w:cs="Arial" w:eastAsia="Arial" w:hAnsi="Arial"/>
                <w:sz w:val="11"/>
                <w:szCs w:val="11"/>
                <w:color w:val="auto"/>
              </w:rPr>
              <w:t>(1,560)</w:t>
            </w:r>
          </w:p>
        </w:tc>
        <w:tc>
          <w:tcPr>
            <w:tcW w:w="600" w:type="dxa"/>
            <w:vAlign w:val="bottom"/>
            <w:shd w:val="clear" w:color="auto" w:fill="CFF0FC"/>
          </w:tcPr>
          <w:p>
            <w:pPr>
              <w:spacing w:after="0"/>
              <w:rPr>
                <w:sz w:val="12"/>
                <w:szCs w:val="12"/>
                <w:color w:val="auto"/>
              </w:rPr>
            </w:pPr>
          </w:p>
        </w:tc>
        <w:tc>
          <w:tcPr>
            <w:tcW w:w="154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(1,365)</w:t>
            </w:r>
          </w:p>
        </w:tc>
        <w:tc>
          <w:tcPr>
            <w:tcW w:w="140" w:type="dxa"/>
            <w:vAlign w:val="bottom"/>
            <w:shd w:val="clear" w:color="auto" w:fill="CFF0FC"/>
          </w:tcPr>
          <w:p>
            <w:pPr>
              <w:spacing w:after="0"/>
              <w:rPr>
                <w:sz w:val="12"/>
                <w:szCs w:val="12"/>
                <w:color w:val="auto"/>
              </w:rPr>
            </w:pPr>
          </w:p>
        </w:tc>
        <w:tc>
          <w:tcPr>
            <w:tcW w:w="162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(1,148)</w:t>
            </w:r>
          </w:p>
        </w:tc>
        <w:tc>
          <w:tcPr>
            <w:tcW w:w="0" w:type="dxa"/>
            <w:vAlign w:val="bottom"/>
          </w:tcPr>
          <w:p>
            <w:pPr>
              <w:spacing w:after="0"/>
              <w:rPr>
                <w:sz w:val="1"/>
                <w:szCs w:val="1"/>
                <w:color w:val="auto"/>
              </w:rPr>
            </w:pPr>
          </w:p>
        </w:tc>
      </w:tr>
      <w:tr>
        <w:trPr>
          <w:trHeight w:val="142"/>
        </w:trPr>
        <w:tc>
          <w:tcPr>
            <w:tcW w:w="5260" w:type="dxa"/>
            <w:vAlign w:val="bottom"/>
            <w:tcBorders>
              <w:bottom w:val="single" w:sz="8" w:color="CFF0FC"/>
            </w:tcBorders>
            <w:gridSpan w:val="2"/>
          </w:tcPr>
          <w:p>
            <w:pPr>
              <w:ind w:left="240"/>
              <w:spacing w:after="0"/>
              <w:rPr>
                <w:sz w:val="20"/>
                <w:szCs w:val="20"/>
                <w:color w:val="auto"/>
              </w:rPr>
            </w:pPr>
            <w:r>
              <w:rPr>
                <w:rFonts w:ascii="Arial" w:cs="Arial" w:eastAsia="Arial" w:hAnsi="Arial"/>
                <w:sz w:val="11"/>
                <w:szCs w:val="11"/>
                <w:color w:val="auto"/>
              </w:rPr>
              <w:t>Accounts payable, accrued expenses and other liabilities</w:t>
            </w:r>
          </w:p>
        </w:tc>
        <w:tc>
          <w:tcPr>
            <w:tcW w:w="46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5,851</w:t>
            </w:r>
          </w:p>
        </w:tc>
        <w:tc>
          <w:tcPr>
            <w:tcW w:w="400" w:type="dxa"/>
            <w:vAlign w:val="bottom"/>
            <w:tcBorders>
              <w:bottom w:val="single" w:sz="8" w:color="CFF0FC"/>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2,806</w:t>
            </w:r>
          </w:p>
        </w:tc>
        <w:tc>
          <w:tcPr>
            <w:tcW w:w="22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32,024</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260" w:type="dxa"/>
            <w:vAlign w:val="bottom"/>
            <w:gridSpan w:val="2"/>
            <w:shd w:val="clear" w:color="auto" w:fill="CFF0FC"/>
          </w:tcPr>
          <w:p>
            <w:pPr>
              <w:spacing w:after="0"/>
              <w:rPr>
                <w:sz w:val="20"/>
                <w:szCs w:val="20"/>
                <w:color w:val="auto"/>
              </w:rPr>
            </w:pPr>
            <w:r>
              <w:rPr>
                <w:rFonts w:ascii="Arial" w:cs="Arial" w:eastAsia="Arial" w:hAnsi="Arial"/>
                <w:sz w:val="11"/>
                <w:szCs w:val="11"/>
                <w:color w:val="auto"/>
              </w:rPr>
              <w:t>Net cash provided by operating activities</w:t>
            </w:r>
          </w:p>
        </w:tc>
        <w:tc>
          <w:tcPr>
            <w:tcW w:w="460" w:type="dxa"/>
            <w:vAlign w:val="bottom"/>
            <w:shd w:val="clear" w:color="auto" w:fill="CFF0FC"/>
          </w:tcPr>
          <w:p>
            <w:pPr>
              <w:spacing w:after="0"/>
              <w:rPr>
                <w:sz w:val="11"/>
                <w:szCs w:val="1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405,260</w:t>
            </w:r>
          </w:p>
        </w:tc>
        <w:tc>
          <w:tcPr>
            <w:tcW w:w="40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375,988</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293,208</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5260" w:type="dxa"/>
            <w:vAlign w:val="bottom"/>
            <w:gridSpan w:val="2"/>
          </w:tcPr>
          <w:p>
            <w:pPr>
              <w:spacing w:after="0"/>
              <w:rPr>
                <w:sz w:val="20"/>
                <w:szCs w:val="20"/>
                <w:color w:val="auto"/>
              </w:rPr>
            </w:pPr>
            <w:r>
              <w:rPr>
                <w:rFonts w:ascii="Arial" w:cs="Arial" w:eastAsia="Arial" w:hAnsi="Arial"/>
                <w:sz w:val="11"/>
                <w:szCs w:val="11"/>
                <w:b w:val="1"/>
                <w:bCs w:val="1"/>
                <w:color w:val="auto"/>
              </w:rPr>
              <w:t>Cash flow from investing activities</w:t>
            </w:r>
          </w:p>
        </w:tc>
        <w:tc>
          <w:tcPr>
            <w:tcW w:w="4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260" w:type="dxa"/>
            <w:vAlign w:val="bottom"/>
            <w:gridSpan w:val="2"/>
            <w:shd w:val="clear" w:color="auto" w:fill="CFF0FC"/>
          </w:tcPr>
          <w:p>
            <w:pPr>
              <w:ind w:left="160"/>
              <w:spacing w:after="0"/>
              <w:rPr>
                <w:sz w:val="20"/>
                <w:szCs w:val="20"/>
                <w:color w:val="auto"/>
              </w:rPr>
            </w:pPr>
            <w:r>
              <w:rPr>
                <w:rFonts w:ascii="Arial" w:cs="Arial" w:eastAsia="Arial" w:hAnsi="Arial"/>
                <w:sz w:val="11"/>
                <w:szCs w:val="11"/>
                <w:color w:val="auto"/>
              </w:rPr>
              <w:t>Acquisition of businesses, net of cash acquired</w:t>
            </w:r>
          </w:p>
        </w:tc>
        <w:tc>
          <w:tcPr>
            <w:tcW w:w="460" w:type="dxa"/>
            <w:vAlign w:val="bottom"/>
            <w:shd w:val="clear" w:color="auto" w:fill="CFF0FC"/>
          </w:tcPr>
          <w:p>
            <w:pPr>
              <w:spacing w:after="0"/>
              <w:rPr>
                <w:sz w:val="12"/>
                <w:szCs w:val="12"/>
                <w:color w:val="auto"/>
              </w:rPr>
            </w:pPr>
          </w:p>
        </w:tc>
        <w:tc>
          <w:tcPr>
            <w:tcW w:w="1860" w:type="dxa"/>
            <w:vAlign w:val="bottom"/>
            <w:gridSpan w:val="2"/>
            <w:shd w:val="clear" w:color="auto" w:fill="CFF0FC"/>
          </w:tcPr>
          <w:p>
            <w:pPr>
              <w:jc w:val="right"/>
              <w:ind w:right="360"/>
              <w:spacing w:after="0"/>
              <w:rPr>
                <w:sz w:val="20"/>
                <w:szCs w:val="20"/>
                <w:color w:val="auto"/>
              </w:rPr>
            </w:pPr>
            <w:r>
              <w:rPr>
                <w:rFonts w:ascii="Arial" w:cs="Arial" w:eastAsia="Arial" w:hAnsi="Arial"/>
                <w:sz w:val="11"/>
                <w:szCs w:val="11"/>
                <w:color w:val="auto"/>
              </w:rPr>
              <w:t>(761,887)</w:t>
            </w:r>
          </w:p>
        </w:tc>
        <w:tc>
          <w:tcPr>
            <w:tcW w:w="600" w:type="dxa"/>
            <w:vAlign w:val="bottom"/>
            <w:shd w:val="clear" w:color="auto" w:fill="CFF0FC"/>
          </w:tcPr>
          <w:p>
            <w:pPr>
              <w:spacing w:after="0"/>
              <w:rPr>
                <w:sz w:val="12"/>
                <w:szCs w:val="12"/>
                <w:color w:val="auto"/>
              </w:rPr>
            </w:pPr>
          </w:p>
        </w:tc>
        <w:tc>
          <w:tcPr>
            <w:tcW w:w="154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(488,788)</w:t>
            </w:r>
          </w:p>
        </w:tc>
        <w:tc>
          <w:tcPr>
            <w:tcW w:w="140" w:type="dxa"/>
            <w:vAlign w:val="bottom"/>
            <w:shd w:val="clear" w:color="auto" w:fill="CFF0FC"/>
          </w:tcPr>
          <w:p>
            <w:pPr>
              <w:spacing w:after="0"/>
              <w:rPr>
                <w:sz w:val="12"/>
                <w:szCs w:val="12"/>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260" w:type="dxa"/>
            <w:vAlign w:val="bottom"/>
            <w:gridSpan w:val="2"/>
          </w:tcPr>
          <w:p>
            <w:pPr>
              <w:ind w:left="160"/>
              <w:spacing w:after="0"/>
              <w:rPr>
                <w:sz w:val="20"/>
                <w:szCs w:val="20"/>
                <w:color w:val="auto"/>
              </w:rPr>
            </w:pPr>
            <w:r>
              <w:rPr>
                <w:rFonts w:ascii="Arial" w:cs="Arial" w:eastAsia="Arial" w:hAnsi="Arial"/>
                <w:sz w:val="11"/>
                <w:szCs w:val="11"/>
                <w:color w:val="auto"/>
              </w:rPr>
              <w:t>Consideration paid to Windstream Services, LLC</w:t>
            </w:r>
          </w:p>
        </w:tc>
        <w:tc>
          <w:tcPr>
            <w:tcW w:w="460" w:type="dxa"/>
            <w:vAlign w:val="bottom"/>
          </w:tcPr>
          <w:p>
            <w:pPr>
              <w:spacing w:after="0"/>
              <w:rPr>
                <w:sz w:val="12"/>
                <w:szCs w:val="12"/>
                <w:color w:val="auto"/>
              </w:rPr>
            </w:pPr>
          </w:p>
        </w:tc>
        <w:tc>
          <w:tcPr>
            <w:tcW w:w="1460" w:type="dxa"/>
            <w:vAlign w:val="bottom"/>
          </w:tcPr>
          <w:p>
            <w:pPr>
              <w:jc w:val="right"/>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gridSpan w:val="2"/>
          </w:tcPr>
          <w:p>
            <w:pPr>
              <w:jc w:val="right"/>
              <w:ind w:right="80"/>
              <w:spacing w:after="0"/>
              <w:rPr>
                <w:sz w:val="20"/>
                <w:szCs w:val="20"/>
                <w:color w:val="auto"/>
              </w:rPr>
            </w:pPr>
            <w:r>
              <w:rPr>
                <w:rFonts w:ascii="Arial" w:cs="Arial" w:eastAsia="Arial" w:hAnsi="Arial"/>
                <w:sz w:val="11"/>
                <w:szCs w:val="11"/>
                <w:color w:val="auto"/>
              </w:rPr>
              <w:t>(1,035,029)</w:t>
            </w:r>
          </w:p>
        </w:tc>
        <w:tc>
          <w:tcPr>
            <w:tcW w:w="0" w:type="dxa"/>
            <w:vAlign w:val="bottom"/>
          </w:tcPr>
          <w:p>
            <w:pPr>
              <w:spacing w:after="0"/>
              <w:rPr>
                <w:sz w:val="1"/>
                <w:szCs w:val="1"/>
                <w:color w:val="auto"/>
              </w:rPr>
            </w:pPr>
          </w:p>
        </w:tc>
      </w:tr>
      <w:tr>
        <w:trPr>
          <w:trHeight w:val="146"/>
        </w:trPr>
        <w:tc>
          <w:tcPr>
            <w:tcW w:w="5260" w:type="dxa"/>
            <w:vAlign w:val="bottom"/>
            <w:gridSpan w:val="2"/>
            <w:shd w:val="clear" w:color="auto" w:fill="CFF0FC"/>
          </w:tcPr>
          <w:p>
            <w:pPr>
              <w:ind w:left="160"/>
              <w:spacing w:after="0"/>
              <w:rPr>
                <w:sz w:val="20"/>
                <w:szCs w:val="20"/>
                <w:color w:val="auto"/>
              </w:rPr>
            </w:pPr>
            <w:r>
              <w:rPr>
                <w:rFonts w:ascii="Arial" w:cs="Arial" w:eastAsia="Arial" w:hAnsi="Arial"/>
                <w:sz w:val="11"/>
                <w:szCs w:val="11"/>
                <w:color w:val="auto"/>
              </w:rPr>
              <w:t>Acquisition of ground lease investments</w:t>
            </w:r>
          </w:p>
        </w:tc>
        <w:tc>
          <w:tcPr>
            <w:tcW w:w="460" w:type="dxa"/>
            <w:vAlign w:val="bottom"/>
            <w:shd w:val="clear" w:color="auto" w:fill="CFF0FC"/>
          </w:tcPr>
          <w:p>
            <w:pPr>
              <w:spacing w:after="0"/>
              <w:rPr>
                <w:sz w:val="12"/>
                <w:szCs w:val="12"/>
                <w:color w:val="auto"/>
              </w:rPr>
            </w:pPr>
          </w:p>
        </w:tc>
        <w:tc>
          <w:tcPr>
            <w:tcW w:w="1860" w:type="dxa"/>
            <w:vAlign w:val="bottom"/>
            <w:gridSpan w:val="2"/>
            <w:shd w:val="clear" w:color="auto" w:fill="CFF0FC"/>
          </w:tcPr>
          <w:p>
            <w:pPr>
              <w:jc w:val="right"/>
              <w:ind w:right="360"/>
              <w:spacing w:after="0"/>
              <w:rPr>
                <w:sz w:val="20"/>
                <w:szCs w:val="20"/>
                <w:color w:val="auto"/>
              </w:rPr>
            </w:pPr>
            <w:r>
              <w:rPr>
                <w:rFonts w:ascii="Arial" w:cs="Arial" w:eastAsia="Arial" w:hAnsi="Arial"/>
                <w:sz w:val="11"/>
                <w:szCs w:val="11"/>
                <w:color w:val="auto"/>
              </w:rPr>
              <w:t>(21,764)</w:t>
            </w:r>
          </w:p>
        </w:tc>
        <w:tc>
          <w:tcPr>
            <w:tcW w:w="600" w:type="dxa"/>
            <w:vAlign w:val="bottom"/>
            <w:shd w:val="clear" w:color="auto" w:fill="CFF0FC"/>
          </w:tcPr>
          <w:p>
            <w:pPr>
              <w:spacing w:after="0"/>
              <w:rPr>
                <w:sz w:val="12"/>
                <w:szCs w:val="12"/>
                <w:color w:val="auto"/>
              </w:rPr>
            </w:pPr>
          </w:p>
        </w:tc>
        <w:tc>
          <w:tcPr>
            <w:tcW w:w="154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(11,543)</w:t>
            </w:r>
          </w:p>
        </w:tc>
        <w:tc>
          <w:tcPr>
            <w:tcW w:w="140" w:type="dxa"/>
            <w:vAlign w:val="bottom"/>
            <w:shd w:val="clear" w:color="auto" w:fill="CFF0FC"/>
          </w:tcPr>
          <w:p>
            <w:pPr>
              <w:spacing w:after="0"/>
              <w:rPr>
                <w:sz w:val="12"/>
                <w:szCs w:val="12"/>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260" w:type="dxa"/>
            <w:vAlign w:val="bottom"/>
            <w:gridSpan w:val="2"/>
          </w:tcPr>
          <w:p>
            <w:pPr>
              <w:ind w:left="160"/>
              <w:spacing w:after="0"/>
              <w:rPr>
                <w:sz w:val="20"/>
                <w:szCs w:val="20"/>
                <w:color w:val="auto"/>
              </w:rPr>
            </w:pPr>
            <w:r>
              <w:rPr>
                <w:rFonts w:ascii="Arial" w:cs="Arial" w:eastAsia="Arial" w:hAnsi="Arial"/>
                <w:sz w:val="11"/>
                <w:szCs w:val="11"/>
                <w:color w:val="auto"/>
              </w:rPr>
              <w:t>NMS asset acquisition (Note 4)</w:t>
            </w:r>
          </w:p>
        </w:tc>
        <w:tc>
          <w:tcPr>
            <w:tcW w:w="460" w:type="dxa"/>
            <w:vAlign w:val="bottom"/>
          </w:tcPr>
          <w:p>
            <w:pPr>
              <w:spacing w:after="0"/>
              <w:rPr>
                <w:sz w:val="12"/>
                <w:szCs w:val="12"/>
                <w:color w:val="auto"/>
              </w:rPr>
            </w:pPr>
          </w:p>
        </w:tc>
        <w:tc>
          <w:tcPr>
            <w:tcW w:w="1860" w:type="dxa"/>
            <w:vAlign w:val="bottom"/>
            <w:gridSpan w:val="2"/>
          </w:tcPr>
          <w:p>
            <w:pPr>
              <w:jc w:val="right"/>
              <w:ind w:right="360"/>
              <w:spacing w:after="0"/>
              <w:rPr>
                <w:sz w:val="20"/>
                <w:szCs w:val="20"/>
                <w:color w:val="auto"/>
              </w:rPr>
            </w:pPr>
            <w:r>
              <w:rPr>
                <w:rFonts w:ascii="Arial" w:cs="Arial" w:eastAsia="Arial" w:hAnsi="Arial"/>
                <w:sz w:val="11"/>
                <w:szCs w:val="11"/>
                <w:color w:val="auto"/>
              </w:rPr>
              <w:t>(69,729)</w:t>
            </w:r>
          </w:p>
        </w:tc>
        <w:tc>
          <w:tcPr>
            <w:tcW w:w="60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260" w:type="dxa"/>
            <w:vAlign w:val="bottom"/>
            <w:gridSpan w:val="2"/>
            <w:shd w:val="clear" w:color="auto" w:fill="CFF0FC"/>
          </w:tcPr>
          <w:p>
            <w:pPr>
              <w:ind w:left="160"/>
              <w:spacing w:after="0"/>
              <w:rPr>
                <w:sz w:val="20"/>
                <w:szCs w:val="20"/>
                <w:color w:val="auto"/>
              </w:rPr>
            </w:pPr>
            <w:r>
              <w:rPr>
                <w:rFonts w:ascii="Arial" w:cs="Arial" w:eastAsia="Arial" w:hAnsi="Arial"/>
                <w:sz w:val="11"/>
                <w:szCs w:val="11"/>
                <w:color w:val="auto"/>
              </w:rPr>
              <w:t>Capital expenditures - other</w:t>
            </w:r>
          </w:p>
        </w:tc>
        <w:tc>
          <w:tcPr>
            <w:tcW w:w="460" w:type="dxa"/>
            <w:vAlign w:val="bottom"/>
            <w:shd w:val="clear" w:color="auto" w:fill="CFF0FC"/>
          </w:tcPr>
          <w:p>
            <w:pPr>
              <w:spacing w:after="0"/>
              <w:rPr>
                <w:sz w:val="12"/>
                <w:szCs w:val="12"/>
                <w:color w:val="auto"/>
              </w:rPr>
            </w:pPr>
          </w:p>
        </w:tc>
        <w:tc>
          <w:tcPr>
            <w:tcW w:w="1860" w:type="dxa"/>
            <w:vAlign w:val="bottom"/>
            <w:gridSpan w:val="2"/>
            <w:shd w:val="clear" w:color="auto" w:fill="CFF0FC"/>
          </w:tcPr>
          <w:p>
            <w:pPr>
              <w:jc w:val="right"/>
              <w:ind w:right="360"/>
              <w:spacing w:after="0"/>
              <w:rPr>
                <w:sz w:val="20"/>
                <w:szCs w:val="20"/>
                <w:color w:val="auto"/>
              </w:rPr>
            </w:pPr>
            <w:r>
              <w:rPr>
                <w:rFonts w:ascii="Arial" w:cs="Arial" w:eastAsia="Arial" w:hAnsi="Arial"/>
                <w:sz w:val="11"/>
                <w:szCs w:val="11"/>
                <w:color w:val="auto"/>
              </w:rPr>
              <w:t>(166,028)</w:t>
            </w:r>
          </w:p>
        </w:tc>
        <w:tc>
          <w:tcPr>
            <w:tcW w:w="600" w:type="dxa"/>
            <w:vAlign w:val="bottom"/>
            <w:shd w:val="clear" w:color="auto" w:fill="CFF0FC"/>
          </w:tcPr>
          <w:p>
            <w:pPr>
              <w:spacing w:after="0"/>
              <w:rPr>
                <w:sz w:val="12"/>
                <w:szCs w:val="12"/>
                <w:color w:val="auto"/>
              </w:rPr>
            </w:pPr>
          </w:p>
        </w:tc>
        <w:tc>
          <w:tcPr>
            <w:tcW w:w="154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(34,900)</w:t>
            </w:r>
          </w:p>
        </w:tc>
        <w:tc>
          <w:tcPr>
            <w:tcW w:w="140" w:type="dxa"/>
            <w:vAlign w:val="bottom"/>
            <w:shd w:val="clear" w:color="auto" w:fill="CFF0FC"/>
          </w:tcPr>
          <w:p>
            <w:pPr>
              <w:spacing w:after="0"/>
              <w:rPr>
                <w:sz w:val="12"/>
                <w:szCs w:val="12"/>
                <w:color w:val="auto"/>
              </w:rPr>
            </w:pPr>
          </w:p>
        </w:tc>
        <w:tc>
          <w:tcPr>
            <w:tcW w:w="162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(44,413)</w:t>
            </w: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spacing w:after="0"/>
              <w:rPr>
                <w:sz w:val="20"/>
                <w:szCs w:val="20"/>
                <w:color w:val="auto"/>
              </w:rPr>
            </w:pPr>
            <w:r>
              <w:rPr>
                <w:rFonts w:ascii="Arial" w:cs="Arial" w:eastAsia="Arial" w:hAnsi="Arial"/>
                <w:sz w:val="11"/>
                <w:szCs w:val="11"/>
                <w:color w:val="auto"/>
              </w:rPr>
              <w:t>Net cash used in investing activities</w:t>
            </w:r>
          </w:p>
        </w:tc>
        <w:tc>
          <w:tcPr>
            <w:tcW w:w="46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260" w:type="dxa"/>
            <w:vAlign w:val="bottom"/>
            <w:gridSpan w:val="2"/>
            <w:vMerge w:val="continue"/>
          </w:tcPr>
          <w:p>
            <w:pPr>
              <w:spacing w:after="0"/>
              <w:rPr>
                <w:sz w:val="11"/>
                <w:szCs w:val="11"/>
                <w:color w:val="auto"/>
              </w:rPr>
            </w:pPr>
          </w:p>
        </w:tc>
        <w:tc>
          <w:tcPr>
            <w:tcW w:w="460" w:type="dxa"/>
            <w:vAlign w:val="bottom"/>
          </w:tcPr>
          <w:p>
            <w:pPr>
              <w:spacing w:after="0"/>
              <w:rPr>
                <w:sz w:val="11"/>
                <w:szCs w:val="11"/>
                <w:color w:val="auto"/>
              </w:rPr>
            </w:pPr>
          </w:p>
        </w:tc>
        <w:tc>
          <w:tcPr>
            <w:tcW w:w="1860" w:type="dxa"/>
            <w:vAlign w:val="bottom"/>
            <w:gridSpan w:val="2"/>
          </w:tcPr>
          <w:p>
            <w:pPr>
              <w:jc w:val="right"/>
              <w:ind w:right="360"/>
              <w:spacing w:after="0"/>
              <w:rPr>
                <w:sz w:val="20"/>
                <w:szCs w:val="20"/>
                <w:color w:val="auto"/>
              </w:rPr>
            </w:pPr>
            <w:r>
              <w:rPr>
                <w:rFonts w:ascii="Arial" w:cs="Arial" w:eastAsia="Arial" w:hAnsi="Arial"/>
                <w:sz w:val="11"/>
                <w:szCs w:val="11"/>
                <w:color w:val="auto"/>
              </w:rPr>
              <w:t>(1,019,408)</w:t>
            </w:r>
          </w:p>
        </w:tc>
        <w:tc>
          <w:tcPr>
            <w:tcW w:w="600" w:type="dxa"/>
            <w:vAlign w:val="bottom"/>
          </w:tcPr>
          <w:p>
            <w:pPr>
              <w:spacing w:after="0"/>
              <w:rPr>
                <w:sz w:val="11"/>
                <w:szCs w:val="11"/>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1"/>
                <w:szCs w:val="11"/>
                <w:color w:val="auto"/>
              </w:rPr>
              <w:t>(535,231)</w:t>
            </w:r>
          </w:p>
        </w:tc>
        <w:tc>
          <w:tcPr>
            <w:tcW w:w="140" w:type="dxa"/>
            <w:vAlign w:val="bottom"/>
          </w:tcPr>
          <w:p>
            <w:pPr>
              <w:spacing w:after="0"/>
              <w:rPr>
                <w:sz w:val="11"/>
                <w:szCs w:val="11"/>
                <w:color w:val="auto"/>
              </w:rPr>
            </w:pPr>
          </w:p>
        </w:tc>
        <w:tc>
          <w:tcPr>
            <w:tcW w:w="1620" w:type="dxa"/>
            <w:vAlign w:val="bottom"/>
            <w:gridSpan w:val="2"/>
          </w:tcPr>
          <w:p>
            <w:pPr>
              <w:jc w:val="right"/>
              <w:ind w:right="80"/>
              <w:spacing w:after="0"/>
              <w:rPr>
                <w:sz w:val="20"/>
                <w:szCs w:val="20"/>
                <w:color w:val="auto"/>
              </w:rPr>
            </w:pPr>
            <w:r>
              <w:rPr>
                <w:rFonts w:ascii="Arial" w:cs="Arial" w:eastAsia="Arial" w:hAnsi="Arial"/>
                <w:sz w:val="11"/>
                <w:szCs w:val="11"/>
                <w:color w:val="auto"/>
              </w:rPr>
              <w:t>(1,079,442)</w:t>
            </w:r>
          </w:p>
        </w:tc>
        <w:tc>
          <w:tcPr>
            <w:tcW w:w="0" w:type="dxa"/>
            <w:vAlign w:val="bottom"/>
          </w:tcPr>
          <w:p>
            <w:pPr>
              <w:spacing w:after="0"/>
              <w:rPr>
                <w:sz w:val="1"/>
                <w:szCs w:val="1"/>
                <w:color w:val="auto"/>
              </w:rPr>
            </w:pPr>
          </w:p>
        </w:tc>
      </w:tr>
      <w:tr>
        <w:trPr>
          <w:trHeight w:val="148"/>
        </w:trPr>
        <w:tc>
          <w:tcPr>
            <w:tcW w:w="5260" w:type="dxa"/>
            <w:vAlign w:val="bottom"/>
            <w:gridSpan w:val="2"/>
            <w:shd w:val="clear" w:color="auto" w:fill="CFF0FC"/>
          </w:tcPr>
          <w:p>
            <w:pPr>
              <w:spacing w:after="0"/>
              <w:rPr>
                <w:sz w:val="20"/>
                <w:szCs w:val="20"/>
                <w:color w:val="auto"/>
              </w:rPr>
            </w:pPr>
            <w:r>
              <w:rPr>
                <w:rFonts w:ascii="Arial" w:cs="Arial" w:eastAsia="Arial" w:hAnsi="Arial"/>
                <w:sz w:val="11"/>
                <w:szCs w:val="11"/>
                <w:b w:val="1"/>
                <w:bCs w:val="1"/>
                <w:color w:val="auto"/>
              </w:rPr>
              <w:t>Cash flow from financing activities</w:t>
            </w:r>
          </w:p>
        </w:tc>
        <w:tc>
          <w:tcPr>
            <w:tcW w:w="460" w:type="dxa"/>
            <w:vAlign w:val="bottom"/>
            <w:shd w:val="clear" w:color="auto" w:fill="CFF0FC"/>
          </w:tcPr>
          <w:p>
            <w:pPr>
              <w:spacing w:after="0"/>
              <w:rPr>
                <w:sz w:val="12"/>
                <w:szCs w:val="12"/>
                <w:color w:val="auto"/>
              </w:rPr>
            </w:pPr>
          </w:p>
        </w:tc>
        <w:tc>
          <w:tcPr>
            <w:tcW w:w="146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260" w:type="dxa"/>
            <w:vAlign w:val="bottom"/>
            <w:gridSpan w:val="2"/>
          </w:tcPr>
          <w:p>
            <w:pPr>
              <w:ind w:left="160"/>
              <w:spacing w:after="0"/>
              <w:rPr>
                <w:sz w:val="20"/>
                <w:szCs w:val="20"/>
                <w:color w:val="auto"/>
              </w:rPr>
            </w:pPr>
            <w:r>
              <w:rPr>
                <w:rFonts w:ascii="Arial" w:cs="Arial" w:eastAsia="Arial" w:hAnsi="Arial"/>
                <w:sz w:val="11"/>
                <w:szCs w:val="11"/>
                <w:color w:val="auto"/>
              </w:rPr>
              <w:t>Principal payment on debt</w:t>
            </w:r>
          </w:p>
        </w:tc>
        <w:tc>
          <w:tcPr>
            <w:tcW w:w="460" w:type="dxa"/>
            <w:vAlign w:val="bottom"/>
          </w:tcPr>
          <w:p>
            <w:pPr>
              <w:spacing w:after="0"/>
              <w:rPr>
                <w:sz w:val="12"/>
                <w:szCs w:val="12"/>
                <w:color w:val="auto"/>
              </w:rPr>
            </w:pPr>
          </w:p>
        </w:tc>
        <w:tc>
          <w:tcPr>
            <w:tcW w:w="1860" w:type="dxa"/>
            <w:vAlign w:val="bottom"/>
            <w:gridSpan w:val="2"/>
          </w:tcPr>
          <w:p>
            <w:pPr>
              <w:jc w:val="right"/>
              <w:ind w:right="360"/>
              <w:spacing w:after="0"/>
              <w:rPr>
                <w:sz w:val="20"/>
                <w:szCs w:val="20"/>
                <w:color w:val="auto"/>
              </w:rPr>
            </w:pPr>
            <w:r>
              <w:rPr>
                <w:rFonts w:ascii="Arial" w:cs="Arial" w:eastAsia="Arial" w:hAnsi="Arial"/>
                <w:sz w:val="11"/>
                <w:szCs w:val="11"/>
                <w:color w:val="auto"/>
              </w:rPr>
              <w:t>(21,080)</w:t>
            </w:r>
          </w:p>
        </w:tc>
        <w:tc>
          <w:tcPr>
            <w:tcW w:w="600" w:type="dxa"/>
            <w:vAlign w:val="bottom"/>
          </w:tcPr>
          <w:p>
            <w:pPr>
              <w:spacing w:after="0"/>
              <w:rPr>
                <w:sz w:val="12"/>
                <w:szCs w:val="12"/>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1"/>
                <w:szCs w:val="11"/>
                <w:color w:val="auto"/>
              </w:rPr>
              <w:t>(22,027)</w:t>
            </w:r>
          </w:p>
        </w:tc>
        <w:tc>
          <w:tcPr>
            <w:tcW w:w="140" w:type="dxa"/>
            <w:vAlign w:val="bottom"/>
          </w:tcPr>
          <w:p>
            <w:pPr>
              <w:spacing w:after="0"/>
              <w:rPr>
                <w:sz w:val="12"/>
                <w:szCs w:val="12"/>
                <w:color w:val="auto"/>
              </w:rPr>
            </w:pPr>
          </w:p>
        </w:tc>
        <w:tc>
          <w:tcPr>
            <w:tcW w:w="1620" w:type="dxa"/>
            <w:vAlign w:val="bottom"/>
            <w:gridSpan w:val="2"/>
          </w:tcPr>
          <w:p>
            <w:pPr>
              <w:jc w:val="right"/>
              <w:ind w:right="80"/>
              <w:spacing w:after="0"/>
              <w:rPr>
                <w:sz w:val="20"/>
                <w:szCs w:val="20"/>
                <w:color w:val="auto"/>
              </w:rPr>
            </w:pPr>
            <w:r>
              <w:rPr>
                <w:rFonts w:ascii="Arial" w:cs="Arial" w:eastAsia="Arial" w:hAnsi="Arial"/>
                <w:sz w:val="11"/>
                <w:szCs w:val="11"/>
                <w:color w:val="auto"/>
              </w:rPr>
              <w:t>(10,700)</w:t>
            </w:r>
          </w:p>
        </w:tc>
        <w:tc>
          <w:tcPr>
            <w:tcW w:w="0" w:type="dxa"/>
            <w:vAlign w:val="bottom"/>
          </w:tcPr>
          <w:p>
            <w:pPr>
              <w:spacing w:after="0"/>
              <w:rPr>
                <w:sz w:val="1"/>
                <w:szCs w:val="1"/>
                <w:color w:val="auto"/>
              </w:rPr>
            </w:pPr>
          </w:p>
        </w:tc>
      </w:tr>
      <w:tr>
        <w:trPr>
          <w:trHeight w:val="146"/>
        </w:trPr>
        <w:tc>
          <w:tcPr>
            <w:tcW w:w="5260" w:type="dxa"/>
            <w:vAlign w:val="bottom"/>
            <w:gridSpan w:val="2"/>
            <w:shd w:val="clear" w:color="auto" w:fill="CFF0FC"/>
          </w:tcPr>
          <w:p>
            <w:pPr>
              <w:ind w:left="160"/>
              <w:spacing w:after="0"/>
              <w:rPr>
                <w:sz w:val="20"/>
                <w:szCs w:val="20"/>
                <w:color w:val="auto"/>
              </w:rPr>
            </w:pPr>
            <w:r>
              <w:rPr>
                <w:rFonts w:ascii="Arial" w:cs="Arial" w:eastAsia="Arial" w:hAnsi="Arial"/>
                <w:sz w:val="11"/>
                <w:szCs w:val="11"/>
                <w:color w:val="auto"/>
              </w:rPr>
              <w:t>Dividends paid</w:t>
            </w:r>
          </w:p>
        </w:tc>
        <w:tc>
          <w:tcPr>
            <w:tcW w:w="460" w:type="dxa"/>
            <w:vAlign w:val="bottom"/>
            <w:shd w:val="clear" w:color="auto" w:fill="CFF0FC"/>
          </w:tcPr>
          <w:p>
            <w:pPr>
              <w:spacing w:after="0"/>
              <w:rPr>
                <w:sz w:val="12"/>
                <w:szCs w:val="12"/>
                <w:color w:val="auto"/>
              </w:rPr>
            </w:pPr>
          </w:p>
        </w:tc>
        <w:tc>
          <w:tcPr>
            <w:tcW w:w="1860" w:type="dxa"/>
            <w:vAlign w:val="bottom"/>
            <w:gridSpan w:val="2"/>
            <w:shd w:val="clear" w:color="auto" w:fill="CFF0FC"/>
          </w:tcPr>
          <w:p>
            <w:pPr>
              <w:jc w:val="right"/>
              <w:ind w:right="360"/>
              <w:spacing w:after="0"/>
              <w:rPr>
                <w:sz w:val="20"/>
                <w:szCs w:val="20"/>
                <w:color w:val="auto"/>
              </w:rPr>
            </w:pPr>
            <w:r>
              <w:rPr>
                <w:rFonts w:ascii="Arial" w:cs="Arial" w:eastAsia="Arial" w:hAnsi="Arial"/>
                <w:sz w:val="11"/>
                <w:szCs w:val="11"/>
                <w:color w:val="auto"/>
              </w:rPr>
              <w:t>(400,210)</w:t>
            </w:r>
          </w:p>
        </w:tc>
        <w:tc>
          <w:tcPr>
            <w:tcW w:w="600" w:type="dxa"/>
            <w:vAlign w:val="bottom"/>
            <w:shd w:val="clear" w:color="auto" w:fill="CFF0FC"/>
          </w:tcPr>
          <w:p>
            <w:pPr>
              <w:spacing w:after="0"/>
              <w:rPr>
                <w:sz w:val="12"/>
                <w:szCs w:val="12"/>
                <w:color w:val="auto"/>
              </w:rPr>
            </w:pPr>
          </w:p>
        </w:tc>
        <w:tc>
          <w:tcPr>
            <w:tcW w:w="154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(367,830)</w:t>
            </w:r>
          </w:p>
        </w:tc>
        <w:tc>
          <w:tcPr>
            <w:tcW w:w="140" w:type="dxa"/>
            <w:vAlign w:val="bottom"/>
            <w:shd w:val="clear" w:color="auto" w:fill="CFF0FC"/>
          </w:tcPr>
          <w:p>
            <w:pPr>
              <w:spacing w:after="0"/>
              <w:rPr>
                <w:sz w:val="12"/>
                <w:szCs w:val="12"/>
                <w:color w:val="auto"/>
              </w:rPr>
            </w:pPr>
          </w:p>
        </w:tc>
        <w:tc>
          <w:tcPr>
            <w:tcW w:w="162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(156,854)</w:t>
            </w:r>
          </w:p>
        </w:tc>
        <w:tc>
          <w:tcPr>
            <w:tcW w:w="0" w:type="dxa"/>
            <w:vAlign w:val="bottom"/>
          </w:tcPr>
          <w:p>
            <w:pPr>
              <w:spacing w:after="0"/>
              <w:rPr>
                <w:sz w:val="1"/>
                <w:szCs w:val="1"/>
                <w:color w:val="auto"/>
              </w:rPr>
            </w:pPr>
          </w:p>
        </w:tc>
      </w:tr>
      <w:tr>
        <w:trPr>
          <w:trHeight w:val="142"/>
        </w:trPr>
        <w:tc>
          <w:tcPr>
            <w:tcW w:w="5260" w:type="dxa"/>
            <w:vAlign w:val="bottom"/>
            <w:gridSpan w:val="2"/>
          </w:tcPr>
          <w:p>
            <w:pPr>
              <w:ind w:left="160"/>
              <w:spacing w:after="0"/>
              <w:rPr>
                <w:sz w:val="20"/>
                <w:szCs w:val="20"/>
                <w:color w:val="auto"/>
              </w:rPr>
            </w:pPr>
            <w:r>
              <w:rPr>
                <w:rFonts w:ascii="Arial" w:cs="Arial" w:eastAsia="Arial" w:hAnsi="Arial"/>
                <w:sz w:val="11"/>
                <w:szCs w:val="11"/>
                <w:color w:val="auto"/>
              </w:rPr>
              <w:t>Payments of contingent consideration</w:t>
            </w:r>
          </w:p>
        </w:tc>
        <w:tc>
          <w:tcPr>
            <w:tcW w:w="460" w:type="dxa"/>
            <w:vAlign w:val="bottom"/>
          </w:tcPr>
          <w:p>
            <w:pPr>
              <w:spacing w:after="0"/>
              <w:rPr>
                <w:sz w:val="12"/>
                <w:szCs w:val="12"/>
                <w:color w:val="auto"/>
              </w:rPr>
            </w:pPr>
          </w:p>
        </w:tc>
        <w:tc>
          <w:tcPr>
            <w:tcW w:w="1860" w:type="dxa"/>
            <w:vAlign w:val="bottom"/>
            <w:gridSpan w:val="2"/>
          </w:tcPr>
          <w:p>
            <w:pPr>
              <w:jc w:val="right"/>
              <w:ind w:right="360"/>
              <w:spacing w:after="0"/>
              <w:rPr>
                <w:sz w:val="20"/>
                <w:szCs w:val="20"/>
                <w:color w:val="auto"/>
              </w:rPr>
            </w:pPr>
            <w:r>
              <w:rPr>
                <w:rFonts w:ascii="Arial" w:cs="Arial" w:eastAsia="Arial" w:hAnsi="Arial"/>
                <w:sz w:val="11"/>
                <w:szCs w:val="11"/>
                <w:color w:val="auto"/>
              </w:rPr>
              <w:t>(19,999)</w:t>
            </w:r>
          </w:p>
        </w:tc>
        <w:tc>
          <w:tcPr>
            <w:tcW w:w="60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260" w:type="dxa"/>
            <w:vAlign w:val="bottom"/>
            <w:gridSpan w:val="2"/>
            <w:shd w:val="clear" w:color="auto" w:fill="CFF0FC"/>
          </w:tcPr>
          <w:p>
            <w:pPr>
              <w:ind w:left="160"/>
              <w:spacing w:after="0"/>
              <w:rPr>
                <w:sz w:val="20"/>
                <w:szCs w:val="20"/>
                <w:color w:val="auto"/>
              </w:rPr>
            </w:pPr>
            <w:r>
              <w:rPr>
                <w:rFonts w:ascii="Arial" w:cs="Arial" w:eastAsia="Arial" w:hAnsi="Arial"/>
                <w:sz w:val="11"/>
                <w:szCs w:val="11"/>
                <w:color w:val="auto"/>
              </w:rPr>
              <w:t>Proceeds from issuance of Term Loans</w:t>
            </w:r>
          </w:p>
        </w:tc>
        <w:tc>
          <w:tcPr>
            <w:tcW w:w="460" w:type="dxa"/>
            <w:vAlign w:val="bottom"/>
            <w:shd w:val="clear" w:color="auto" w:fill="CFF0FC"/>
          </w:tcPr>
          <w:p>
            <w:pPr>
              <w:spacing w:after="0"/>
              <w:rPr>
                <w:sz w:val="12"/>
                <w:szCs w:val="12"/>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1,127,000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260" w:type="dxa"/>
            <w:vAlign w:val="bottom"/>
            <w:gridSpan w:val="2"/>
          </w:tcPr>
          <w:p>
            <w:pPr>
              <w:ind w:left="160"/>
              <w:spacing w:after="0"/>
              <w:rPr>
                <w:sz w:val="20"/>
                <w:szCs w:val="20"/>
                <w:color w:val="auto"/>
              </w:rPr>
            </w:pPr>
            <w:r>
              <w:rPr>
                <w:rFonts w:ascii="Arial" w:cs="Arial" w:eastAsia="Arial" w:hAnsi="Arial"/>
                <w:sz w:val="11"/>
                <w:szCs w:val="11"/>
                <w:color w:val="auto"/>
              </w:rPr>
              <w:t>Proceeds from issuance of Notes</w:t>
            </w:r>
          </w:p>
        </w:tc>
        <w:tc>
          <w:tcPr>
            <w:tcW w:w="460" w:type="dxa"/>
            <w:vAlign w:val="bottom"/>
          </w:tcPr>
          <w:p>
            <w:pPr>
              <w:spacing w:after="0"/>
              <w:rPr>
                <w:sz w:val="12"/>
                <w:szCs w:val="12"/>
                <w:color w:val="auto"/>
              </w:rPr>
            </w:pPr>
          </w:p>
        </w:tc>
        <w:tc>
          <w:tcPr>
            <w:tcW w:w="1460" w:type="dxa"/>
            <w:vAlign w:val="bottom"/>
          </w:tcPr>
          <w:p>
            <w:pPr>
              <w:jc w:val="right"/>
              <w:spacing w:after="0"/>
              <w:rPr>
                <w:sz w:val="20"/>
                <w:szCs w:val="20"/>
                <w:color w:val="auto"/>
              </w:rPr>
            </w:pPr>
            <w:r>
              <w:rPr>
                <w:rFonts w:ascii="Arial" w:cs="Arial" w:eastAsia="Arial" w:hAnsi="Arial"/>
                <w:sz w:val="11"/>
                <w:szCs w:val="11"/>
                <w:color w:val="auto"/>
              </w:rPr>
              <w:t>201,000</w:t>
            </w:r>
          </w:p>
        </w:tc>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Arial" w:cs="Arial" w:eastAsia="Arial" w:hAnsi="Arial"/>
                <w:sz w:val="11"/>
                <w:szCs w:val="11"/>
                <w:color w:val="auto"/>
              </w:rPr>
              <w:t>548,875</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260" w:type="dxa"/>
            <w:vAlign w:val="bottom"/>
            <w:gridSpan w:val="2"/>
            <w:shd w:val="clear" w:color="auto" w:fill="CFF0FC"/>
          </w:tcPr>
          <w:p>
            <w:pPr>
              <w:ind w:left="160"/>
              <w:spacing w:after="0"/>
              <w:rPr>
                <w:sz w:val="20"/>
                <w:szCs w:val="20"/>
                <w:color w:val="auto"/>
              </w:rPr>
            </w:pPr>
            <w:r>
              <w:rPr>
                <w:rFonts w:ascii="Arial" w:cs="Arial" w:eastAsia="Arial" w:hAnsi="Arial"/>
                <w:sz w:val="11"/>
                <w:szCs w:val="11"/>
                <w:color w:val="auto"/>
              </w:rPr>
              <w:t>Borrowings under revolving credit facility</w:t>
            </w:r>
          </w:p>
        </w:tc>
        <w:tc>
          <w:tcPr>
            <w:tcW w:w="460" w:type="dxa"/>
            <w:vAlign w:val="bottom"/>
            <w:shd w:val="clear" w:color="auto" w:fill="CFF0FC"/>
          </w:tcPr>
          <w:p>
            <w:pPr>
              <w:spacing w:after="0"/>
              <w:rPr>
                <w:sz w:val="12"/>
                <w:szCs w:val="12"/>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845,000</w:t>
            </w:r>
          </w:p>
        </w:tc>
        <w:tc>
          <w:tcPr>
            <w:tcW w:w="4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641,000</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260" w:type="dxa"/>
            <w:vAlign w:val="bottom"/>
            <w:gridSpan w:val="2"/>
          </w:tcPr>
          <w:p>
            <w:pPr>
              <w:ind w:left="160"/>
              <w:spacing w:after="0"/>
              <w:rPr>
                <w:sz w:val="20"/>
                <w:szCs w:val="20"/>
                <w:color w:val="auto"/>
              </w:rPr>
            </w:pPr>
            <w:r>
              <w:rPr>
                <w:rFonts w:ascii="Arial" w:cs="Arial" w:eastAsia="Arial" w:hAnsi="Arial"/>
                <w:sz w:val="11"/>
                <w:szCs w:val="11"/>
                <w:color w:val="auto"/>
              </w:rPr>
              <w:t>Payments under revolving credit facility</w:t>
            </w:r>
          </w:p>
        </w:tc>
        <w:tc>
          <w:tcPr>
            <w:tcW w:w="460" w:type="dxa"/>
            <w:vAlign w:val="bottom"/>
          </w:tcPr>
          <w:p>
            <w:pPr>
              <w:spacing w:after="0"/>
              <w:rPr>
                <w:sz w:val="12"/>
                <w:szCs w:val="12"/>
                <w:color w:val="auto"/>
              </w:rPr>
            </w:pPr>
          </w:p>
        </w:tc>
        <w:tc>
          <w:tcPr>
            <w:tcW w:w="1860" w:type="dxa"/>
            <w:vAlign w:val="bottom"/>
            <w:gridSpan w:val="2"/>
          </w:tcPr>
          <w:p>
            <w:pPr>
              <w:jc w:val="right"/>
              <w:ind w:right="360"/>
              <w:spacing w:after="0"/>
              <w:rPr>
                <w:sz w:val="20"/>
                <w:szCs w:val="20"/>
                <w:color w:val="auto"/>
              </w:rPr>
            </w:pPr>
            <w:r>
              <w:rPr>
                <w:rFonts w:ascii="Arial" w:cs="Arial" w:eastAsia="Arial" w:hAnsi="Arial"/>
                <w:sz w:val="11"/>
                <w:szCs w:val="11"/>
                <w:color w:val="auto"/>
              </w:rPr>
              <w:t>(565,000)</w:t>
            </w:r>
          </w:p>
        </w:tc>
        <w:tc>
          <w:tcPr>
            <w:tcW w:w="600" w:type="dxa"/>
            <w:vAlign w:val="bottom"/>
          </w:tcPr>
          <w:p>
            <w:pPr>
              <w:spacing w:after="0"/>
              <w:rPr>
                <w:sz w:val="12"/>
                <w:szCs w:val="12"/>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1"/>
                <w:szCs w:val="11"/>
                <w:color w:val="auto"/>
              </w:rPr>
              <w:t>(641,000)</w:t>
            </w:r>
          </w:p>
        </w:tc>
        <w:tc>
          <w:tcPr>
            <w:tcW w:w="140" w:type="dxa"/>
            <w:vAlign w:val="bottom"/>
          </w:tcPr>
          <w:p>
            <w:pPr>
              <w:spacing w:after="0"/>
              <w:rPr>
                <w:sz w:val="12"/>
                <w:szCs w:val="12"/>
                <w:color w:val="auto"/>
              </w:rPr>
            </w:pPr>
          </w:p>
        </w:tc>
        <w:tc>
          <w:tcPr>
            <w:tcW w:w="15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260" w:type="dxa"/>
            <w:vAlign w:val="bottom"/>
            <w:gridSpan w:val="2"/>
            <w:shd w:val="clear" w:color="auto" w:fill="CFF0FC"/>
          </w:tcPr>
          <w:p>
            <w:pPr>
              <w:ind w:left="160"/>
              <w:spacing w:after="0"/>
              <w:rPr>
                <w:sz w:val="20"/>
                <w:szCs w:val="20"/>
                <w:color w:val="auto"/>
              </w:rPr>
            </w:pPr>
            <w:r>
              <w:rPr>
                <w:rFonts w:ascii="Arial" w:cs="Arial" w:eastAsia="Arial" w:hAnsi="Arial"/>
                <w:sz w:val="11"/>
                <w:szCs w:val="11"/>
                <w:color w:val="auto"/>
              </w:rPr>
              <w:t>Capital lease payments</w:t>
            </w:r>
          </w:p>
        </w:tc>
        <w:tc>
          <w:tcPr>
            <w:tcW w:w="460" w:type="dxa"/>
            <w:vAlign w:val="bottom"/>
            <w:shd w:val="clear" w:color="auto" w:fill="CFF0FC"/>
          </w:tcPr>
          <w:p>
            <w:pPr>
              <w:spacing w:after="0"/>
              <w:rPr>
                <w:sz w:val="12"/>
                <w:szCs w:val="12"/>
                <w:color w:val="auto"/>
              </w:rPr>
            </w:pPr>
          </w:p>
        </w:tc>
        <w:tc>
          <w:tcPr>
            <w:tcW w:w="1860" w:type="dxa"/>
            <w:vAlign w:val="bottom"/>
            <w:gridSpan w:val="2"/>
            <w:shd w:val="clear" w:color="auto" w:fill="CFF0FC"/>
          </w:tcPr>
          <w:p>
            <w:pPr>
              <w:jc w:val="right"/>
              <w:ind w:right="360"/>
              <w:spacing w:after="0"/>
              <w:rPr>
                <w:sz w:val="20"/>
                <w:szCs w:val="20"/>
                <w:color w:val="auto"/>
              </w:rPr>
            </w:pPr>
            <w:r>
              <w:rPr>
                <w:rFonts w:ascii="Arial" w:cs="Arial" w:eastAsia="Arial" w:hAnsi="Arial"/>
                <w:sz w:val="11"/>
                <w:szCs w:val="11"/>
                <w:color w:val="auto"/>
              </w:rPr>
              <w:t>(3,237)</w:t>
            </w:r>
          </w:p>
        </w:tc>
        <w:tc>
          <w:tcPr>
            <w:tcW w:w="600" w:type="dxa"/>
            <w:vAlign w:val="bottom"/>
            <w:shd w:val="clear" w:color="auto" w:fill="CFF0FC"/>
          </w:tcPr>
          <w:p>
            <w:pPr>
              <w:spacing w:after="0"/>
              <w:rPr>
                <w:sz w:val="12"/>
                <w:szCs w:val="12"/>
                <w:color w:val="auto"/>
              </w:rPr>
            </w:pPr>
          </w:p>
        </w:tc>
        <w:tc>
          <w:tcPr>
            <w:tcW w:w="154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(1,549)</w:t>
            </w:r>
          </w:p>
        </w:tc>
        <w:tc>
          <w:tcPr>
            <w:tcW w:w="140" w:type="dxa"/>
            <w:vAlign w:val="bottom"/>
            <w:shd w:val="clear" w:color="auto" w:fill="CFF0FC"/>
          </w:tcPr>
          <w:p>
            <w:pPr>
              <w:spacing w:after="0"/>
              <w:rPr>
                <w:sz w:val="12"/>
                <w:szCs w:val="12"/>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260" w:type="dxa"/>
            <w:vAlign w:val="bottom"/>
            <w:gridSpan w:val="2"/>
          </w:tcPr>
          <w:p>
            <w:pPr>
              <w:ind w:left="160"/>
              <w:spacing w:after="0"/>
              <w:rPr>
                <w:sz w:val="20"/>
                <w:szCs w:val="20"/>
                <w:color w:val="auto"/>
              </w:rPr>
            </w:pPr>
            <w:r>
              <w:rPr>
                <w:rFonts w:ascii="Arial" w:cs="Arial" w:eastAsia="Arial" w:hAnsi="Arial"/>
                <w:sz w:val="11"/>
                <w:szCs w:val="11"/>
                <w:color w:val="auto"/>
              </w:rPr>
              <w:t>Deferred financing costs</w:t>
            </w:r>
          </w:p>
        </w:tc>
        <w:tc>
          <w:tcPr>
            <w:tcW w:w="460" w:type="dxa"/>
            <w:vAlign w:val="bottom"/>
          </w:tcPr>
          <w:p>
            <w:pPr>
              <w:spacing w:after="0"/>
              <w:rPr>
                <w:sz w:val="12"/>
                <w:szCs w:val="12"/>
                <w:color w:val="auto"/>
              </w:rPr>
            </w:pPr>
          </w:p>
        </w:tc>
        <w:tc>
          <w:tcPr>
            <w:tcW w:w="1860" w:type="dxa"/>
            <w:vAlign w:val="bottom"/>
            <w:gridSpan w:val="2"/>
          </w:tcPr>
          <w:p>
            <w:pPr>
              <w:jc w:val="right"/>
              <w:ind w:right="360"/>
              <w:spacing w:after="0"/>
              <w:rPr>
                <w:sz w:val="20"/>
                <w:szCs w:val="20"/>
                <w:color w:val="auto"/>
              </w:rPr>
            </w:pPr>
            <w:r>
              <w:rPr>
                <w:rFonts w:ascii="Arial" w:cs="Arial" w:eastAsia="Arial" w:hAnsi="Arial"/>
                <w:sz w:val="11"/>
                <w:szCs w:val="11"/>
                <w:color w:val="auto"/>
              </w:rPr>
              <w:t>(28,539)</w:t>
            </w:r>
          </w:p>
        </w:tc>
        <w:tc>
          <w:tcPr>
            <w:tcW w:w="600" w:type="dxa"/>
            <w:vAlign w:val="bottom"/>
          </w:tcPr>
          <w:p>
            <w:pPr>
              <w:spacing w:after="0"/>
              <w:rPr>
                <w:sz w:val="12"/>
                <w:szCs w:val="12"/>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1"/>
                <w:szCs w:val="11"/>
                <w:color w:val="auto"/>
              </w:rPr>
              <w:t>(20,557)</w:t>
            </w:r>
          </w:p>
        </w:tc>
        <w:tc>
          <w:tcPr>
            <w:tcW w:w="140" w:type="dxa"/>
            <w:vAlign w:val="bottom"/>
          </w:tcPr>
          <w:p>
            <w:pPr>
              <w:spacing w:after="0"/>
              <w:rPr>
                <w:sz w:val="12"/>
                <w:szCs w:val="12"/>
                <w:color w:val="auto"/>
              </w:rPr>
            </w:pPr>
          </w:p>
        </w:tc>
        <w:tc>
          <w:tcPr>
            <w:tcW w:w="1620" w:type="dxa"/>
            <w:vAlign w:val="bottom"/>
            <w:gridSpan w:val="2"/>
          </w:tcPr>
          <w:p>
            <w:pPr>
              <w:jc w:val="right"/>
              <w:ind w:right="80"/>
              <w:spacing w:after="0"/>
              <w:rPr>
                <w:sz w:val="20"/>
                <w:szCs w:val="20"/>
                <w:color w:val="auto"/>
              </w:rPr>
            </w:pPr>
            <w:r>
              <w:rPr>
                <w:rFonts w:ascii="Arial" w:cs="Arial" w:eastAsia="Arial" w:hAnsi="Arial"/>
                <w:sz w:val="11"/>
                <w:szCs w:val="11"/>
                <w:color w:val="auto"/>
              </w:rPr>
              <w:t>(30,057)</w:t>
            </w:r>
          </w:p>
        </w:tc>
        <w:tc>
          <w:tcPr>
            <w:tcW w:w="0" w:type="dxa"/>
            <w:vAlign w:val="bottom"/>
          </w:tcPr>
          <w:p>
            <w:pPr>
              <w:spacing w:after="0"/>
              <w:rPr>
                <w:sz w:val="1"/>
                <w:szCs w:val="1"/>
                <w:color w:val="auto"/>
              </w:rPr>
            </w:pPr>
          </w:p>
        </w:tc>
      </w:tr>
      <w:tr>
        <w:trPr>
          <w:trHeight w:val="146"/>
        </w:trPr>
        <w:tc>
          <w:tcPr>
            <w:tcW w:w="5260" w:type="dxa"/>
            <w:vAlign w:val="bottom"/>
            <w:gridSpan w:val="2"/>
            <w:shd w:val="clear" w:color="auto" w:fill="CFF0FC"/>
          </w:tcPr>
          <w:p>
            <w:pPr>
              <w:ind w:left="160"/>
              <w:spacing w:after="0"/>
              <w:rPr>
                <w:sz w:val="20"/>
                <w:szCs w:val="20"/>
                <w:color w:val="auto"/>
              </w:rPr>
            </w:pPr>
            <w:r>
              <w:rPr>
                <w:rFonts w:ascii="Arial" w:cs="Arial" w:eastAsia="Arial" w:hAnsi="Arial"/>
                <w:sz w:val="11"/>
                <w:szCs w:val="11"/>
                <w:color w:val="auto"/>
              </w:rPr>
              <w:t>Common stock issuance, net of costs</w:t>
            </w:r>
          </w:p>
        </w:tc>
        <w:tc>
          <w:tcPr>
            <w:tcW w:w="460" w:type="dxa"/>
            <w:vAlign w:val="bottom"/>
            <w:shd w:val="clear" w:color="auto" w:fill="CFF0FC"/>
          </w:tcPr>
          <w:p>
            <w:pPr>
              <w:spacing w:after="0"/>
              <w:rPr>
                <w:sz w:val="12"/>
                <w:szCs w:val="12"/>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498,926</w:t>
            </w:r>
          </w:p>
        </w:tc>
        <w:tc>
          <w:tcPr>
            <w:tcW w:w="4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54,213</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62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(543)</w:t>
            </w:r>
          </w:p>
        </w:tc>
        <w:tc>
          <w:tcPr>
            <w:tcW w:w="0" w:type="dxa"/>
            <w:vAlign w:val="bottom"/>
          </w:tcPr>
          <w:p>
            <w:pPr>
              <w:spacing w:after="0"/>
              <w:rPr>
                <w:sz w:val="1"/>
                <w:szCs w:val="1"/>
                <w:color w:val="auto"/>
              </w:rPr>
            </w:pPr>
          </w:p>
        </w:tc>
      </w:tr>
      <w:tr>
        <w:trPr>
          <w:trHeight w:val="142"/>
        </w:trPr>
        <w:tc>
          <w:tcPr>
            <w:tcW w:w="5260" w:type="dxa"/>
            <w:vAlign w:val="bottom"/>
            <w:gridSpan w:val="2"/>
          </w:tcPr>
          <w:p>
            <w:pPr>
              <w:ind w:left="160"/>
              <w:spacing w:after="0"/>
              <w:rPr>
                <w:sz w:val="20"/>
                <w:szCs w:val="20"/>
                <w:color w:val="auto"/>
              </w:rPr>
            </w:pPr>
            <w:r>
              <w:rPr>
                <w:rFonts w:ascii="Arial" w:cs="Arial" w:eastAsia="Arial" w:hAnsi="Arial"/>
                <w:sz w:val="11"/>
                <w:szCs w:val="11"/>
                <w:color w:val="auto"/>
              </w:rPr>
              <w:t>Purchase of noncontrolling interest</w:t>
            </w:r>
          </w:p>
        </w:tc>
        <w:tc>
          <w:tcPr>
            <w:tcW w:w="460" w:type="dxa"/>
            <w:vAlign w:val="bottom"/>
          </w:tcPr>
          <w:p>
            <w:pPr>
              <w:spacing w:after="0"/>
              <w:rPr>
                <w:sz w:val="12"/>
                <w:szCs w:val="12"/>
                <w:color w:val="auto"/>
              </w:rPr>
            </w:pPr>
          </w:p>
        </w:tc>
        <w:tc>
          <w:tcPr>
            <w:tcW w:w="1860" w:type="dxa"/>
            <w:vAlign w:val="bottom"/>
            <w:gridSpan w:val="2"/>
          </w:tcPr>
          <w:p>
            <w:pPr>
              <w:jc w:val="right"/>
              <w:ind w:right="360"/>
              <w:spacing w:after="0"/>
              <w:rPr>
                <w:sz w:val="20"/>
                <w:szCs w:val="20"/>
                <w:color w:val="auto"/>
              </w:rPr>
            </w:pPr>
            <w:r>
              <w:rPr>
                <w:rFonts w:ascii="Arial" w:cs="Arial" w:eastAsia="Arial" w:hAnsi="Arial"/>
                <w:sz w:val="11"/>
                <w:szCs w:val="11"/>
                <w:color w:val="auto"/>
              </w:rPr>
              <w:t>(560)</w:t>
            </w:r>
          </w:p>
        </w:tc>
        <w:tc>
          <w:tcPr>
            <w:tcW w:w="60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260" w:type="dxa"/>
            <w:vAlign w:val="bottom"/>
            <w:gridSpan w:val="2"/>
            <w:shd w:val="clear" w:color="auto" w:fill="CFF0FC"/>
          </w:tcPr>
          <w:p>
            <w:pPr>
              <w:ind w:left="160"/>
              <w:spacing w:after="0"/>
              <w:rPr>
                <w:sz w:val="20"/>
                <w:szCs w:val="20"/>
                <w:color w:val="auto"/>
              </w:rPr>
            </w:pPr>
            <w:r>
              <w:rPr>
                <w:rFonts w:ascii="Arial" w:cs="Arial" w:eastAsia="Arial" w:hAnsi="Arial"/>
                <w:sz w:val="11"/>
                <w:szCs w:val="11"/>
                <w:color w:val="auto"/>
              </w:rPr>
              <w:t>Distributions paid to noncontrolling interest</w:t>
            </w:r>
          </w:p>
        </w:tc>
        <w:tc>
          <w:tcPr>
            <w:tcW w:w="460" w:type="dxa"/>
            <w:vAlign w:val="bottom"/>
            <w:shd w:val="clear" w:color="auto" w:fill="CFF0FC"/>
          </w:tcPr>
          <w:p>
            <w:pPr>
              <w:spacing w:after="0"/>
              <w:rPr>
                <w:sz w:val="12"/>
                <w:szCs w:val="12"/>
                <w:color w:val="auto"/>
              </w:rPr>
            </w:pPr>
          </w:p>
        </w:tc>
        <w:tc>
          <w:tcPr>
            <w:tcW w:w="1860" w:type="dxa"/>
            <w:vAlign w:val="bottom"/>
            <w:gridSpan w:val="2"/>
            <w:shd w:val="clear" w:color="auto" w:fill="CFF0FC"/>
          </w:tcPr>
          <w:p>
            <w:pPr>
              <w:jc w:val="right"/>
              <w:ind w:right="360"/>
              <w:spacing w:after="0"/>
              <w:rPr>
                <w:sz w:val="20"/>
                <w:szCs w:val="20"/>
                <w:color w:val="auto"/>
              </w:rPr>
            </w:pPr>
            <w:r>
              <w:rPr>
                <w:rFonts w:ascii="Arial" w:cs="Arial" w:eastAsia="Arial" w:hAnsi="Arial"/>
                <w:sz w:val="11"/>
                <w:szCs w:val="11"/>
                <w:color w:val="auto"/>
              </w:rPr>
              <w:t>(2,498)</w:t>
            </w:r>
          </w:p>
        </w:tc>
        <w:tc>
          <w:tcPr>
            <w:tcW w:w="60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260" w:type="dxa"/>
            <w:vAlign w:val="bottom"/>
            <w:gridSpan w:val="2"/>
          </w:tcPr>
          <w:p>
            <w:pPr>
              <w:ind w:left="160"/>
              <w:spacing w:after="0"/>
              <w:rPr>
                <w:sz w:val="20"/>
                <w:szCs w:val="20"/>
                <w:color w:val="auto"/>
              </w:rPr>
            </w:pPr>
            <w:r>
              <w:rPr>
                <w:rFonts w:ascii="Arial" w:cs="Arial" w:eastAsia="Arial" w:hAnsi="Arial"/>
                <w:sz w:val="11"/>
                <w:szCs w:val="11"/>
                <w:color w:val="auto"/>
              </w:rPr>
              <w:t>Net share settlement</w:t>
            </w:r>
          </w:p>
        </w:tc>
        <w:tc>
          <w:tcPr>
            <w:tcW w:w="460" w:type="dxa"/>
            <w:vAlign w:val="bottom"/>
          </w:tcPr>
          <w:p>
            <w:pPr>
              <w:spacing w:after="0"/>
              <w:rPr>
                <w:sz w:val="12"/>
                <w:szCs w:val="12"/>
                <w:color w:val="auto"/>
              </w:rPr>
            </w:pPr>
          </w:p>
        </w:tc>
        <w:tc>
          <w:tcPr>
            <w:tcW w:w="1860" w:type="dxa"/>
            <w:vAlign w:val="bottom"/>
            <w:gridSpan w:val="2"/>
          </w:tcPr>
          <w:p>
            <w:pPr>
              <w:jc w:val="right"/>
              <w:ind w:right="360"/>
              <w:spacing w:after="0"/>
              <w:rPr>
                <w:sz w:val="20"/>
                <w:szCs w:val="20"/>
                <w:color w:val="auto"/>
              </w:rPr>
            </w:pPr>
            <w:r>
              <w:rPr>
                <w:rFonts w:ascii="Arial" w:cs="Arial" w:eastAsia="Arial" w:hAnsi="Arial"/>
                <w:sz w:val="11"/>
                <w:szCs w:val="11"/>
                <w:color w:val="auto"/>
              </w:rPr>
              <w:t>(1,836)</w:t>
            </w:r>
          </w:p>
        </w:tc>
        <w:tc>
          <w:tcPr>
            <w:tcW w:w="600" w:type="dxa"/>
            <w:vAlign w:val="bottom"/>
          </w:tcPr>
          <w:p>
            <w:pPr>
              <w:spacing w:after="0"/>
              <w:rPr>
                <w:sz w:val="12"/>
                <w:szCs w:val="12"/>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1"/>
                <w:szCs w:val="11"/>
                <w:color w:val="auto"/>
              </w:rPr>
              <w:t>(2,359)</w:t>
            </w:r>
          </w:p>
        </w:tc>
        <w:tc>
          <w:tcPr>
            <w:tcW w:w="140" w:type="dxa"/>
            <w:vAlign w:val="bottom"/>
          </w:tcPr>
          <w:p>
            <w:pPr>
              <w:spacing w:after="0"/>
              <w:rPr>
                <w:sz w:val="12"/>
                <w:szCs w:val="12"/>
                <w:color w:val="auto"/>
              </w:rPr>
            </w:pPr>
          </w:p>
        </w:tc>
        <w:tc>
          <w:tcPr>
            <w:tcW w:w="1620" w:type="dxa"/>
            <w:vAlign w:val="bottom"/>
            <w:gridSpan w:val="2"/>
          </w:tcPr>
          <w:p>
            <w:pPr>
              <w:jc w:val="right"/>
              <w:ind w:right="80"/>
              <w:spacing w:after="0"/>
              <w:rPr>
                <w:sz w:val="20"/>
                <w:szCs w:val="20"/>
                <w:color w:val="auto"/>
              </w:rPr>
            </w:pPr>
            <w:r>
              <w:rPr>
                <w:rFonts w:ascii="Arial" w:cs="Arial" w:eastAsia="Arial" w:hAnsi="Arial"/>
                <w:sz w:val="11"/>
                <w:szCs w:val="11"/>
                <w:color w:val="auto"/>
              </w:rPr>
              <w:t>(113)</w:t>
            </w:r>
          </w:p>
        </w:tc>
        <w:tc>
          <w:tcPr>
            <w:tcW w:w="0" w:type="dxa"/>
            <w:vAlign w:val="bottom"/>
          </w:tcPr>
          <w:p>
            <w:pPr>
              <w:spacing w:after="0"/>
              <w:rPr>
                <w:sz w:val="1"/>
                <w:szCs w:val="1"/>
                <w:color w:val="auto"/>
              </w:rPr>
            </w:pPr>
          </w:p>
        </w:tc>
      </w:tr>
      <w:tr>
        <w:trPr>
          <w:trHeight w:val="146"/>
        </w:trPr>
        <w:tc>
          <w:tcPr>
            <w:tcW w:w="5260" w:type="dxa"/>
            <w:vAlign w:val="bottom"/>
            <w:gridSpan w:val="2"/>
            <w:shd w:val="clear" w:color="auto" w:fill="CFF0FC"/>
          </w:tcPr>
          <w:p>
            <w:pPr>
              <w:ind w:left="160"/>
              <w:spacing w:after="0"/>
              <w:rPr>
                <w:sz w:val="20"/>
                <w:szCs w:val="20"/>
                <w:color w:val="auto"/>
              </w:rPr>
            </w:pPr>
            <w:r>
              <w:rPr>
                <w:rFonts w:ascii="Arial" w:cs="Arial" w:eastAsia="Arial" w:hAnsi="Arial"/>
                <w:sz w:val="11"/>
                <w:szCs w:val="11"/>
                <w:color w:val="auto"/>
              </w:rPr>
              <w:t>Cash in-lieu of fractional shares</w:t>
            </w:r>
          </w:p>
        </w:tc>
        <w:tc>
          <w:tcPr>
            <w:tcW w:w="460" w:type="dxa"/>
            <w:vAlign w:val="bottom"/>
            <w:shd w:val="clear" w:color="auto" w:fill="CFF0FC"/>
          </w:tcPr>
          <w:p>
            <w:pPr>
              <w:spacing w:after="0"/>
              <w:rPr>
                <w:sz w:val="12"/>
                <w:szCs w:val="12"/>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62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(19)</w:t>
            </w:r>
          </w:p>
        </w:tc>
        <w:tc>
          <w:tcPr>
            <w:tcW w:w="0" w:type="dxa"/>
            <w:vAlign w:val="bottom"/>
          </w:tcPr>
          <w:p>
            <w:pPr>
              <w:spacing w:after="0"/>
              <w:rPr>
                <w:sz w:val="1"/>
                <w:szCs w:val="1"/>
                <w:color w:val="auto"/>
              </w:rPr>
            </w:pPr>
          </w:p>
        </w:tc>
      </w:tr>
      <w:tr>
        <w:trPr>
          <w:trHeight w:val="131"/>
        </w:trPr>
        <w:tc>
          <w:tcPr>
            <w:tcW w:w="5260" w:type="dxa"/>
            <w:vAlign w:val="bottom"/>
            <w:gridSpan w:val="2"/>
          </w:tcPr>
          <w:p>
            <w:pPr>
              <w:spacing w:after="0"/>
              <w:rPr>
                <w:sz w:val="20"/>
                <w:szCs w:val="20"/>
                <w:color w:val="auto"/>
              </w:rPr>
            </w:pPr>
            <w:r>
              <w:rPr>
                <w:rFonts w:ascii="Arial" w:cs="Arial" w:eastAsia="Arial" w:hAnsi="Arial"/>
                <w:sz w:val="11"/>
                <w:szCs w:val="11"/>
                <w:color w:val="auto"/>
              </w:rPr>
              <w:t>Net cash provided by financing activities</w:t>
            </w:r>
          </w:p>
        </w:tc>
        <w:tc>
          <w:tcPr>
            <w:tcW w:w="460" w:type="dxa"/>
            <w:vAlign w:val="bottom"/>
            <w:tcBorders>
              <w:top w:val="single" w:sz="8" w:color="auto"/>
            </w:tcBorders>
          </w:tcPr>
          <w:p>
            <w:pPr>
              <w:spacing w:after="0"/>
              <w:rPr>
                <w:sz w:val="11"/>
                <w:szCs w:val="11"/>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501,967</w:t>
            </w:r>
          </w:p>
        </w:tc>
        <w:tc>
          <w:tcPr>
            <w:tcW w:w="40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188,766</w:t>
            </w:r>
          </w:p>
        </w:tc>
        <w:tc>
          <w:tcPr>
            <w:tcW w:w="2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928,714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5260" w:type="dxa"/>
            <w:vAlign w:val="bottom"/>
            <w:gridSpan w:val="2"/>
            <w:shd w:val="clear" w:color="auto" w:fill="CFF0FC"/>
          </w:tcPr>
          <w:p>
            <w:pPr>
              <w:spacing w:after="0"/>
              <w:rPr>
                <w:sz w:val="20"/>
                <w:szCs w:val="20"/>
                <w:color w:val="auto"/>
              </w:rPr>
            </w:pPr>
            <w:r>
              <w:rPr>
                <w:rFonts w:ascii="Arial" w:cs="Arial" w:eastAsia="Arial" w:hAnsi="Arial"/>
                <w:sz w:val="11"/>
                <w:szCs w:val="11"/>
                <w:color w:val="auto"/>
              </w:rPr>
              <w:t>Effect of exchange rates on cash and cash equivalents</w:t>
            </w:r>
          </w:p>
        </w:tc>
        <w:tc>
          <w:tcPr>
            <w:tcW w:w="460" w:type="dxa"/>
            <w:vAlign w:val="bottom"/>
            <w:shd w:val="clear" w:color="auto" w:fill="CFF0FC"/>
          </w:tcPr>
          <w:p>
            <w:pPr>
              <w:spacing w:after="0"/>
              <w:rPr>
                <w:sz w:val="12"/>
                <w:szCs w:val="12"/>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192</w:t>
            </w:r>
          </w:p>
        </w:tc>
        <w:tc>
          <w:tcPr>
            <w:tcW w:w="4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54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(267)</w:t>
            </w:r>
          </w:p>
        </w:tc>
        <w:tc>
          <w:tcPr>
            <w:tcW w:w="140" w:type="dxa"/>
            <w:vAlign w:val="bottom"/>
            <w:shd w:val="clear" w:color="auto" w:fill="CFF0FC"/>
          </w:tcPr>
          <w:p>
            <w:pPr>
              <w:spacing w:after="0"/>
              <w:rPr>
                <w:sz w:val="12"/>
                <w:szCs w:val="12"/>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spacing w:after="0"/>
              <w:rPr>
                <w:sz w:val="20"/>
                <w:szCs w:val="20"/>
                <w:color w:val="auto"/>
              </w:rPr>
            </w:pPr>
            <w:r>
              <w:rPr>
                <w:rFonts w:ascii="Arial" w:cs="Arial" w:eastAsia="Arial" w:hAnsi="Arial"/>
                <w:sz w:val="11"/>
                <w:szCs w:val="11"/>
                <w:color w:val="auto"/>
              </w:rPr>
              <w:t>Net (decrease) increase in cash and cash equivalents</w:t>
            </w:r>
          </w:p>
        </w:tc>
        <w:tc>
          <w:tcPr>
            <w:tcW w:w="46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5260" w:type="dxa"/>
            <w:vAlign w:val="bottom"/>
            <w:gridSpan w:val="2"/>
            <w:vMerge w:val="continue"/>
          </w:tcPr>
          <w:p>
            <w:pPr>
              <w:spacing w:after="0"/>
              <w:rPr>
                <w:sz w:val="11"/>
                <w:szCs w:val="11"/>
                <w:color w:val="auto"/>
              </w:rPr>
            </w:pPr>
          </w:p>
        </w:tc>
        <w:tc>
          <w:tcPr>
            <w:tcW w:w="460" w:type="dxa"/>
            <w:vAlign w:val="bottom"/>
          </w:tcPr>
          <w:p>
            <w:pPr>
              <w:spacing w:after="0"/>
              <w:rPr>
                <w:sz w:val="11"/>
                <w:szCs w:val="11"/>
                <w:color w:val="auto"/>
              </w:rPr>
            </w:pPr>
          </w:p>
        </w:tc>
        <w:tc>
          <w:tcPr>
            <w:tcW w:w="1860" w:type="dxa"/>
            <w:vAlign w:val="bottom"/>
            <w:gridSpan w:val="2"/>
          </w:tcPr>
          <w:p>
            <w:pPr>
              <w:jc w:val="right"/>
              <w:ind w:right="360"/>
              <w:spacing w:after="0"/>
              <w:rPr>
                <w:sz w:val="20"/>
                <w:szCs w:val="20"/>
                <w:color w:val="auto"/>
              </w:rPr>
            </w:pPr>
            <w:r>
              <w:rPr>
                <w:rFonts w:ascii="Arial" w:cs="Arial" w:eastAsia="Arial" w:hAnsi="Arial"/>
                <w:sz w:val="11"/>
                <w:szCs w:val="11"/>
                <w:color w:val="auto"/>
              </w:rPr>
              <w:t>(111,989)</w:t>
            </w:r>
          </w:p>
        </w:tc>
        <w:tc>
          <w:tcPr>
            <w:tcW w:w="600" w:type="dxa"/>
            <w:vAlign w:val="bottom"/>
          </w:tcPr>
          <w:p>
            <w:pPr>
              <w:spacing w:after="0"/>
              <w:rPr>
                <w:sz w:val="11"/>
                <w:szCs w:val="11"/>
                <w:color w:val="auto"/>
              </w:rPr>
            </w:pPr>
          </w:p>
        </w:tc>
        <w:tc>
          <w:tcPr>
            <w:tcW w:w="1320" w:type="dxa"/>
            <w:vAlign w:val="bottom"/>
          </w:tcPr>
          <w:p>
            <w:pPr>
              <w:jc w:val="right"/>
              <w:spacing w:after="0"/>
              <w:rPr>
                <w:sz w:val="20"/>
                <w:szCs w:val="20"/>
                <w:color w:val="auto"/>
              </w:rPr>
            </w:pPr>
            <w:r>
              <w:rPr>
                <w:rFonts w:ascii="Arial" w:cs="Arial" w:eastAsia="Arial" w:hAnsi="Arial"/>
                <w:sz w:val="11"/>
                <w:szCs w:val="11"/>
                <w:color w:val="auto"/>
              </w:rPr>
              <w:t>29,256</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00" w:type="dxa"/>
            <w:vAlign w:val="bottom"/>
          </w:tcPr>
          <w:p>
            <w:pPr>
              <w:jc w:val="right"/>
              <w:spacing w:after="0"/>
              <w:rPr>
                <w:sz w:val="20"/>
                <w:szCs w:val="20"/>
                <w:color w:val="auto"/>
              </w:rPr>
            </w:pPr>
            <w:r>
              <w:rPr>
                <w:rFonts w:ascii="Arial" w:cs="Arial" w:eastAsia="Arial" w:hAnsi="Arial"/>
                <w:sz w:val="11"/>
                <w:szCs w:val="11"/>
                <w:color w:val="auto"/>
              </w:rPr>
              <w:t>142,480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5260" w:type="dxa"/>
            <w:vAlign w:val="bottom"/>
            <w:gridSpan w:val="2"/>
            <w:shd w:val="clear" w:color="auto" w:fill="CFF0FC"/>
          </w:tcPr>
          <w:p>
            <w:pPr>
              <w:spacing w:after="0"/>
              <w:rPr>
                <w:sz w:val="20"/>
                <w:szCs w:val="20"/>
                <w:color w:val="auto"/>
              </w:rPr>
            </w:pPr>
            <w:r>
              <w:rPr>
                <w:rFonts w:ascii="Arial" w:cs="Arial" w:eastAsia="Arial" w:hAnsi="Arial"/>
                <w:sz w:val="11"/>
                <w:szCs w:val="11"/>
                <w:color w:val="auto"/>
              </w:rPr>
              <w:t>Cash and cash equivalents at beginning of period</w:t>
            </w:r>
          </w:p>
        </w:tc>
        <w:tc>
          <w:tcPr>
            <w:tcW w:w="460" w:type="dxa"/>
            <w:vAlign w:val="bottom"/>
            <w:tcBorders>
              <w:bottom w:val="single" w:sz="8" w:color="auto"/>
            </w:tcBorders>
            <w:shd w:val="clear" w:color="auto" w:fill="CFF0FC"/>
          </w:tcPr>
          <w:p>
            <w:pPr>
              <w:spacing w:after="0"/>
              <w:rPr>
                <w:sz w:val="12"/>
                <w:szCs w:val="12"/>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171,754</w:t>
            </w:r>
          </w:p>
        </w:tc>
        <w:tc>
          <w:tcPr>
            <w:tcW w:w="400" w:type="dxa"/>
            <w:vAlign w:val="bottom"/>
            <w:shd w:val="clear" w:color="auto" w:fill="CFF0FC"/>
          </w:tcPr>
          <w:p>
            <w:pPr>
              <w:spacing w:after="0"/>
              <w:rPr>
                <w:sz w:val="12"/>
                <w:szCs w:val="12"/>
                <w:color w:val="auto"/>
              </w:rPr>
            </w:pPr>
          </w:p>
        </w:tc>
        <w:tc>
          <w:tcPr>
            <w:tcW w:w="600" w:type="dxa"/>
            <w:vAlign w:val="bottom"/>
            <w:tcBorders>
              <w:bottom w:val="single" w:sz="8" w:color="auto"/>
            </w:tcBorders>
            <w:shd w:val="clear" w:color="auto" w:fill="CFF0FC"/>
          </w:tcPr>
          <w:p>
            <w:pPr>
              <w:spacing w:after="0"/>
              <w:rPr>
                <w:sz w:val="12"/>
                <w:szCs w:val="12"/>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142,498</w:t>
            </w:r>
          </w:p>
        </w:tc>
        <w:tc>
          <w:tcPr>
            <w:tcW w:w="220" w:type="dxa"/>
            <w:vAlign w:val="bottom"/>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18</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260" w:type="dxa"/>
            <w:vAlign w:val="bottom"/>
            <w:tcBorders>
              <w:bottom w:val="single" w:sz="8" w:color="CFF0FC"/>
            </w:tcBorders>
            <w:gridSpan w:val="2"/>
          </w:tcPr>
          <w:p>
            <w:pPr>
              <w:spacing w:after="0"/>
              <w:rPr>
                <w:sz w:val="20"/>
                <w:szCs w:val="20"/>
                <w:color w:val="auto"/>
              </w:rPr>
            </w:pPr>
            <w:r>
              <w:rPr>
                <w:rFonts w:ascii="Arial" w:cs="Arial" w:eastAsia="Arial" w:hAnsi="Arial"/>
                <w:sz w:val="11"/>
                <w:szCs w:val="11"/>
                <w:color w:val="auto"/>
              </w:rPr>
              <w:t>Cash and cash equivalents at end of period</w:t>
            </w:r>
          </w:p>
        </w:tc>
        <w:tc>
          <w:tcPr>
            <w:tcW w:w="460" w:type="dxa"/>
            <w:vAlign w:val="bottom"/>
            <w:tcBorders>
              <w:bottom w:val="single" w:sz="8" w:color="auto"/>
            </w:tcBorders>
          </w:tcPr>
          <w:p>
            <w:pPr>
              <w:jc w:val="right"/>
              <w:ind w:right="351"/>
              <w:spacing w:after="0"/>
              <w:rPr>
                <w:sz w:val="20"/>
                <w:szCs w:val="20"/>
                <w:color w:val="auto"/>
              </w:rPr>
            </w:pPr>
            <w:r>
              <w:rPr>
                <w:rFonts w:ascii="Arial" w:cs="Arial" w:eastAsia="Arial" w:hAnsi="Arial"/>
                <w:sz w:val="10"/>
                <w:szCs w:val="10"/>
                <w:color w:val="auto"/>
                <w:w w:val="71"/>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59,765</w:t>
            </w:r>
          </w:p>
        </w:tc>
        <w:tc>
          <w:tcPr>
            <w:tcW w:w="400" w:type="dxa"/>
            <w:vAlign w:val="bottom"/>
            <w:tcBorders>
              <w:bottom w:val="single" w:sz="8" w:color="CFF0FC"/>
            </w:tcBorders>
          </w:tcPr>
          <w:p>
            <w:pPr>
              <w:spacing w:after="0"/>
              <w:rPr>
                <w:sz w:val="12"/>
                <w:szCs w:val="12"/>
                <w:color w:val="auto"/>
              </w:rPr>
            </w:pPr>
          </w:p>
        </w:tc>
        <w:tc>
          <w:tcPr>
            <w:tcW w:w="600" w:type="dxa"/>
            <w:vAlign w:val="bottom"/>
            <w:tcBorders>
              <w:bottom w:val="single" w:sz="8" w:color="auto"/>
            </w:tcBorders>
          </w:tcPr>
          <w:p>
            <w:pPr>
              <w:jc w:val="right"/>
              <w:ind w:right="491"/>
              <w:spacing w:after="0"/>
              <w:rPr>
                <w:sz w:val="20"/>
                <w:szCs w:val="20"/>
                <w:color w:val="auto"/>
              </w:rPr>
            </w:pPr>
            <w:r>
              <w:rPr>
                <w:rFonts w:ascii="Arial" w:cs="Arial" w:eastAsia="Arial" w:hAnsi="Arial"/>
                <w:sz w:val="10"/>
                <w:szCs w:val="10"/>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171,754</w:t>
            </w:r>
          </w:p>
        </w:tc>
        <w:tc>
          <w:tcPr>
            <w:tcW w:w="22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142,498</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260" w:type="dxa"/>
            <w:vAlign w:val="bottom"/>
            <w:gridSpan w:val="2"/>
            <w:shd w:val="clear" w:color="auto" w:fill="CFF0FC"/>
          </w:tcPr>
          <w:p>
            <w:pPr>
              <w:spacing w:after="0"/>
              <w:rPr>
                <w:sz w:val="20"/>
                <w:szCs w:val="20"/>
                <w:color w:val="auto"/>
              </w:rPr>
            </w:pPr>
            <w:r>
              <w:rPr>
                <w:rFonts w:ascii="Arial" w:cs="Arial" w:eastAsia="Arial" w:hAnsi="Arial"/>
                <w:sz w:val="11"/>
                <w:szCs w:val="11"/>
                <w:b w:val="1"/>
                <w:bCs w:val="1"/>
                <w:color w:val="auto"/>
              </w:rPr>
              <w:t>Non-cash investing and financing activities:</w:t>
            </w:r>
          </w:p>
        </w:tc>
        <w:tc>
          <w:tcPr>
            <w:tcW w:w="460" w:type="dxa"/>
            <w:vAlign w:val="bottom"/>
            <w:shd w:val="clear" w:color="auto" w:fill="CFF0FC"/>
          </w:tcPr>
          <w:p>
            <w:pPr>
              <w:spacing w:after="0"/>
              <w:rPr>
                <w:sz w:val="12"/>
                <w:szCs w:val="12"/>
                <w:color w:val="auto"/>
              </w:rPr>
            </w:pPr>
          </w:p>
        </w:tc>
        <w:tc>
          <w:tcPr>
            <w:tcW w:w="146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260" w:type="dxa"/>
            <w:vAlign w:val="bottom"/>
            <w:gridSpan w:val="2"/>
          </w:tcPr>
          <w:p>
            <w:pPr>
              <w:ind w:left="160"/>
              <w:spacing w:after="0"/>
              <w:rPr>
                <w:sz w:val="20"/>
                <w:szCs w:val="20"/>
                <w:color w:val="auto"/>
              </w:rPr>
            </w:pPr>
            <w:r>
              <w:rPr>
                <w:rFonts w:ascii="Arial" w:cs="Arial" w:eastAsia="Arial" w:hAnsi="Arial"/>
                <w:sz w:val="11"/>
                <w:szCs w:val="11"/>
                <w:color w:val="auto"/>
              </w:rPr>
              <w:t>Property and equipment acquired but not yet paid</w:t>
            </w:r>
          </w:p>
        </w:tc>
        <w:tc>
          <w:tcPr>
            <w:tcW w:w="460" w:type="dxa"/>
            <w:vAlign w:val="bottom"/>
          </w:tcPr>
          <w:p>
            <w:pPr>
              <w:jc w:val="right"/>
              <w:ind w:right="351"/>
              <w:spacing w:after="0"/>
              <w:rPr>
                <w:sz w:val="20"/>
                <w:szCs w:val="20"/>
                <w:color w:val="auto"/>
              </w:rPr>
            </w:pPr>
            <w:r>
              <w:rPr>
                <w:rFonts w:ascii="Arial" w:cs="Arial" w:eastAsia="Arial" w:hAnsi="Arial"/>
                <w:sz w:val="10"/>
                <w:szCs w:val="10"/>
                <w:color w:val="auto"/>
                <w:w w:val="71"/>
              </w:rPr>
              <w:t>$</w:t>
            </w:r>
          </w:p>
        </w:tc>
        <w:tc>
          <w:tcPr>
            <w:tcW w:w="1460" w:type="dxa"/>
            <w:vAlign w:val="bottom"/>
          </w:tcPr>
          <w:p>
            <w:pPr>
              <w:jc w:val="right"/>
              <w:spacing w:after="0"/>
              <w:rPr>
                <w:sz w:val="20"/>
                <w:szCs w:val="20"/>
                <w:color w:val="auto"/>
              </w:rPr>
            </w:pPr>
            <w:r>
              <w:rPr>
                <w:rFonts w:ascii="Arial" w:cs="Arial" w:eastAsia="Arial" w:hAnsi="Arial"/>
                <w:sz w:val="11"/>
                <w:szCs w:val="11"/>
                <w:color w:val="auto"/>
              </w:rPr>
              <w:t>15,285</w:t>
            </w:r>
          </w:p>
        </w:tc>
        <w:tc>
          <w:tcPr>
            <w:tcW w:w="400" w:type="dxa"/>
            <w:vAlign w:val="bottom"/>
          </w:tcPr>
          <w:p>
            <w:pPr>
              <w:spacing w:after="0"/>
              <w:rPr>
                <w:sz w:val="12"/>
                <w:szCs w:val="12"/>
                <w:color w:val="auto"/>
              </w:rPr>
            </w:pPr>
          </w:p>
        </w:tc>
        <w:tc>
          <w:tcPr>
            <w:tcW w:w="600" w:type="dxa"/>
            <w:vAlign w:val="bottom"/>
          </w:tcPr>
          <w:p>
            <w:pPr>
              <w:jc w:val="right"/>
              <w:ind w:right="491"/>
              <w:spacing w:after="0"/>
              <w:rPr>
                <w:sz w:val="20"/>
                <w:szCs w:val="20"/>
                <w:color w:val="auto"/>
              </w:rPr>
            </w:pPr>
            <w:r>
              <w:rPr>
                <w:rFonts w:ascii="Arial" w:cs="Arial" w:eastAsia="Arial" w:hAnsi="Arial"/>
                <w:sz w:val="10"/>
                <w:szCs w:val="10"/>
                <w:color w:val="auto"/>
                <w:w w:val="71"/>
              </w:rPr>
              <w:t>$</w:t>
            </w:r>
          </w:p>
        </w:tc>
        <w:tc>
          <w:tcPr>
            <w:tcW w:w="1320" w:type="dxa"/>
            <w:vAlign w:val="bottom"/>
          </w:tcPr>
          <w:p>
            <w:pPr>
              <w:jc w:val="right"/>
              <w:spacing w:after="0"/>
              <w:rPr>
                <w:sz w:val="20"/>
                <w:szCs w:val="20"/>
                <w:color w:val="auto"/>
              </w:rPr>
            </w:pPr>
            <w:r>
              <w:rPr>
                <w:rFonts w:ascii="Arial" w:cs="Arial" w:eastAsia="Arial" w:hAnsi="Arial"/>
                <w:sz w:val="11"/>
                <w:szCs w:val="11"/>
                <w:color w:val="auto"/>
              </w:rPr>
              <w:t>5,752</w:t>
            </w:r>
          </w:p>
        </w:tc>
        <w:tc>
          <w:tcPr>
            <w:tcW w:w="220" w:type="dxa"/>
            <w:vAlign w:val="bottom"/>
          </w:tcPr>
          <w:p>
            <w:pPr>
              <w:spacing w:after="0"/>
              <w:rPr>
                <w:sz w:val="12"/>
                <w:szCs w:val="12"/>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5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260" w:type="dxa"/>
            <w:vAlign w:val="bottom"/>
            <w:gridSpan w:val="2"/>
            <w:shd w:val="clear" w:color="auto" w:fill="CFF0FC"/>
          </w:tcPr>
          <w:p>
            <w:pPr>
              <w:ind w:left="160"/>
              <w:spacing w:after="0"/>
              <w:rPr>
                <w:sz w:val="20"/>
                <w:szCs w:val="20"/>
                <w:color w:val="auto"/>
              </w:rPr>
            </w:pPr>
            <w:r>
              <w:rPr>
                <w:rFonts w:ascii="Arial" w:cs="Arial" w:eastAsia="Arial" w:hAnsi="Arial"/>
                <w:sz w:val="11"/>
                <w:szCs w:val="11"/>
                <w:color w:val="auto"/>
              </w:rPr>
              <w:t>Tenant capital improvements</w:t>
            </w:r>
          </w:p>
        </w:tc>
        <w:tc>
          <w:tcPr>
            <w:tcW w:w="460" w:type="dxa"/>
            <w:vAlign w:val="bottom"/>
            <w:shd w:val="clear" w:color="auto" w:fill="CFF0FC"/>
          </w:tcPr>
          <w:p>
            <w:pPr>
              <w:jc w:val="right"/>
              <w:ind w:right="351"/>
              <w:spacing w:after="0"/>
              <w:rPr>
                <w:sz w:val="20"/>
                <w:szCs w:val="20"/>
                <w:color w:val="auto"/>
              </w:rPr>
            </w:pPr>
            <w:r>
              <w:rPr>
                <w:rFonts w:ascii="Arial" w:cs="Arial" w:eastAsia="Arial" w:hAnsi="Arial"/>
                <w:sz w:val="10"/>
                <w:szCs w:val="10"/>
                <w:color w:val="auto"/>
                <w:w w:val="71"/>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227,969</w:t>
            </w:r>
          </w:p>
        </w:tc>
        <w:tc>
          <w:tcPr>
            <w:tcW w:w="400" w:type="dxa"/>
            <w:vAlign w:val="bottom"/>
            <w:shd w:val="clear" w:color="auto" w:fill="CFF0FC"/>
          </w:tcPr>
          <w:p>
            <w:pPr>
              <w:spacing w:after="0"/>
              <w:rPr>
                <w:sz w:val="12"/>
                <w:szCs w:val="12"/>
                <w:color w:val="auto"/>
              </w:rPr>
            </w:pPr>
          </w:p>
        </w:tc>
        <w:tc>
          <w:tcPr>
            <w:tcW w:w="600" w:type="dxa"/>
            <w:vAlign w:val="bottom"/>
            <w:shd w:val="clear" w:color="auto" w:fill="CFF0FC"/>
          </w:tcPr>
          <w:p>
            <w:pPr>
              <w:jc w:val="right"/>
              <w:ind w:right="491"/>
              <w:spacing w:after="0"/>
              <w:rPr>
                <w:sz w:val="20"/>
                <w:szCs w:val="20"/>
                <w:color w:val="auto"/>
              </w:rPr>
            </w:pPr>
            <w:r>
              <w:rPr>
                <w:rFonts w:ascii="Arial" w:cs="Arial" w:eastAsia="Arial" w:hAnsi="Arial"/>
                <w:sz w:val="10"/>
                <w:szCs w:val="10"/>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156,972</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jc w:val="right"/>
              <w:ind w:right="31"/>
              <w:spacing w:after="0"/>
              <w:rPr>
                <w:sz w:val="20"/>
                <w:szCs w:val="20"/>
                <w:color w:val="auto"/>
              </w:rPr>
            </w:pPr>
            <w:r>
              <w:rPr>
                <w:rFonts w:ascii="Arial" w:cs="Arial" w:eastAsia="Arial" w:hAnsi="Arial"/>
                <w:sz w:val="10"/>
                <w:szCs w:val="10"/>
                <w:color w:val="auto"/>
                <w:w w:val="71"/>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68,569</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260" w:type="dxa"/>
            <w:vAlign w:val="bottom"/>
            <w:gridSpan w:val="2"/>
          </w:tcPr>
          <w:p>
            <w:pPr>
              <w:ind w:left="160"/>
              <w:spacing w:after="0"/>
              <w:rPr>
                <w:sz w:val="20"/>
                <w:szCs w:val="20"/>
                <w:color w:val="auto"/>
              </w:rPr>
            </w:pPr>
            <w:r>
              <w:rPr>
                <w:rFonts w:ascii="Arial" w:cs="Arial" w:eastAsia="Arial" w:hAnsi="Arial"/>
                <w:sz w:val="11"/>
                <w:szCs w:val="11"/>
                <w:color w:val="auto"/>
              </w:rPr>
              <w:t>Acquisition of businesses through non-cash consideration</w:t>
            </w:r>
          </w:p>
        </w:tc>
        <w:tc>
          <w:tcPr>
            <w:tcW w:w="460" w:type="dxa"/>
            <w:vAlign w:val="bottom"/>
          </w:tcPr>
          <w:p>
            <w:pPr>
              <w:jc w:val="right"/>
              <w:ind w:right="351"/>
              <w:spacing w:after="0"/>
              <w:rPr>
                <w:sz w:val="20"/>
                <w:szCs w:val="20"/>
                <w:color w:val="auto"/>
              </w:rPr>
            </w:pPr>
            <w:r>
              <w:rPr>
                <w:rFonts w:ascii="Arial" w:cs="Arial" w:eastAsia="Arial" w:hAnsi="Arial"/>
                <w:sz w:val="10"/>
                <w:szCs w:val="10"/>
                <w:color w:val="auto"/>
                <w:w w:val="71"/>
              </w:rPr>
              <w:t>$</w:t>
            </w:r>
          </w:p>
        </w:tc>
        <w:tc>
          <w:tcPr>
            <w:tcW w:w="1460" w:type="dxa"/>
            <w:vAlign w:val="bottom"/>
          </w:tcPr>
          <w:p>
            <w:pPr>
              <w:jc w:val="right"/>
              <w:spacing w:after="0"/>
              <w:rPr>
                <w:sz w:val="20"/>
                <w:szCs w:val="20"/>
                <w:color w:val="auto"/>
              </w:rPr>
            </w:pPr>
            <w:r>
              <w:rPr>
                <w:rFonts w:ascii="Arial" w:cs="Arial" w:eastAsia="Arial" w:hAnsi="Arial"/>
                <w:sz w:val="11"/>
                <w:szCs w:val="11"/>
                <w:color w:val="auto"/>
              </w:rPr>
              <w:t>122,395</w:t>
            </w:r>
          </w:p>
        </w:tc>
        <w:tc>
          <w:tcPr>
            <w:tcW w:w="400" w:type="dxa"/>
            <w:vAlign w:val="bottom"/>
          </w:tcPr>
          <w:p>
            <w:pPr>
              <w:spacing w:after="0"/>
              <w:rPr>
                <w:sz w:val="12"/>
                <w:szCs w:val="12"/>
                <w:color w:val="auto"/>
              </w:rPr>
            </w:pPr>
          </w:p>
        </w:tc>
        <w:tc>
          <w:tcPr>
            <w:tcW w:w="600" w:type="dxa"/>
            <w:vAlign w:val="bottom"/>
          </w:tcPr>
          <w:p>
            <w:pPr>
              <w:jc w:val="right"/>
              <w:ind w:right="491"/>
              <w:spacing w:after="0"/>
              <w:rPr>
                <w:sz w:val="20"/>
                <w:szCs w:val="20"/>
                <w:color w:val="auto"/>
              </w:rPr>
            </w:pPr>
            <w:r>
              <w:rPr>
                <w:rFonts w:ascii="Arial" w:cs="Arial" w:eastAsia="Arial" w:hAnsi="Arial"/>
                <w:sz w:val="10"/>
                <w:szCs w:val="10"/>
                <w:color w:val="auto"/>
                <w:w w:val="71"/>
              </w:rPr>
              <w:t>$</w:t>
            </w:r>
          </w:p>
        </w:tc>
        <w:tc>
          <w:tcPr>
            <w:tcW w:w="1320" w:type="dxa"/>
            <w:vAlign w:val="bottom"/>
          </w:tcPr>
          <w:p>
            <w:pPr>
              <w:jc w:val="right"/>
              <w:spacing w:after="0"/>
              <w:rPr>
                <w:sz w:val="20"/>
                <w:szCs w:val="20"/>
                <w:color w:val="auto"/>
              </w:rPr>
            </w:pPr>
            <w:r>
              <w:rPr>
                <w:rFonts w:ascii="Arial" w:cs="Arial" w:eastAsia="Arial" w:hAnsi="Arial"/>
                <w:sz w:val="11"/>
                <w:szCs w:val="11"/>
                <w:color w:val="auto"/>
              </w:rPr>
              <w:t>259,996</w:t>
            </w:r>
          </w:p>
        </w:tc>
        <w:tc>
          <w:tcPr>
            <w:tcW w:w="220" w:type="dxa"/>
            <w:vAlign w:val="bottom"/>
          </w:tcPr>
          <w:p>
            <w:pPr>
              <w:spacing w:after="0"/>
              <w:rPr>
                <w:sz w:val="12"/>
                <w:szCs w:val="12"/>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5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260" w:type="dxa"/>
            <w:vAlign w:val="bottom"/>
            <w:gridSpan w:val="2"/>
            <w:shd w:val="clear" w:color="auto" w:fill="CFF0FC"/>
          </w:tcPr>
          <w:p>
            <w:pPr>
              <w:ind w:left="160"/>
              <w:spacing w:after="0"/>
              <w:rPr>
                <w:sz w:val="20"/>
                <w:szCs w:val="20"/>
                <w:color w:val="auto"/>
              </w:rPr>
            </w:pPr>
            <w:r>
              <w:rPr>
                <w:rFonts w:ascii="Arial" w:cs="Arial" w:eastAsia="Arial" w:hAnsi="Arial"/>
                <w:sz w:val="11"/>
                <w:szCs w:val="11"/>
                <w:color w:val="auto"/>
                <w:w w:val="99"/>
              </w:rPr>
              <w:t>Issuance of notes and other debt to Windstream Services, LLC, net of deferred financing costs ($34,681)</w:t>
            </w:r>
          </w:p>
        </w:tc>
        <w:tc>
          <w:tcPr>
            <w:tcW w:w="460" w:type="dxa"/>
            <w:vAlign w:val="bottom"/>
            <w:shd w:val="clear" w:color="auto" w:fill="CFF0FC"/>
          </w:tcPr>
          <w:p>
            <w:pPr>
              <w:jc w:val="right"/>
              <w:ind w:right="351"/>
              <w:spacing w:after="0"/>
              <w:rPr>
                <w:sz w:val="20"/>
                <w:szCs w:val="20"/>
                <w:color w:val="auto"/>
              </w:rPr>
            </w:pPr>
            <w:r>
              <w:rPr>
                <w:rFonts w:ascii="Arial" w:cs="Arial" w:eastAsia="Arial" w:hAnsi="Arial"/>
                <w:sz w:val="10"/>
                <w:szCs w:val="10"/>
                <w:color w:val="auto"/>
                <w:w w:val="71"/>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00" w:type="dxa"/>
            <w:vAlign w:val="bottom"/>
            <w:shd w:val="clear" w:color="auto" w:fill="CFF0FC"/>
          </w:tcPr>
          <w:p>
            <w:pPr>
              <w:spacing w:after="0"/>
              <w:rPr>
                <w:sz w:val="12"/>
                <w:szCs w:val="12"/>
                <w:color w:val="auto"/>
              </w:rPr>
            </w:pPr>
          </w:p>
        </w:tc>
        <w:tc>
          <w:tcPr>
            <w:tcW w:w="600" w:type="dxa"/>
            <w:vAlign w:val="bottom"/>
            <w:shd w:val="clear" w:color="auto" w:fill="CFF0FC"/>
          </w:tcPr>
          <w:p>
            <w:pPr>
              <w:jc w:val="right"/>
              <w:ind w:right="491"/>
              <w:spacing w:after="0"/>
              <w:rPr>
                <w:sz w:val="20"/>
                <w:szCs w:val="20"/>
                <w:color w:val="auto"/>
              </w:rPr>
            </w:pPr>
            <w:r>
              <w:rPr>
                <w:rFonts w:ascii="Arial" w:cs="Arial" w:eastAsia="Arial" w:hAnsi="Arial"/>
                <w:sz w:val="10"/>
                <w:szCs w:val="10"/>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jc w:val="right"/>
              <w:ind w:right="31"/>
              <w:spacing w:after="0"/>
              <w:rPr>
                <w:sz w:val="20"/>
                <w:szCs w:val="20"/>
                <w:color w:val="auto"/>
              </w:rPr>
            </w:pPr>
            <w:r>
              <w:rPr>
                <w:rFonts w:ascii="Arial" w:cs="Arial" w:eastAsia="Arial" w:hAnsi="Arial"/>
                <w:sz w:val="10"/>
                <w:szCs w:val="10"/>
                <w:color w:val="auto"/>
                <w:w w:val="71"/>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2,412,829</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56" w:name="page57"/>
    <w:bookmarkEnd w:id="56"/>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78" w:lineRule="exact"/>
        <w:rPr>
          <w:sz w:val="20"/>
          <w:szCs w:val="20"/>
          <w:color w:val="auto"/>
        </w:rPr>
      </w:pPr>
    </w:p>
    <w:p>
      <w:pPr>
        <w:jc w:val="right"/>
        <w:ind w:right="2399"/>
        <w:spacing w:after="0"/>
        <w:rPr>
          <w:sz w:val="20"/>
          <w:szCs w:val="20"/>
          <w:color w:val="auto"/>
        </w:rPr>
      </w:pPr>
      <w:r>
        <w:rPr>
          <w:rFonts w:ascii="Arial" w:cs="Arial" w:eastAsia="Arial" w:hAnsi="Arial"/>
          <w:sz w:val="12"/>
          <w:szCs w:val="12"/>
          <w:color w:val="auto"/>
        </w:rPr>
        <w:t>The accompanying notes are an integral part of these consolidated financial statements.</w:t>
      </w:r>
    </w:p>
    <w:p>
      <w:pPr>
        <w:spacing w:after="0" w:line="200" w:lineRule="exact"/>
        <w:rPr>
          <w:sz w:val="20"/>
          <w:szCs w:val="20"/>
          <w:color w:val="auto"/>
        </w:rPr>
      </w:pPr>
    </w:p>
    <w:p>
      <w:pPr>
        <w:spacing w:after="0" w:line="220" w:lineRule="exact"/>
        <w:rPr>
          <w:sz w:val="20"/>
          <w:szCs w:val="20"/>
          <w:color w:val="auto"/>
        </w:rPr>
      </w:pPr>
    </w:p>
    <w:p>
      <w:pPr>
        <w:ind w:left="5680"/>
        <w:spacing w:after="0"/>
        <w:rPr>
          <w:sz w:val="20"/>
          <w:szCs w:val="20"/>
          <w:color w:val="auto"/>
        </w:rPr>
      </w:pPr>
      <w:r>
        <w:rPr>
          <w:rFonts w:ascii="Arial" w:cs="Arial" w:eastAsia="Arial" w:hAnsi="Arial"/>
          <w:sz w:val="12"/>
          <w:szCs w:val="1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0239"/>
          </w:cols>
          <w:pgMar w:left="220" w:top="131" w:right="1440" w:bottom="1440" w:gutter="0" w:footer="0" w:header="0"/>
        </w:sectPr>
      </w:pPr>
    </w:p>
    <w:bookmarkStart w:id="57" w:name="page58"/>
    <w:bookmarkEnd w:id="57"/>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7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Uniti Group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the Consolidated Financial Statements</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 Organization and Description of Business</w:t>
      </w:r>
    </w:p>
    <w:p>
      <w:pPr>
        <w:spacing w:after="0" w:line="154" w:lineRule="exact"/>
        <w:rPr>
          <w:sz w:val="20"/>
          <w:szCs w:val="20"/>
          <w:color w:val="auto"/>
        </w:rPr>
      </w:pPr>
    </w:p>
    <w:p>
      <w:pPr>
        <w:ind w:right="60"/>
        <w:spacing w:after="0" w:line="259" w:lineRule="auto"/>
        <w:rPr>
          <w:sz w:val="20"/>
          <w:szCs w:val="20"/>
          <w:color w:val="auto"/>
        </w:rPr>
      </w:pPr>
      <w:r>
        <w:rPr>
          <w:rFonts w:ascii="Arial" w:cs="Arial" w:eastAsia="Arial" w:hAnsi="Arial"/>
          <w:sz w:val="12"/>
          <w:szCs w:val="12"/>
          <w:color w:val="auto"/>
        </w:rPr>
        <w:t>Uniti Group Inc. (the “Company,” “Uniti,” “we,” “us,” or “our”), formerly known as Communications Sales and Leasing, Inc., was incorporated in the state of Delaware in February 2014 and reorganized in the state of Maryland on September 4, 2014. We are an independent, internally managed real estate investment trust (“REIT”) engaged in the acquisition and construction of mission critical infrastructure in the communications industry. We are principally focused on acquiring and constructing fiber optic broadband networks, wireless communications towers, copper and coaxial broadband networks and data centers. We manage our operations in four separate lines of business: Uniti Fiber, Uniti Towers, Uniti Leasing, and the Consumer CLEC Business.</w:t>
      </w:r>
    </w:p>
    <w:p>
      <w:pPr>
        <w:spacing w:after="0" w:line="125" w:lineRule="exact"/>
        <w:rPr>
          <w:sz w:val="20"/>
          <w:szCs w:val="20"/>
          <w:color w:val="auto"/>
        </w:rPr>
      </w:pPr>
    </w:p>
    <w:p>
      <w:pPr>
        <w:spacing w:after="0" w:line="257" w:lineRule="auto"/>
        <w:rPr>
          <w:sz w:val="20"/>
          <w:szCs w:val="20"/>
          <w:color w:val="auto"/>
        </w:rPr>
      </w:pPr>
      <w:r>
        <w:rPr>
          <w:rFonts w:ascii="Arial" w:cs="Arial" w:eastAsia="Arial" w:hAnsi="Arial"/>
          <w:sz w:val="12"/>
          <w:szCs w:val="12"/>
          <w:color w:val="auto"/>
        </w:rPr>
        <w:t>The Company operates through a customary “up-REIT” structure, pursuant to which we hold substantially all of our assets through a partnership, Uniti Group LP, a Delaware limited partnership (the “Operating Partnership”), that we control as general partner, with the only significant difference between the financial position and results of operations of the Operating Partnership and its subsidiaries compared to the consolidated financial position and consolidated results of operations of Uniti is that the results for the Operating Partnership and its subsidiaries do not include Uniti’s Consumer CLEC segment, which consists of Talk America Services. The up-REIT structure is intended to facilitate future acquisition opportunities by providing the Company with the ability to use common units of the Operating Partnership as a tax-efficient acquisition currency. As of December 31, 2017, we are the sole general partner of the Operating Partnership and own approximately 97.7% of the partnership interests in the Operating Partnership.</w:t>
      </w:r>
    </w:p>
    <w:p>
      <w:pPr>
        <w:spacing w:after="0" w:line="11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2. Basis of Presentation and Consolidation</w:t>
      </w:r>
    </w:p>
    <w:p>
      <w:pPr>
        <w:spacing w:after="0" w:line="82" w:lineRule="exact"/>
        <w:rPr>
          <w:sz w:val="20"/>
          <w:szCs w:val="20"/>
          <w:color w:val="auto"/>
        </w:rPr>
      </w:pPr>
    </w:p>
    <w:p>
      <w:pPr>
        <w:ind w:right="360"/>
        <w:spacing w:after="0" w:line="263" w:lineRule="auto"/>
        <w:rPr>
          <w:sz w:val="20"/>
          <w:szCs w:val="20"/>
          <w:color w:val="auto"/>
        </w:rPr>
      </w:pPr>
      <w:r>
        <w:rPr>
          <w:rFonts w:ascii="Arial" w:cs="Arial" w:eastAsia="Arial" w:hAnsi="Arial"/>
          <w:sz w:val="12"/>
          <w:szCs w:val="12"/>
          <w:color w:val="auto"/>
        </w:rPr>
        <w:t>The accompanying Consolidated Financial Statements include all accounts of the Company, its wholly-owned and/or controlled subsidiaries, which consist of the Operating Partnership. Under the Accounting Standards Codification 810, Consolidation (“ASC 810”), the Operating Partnership is considered a variable interest entity and is consolidated in the Consolidated Financial Statements of Uniti Group Inc. as the Company has determined to be the primary beneficiary. All material intercompany balances and transactions have been eliminated.</w:t>
      </w:r>
    </w:p>
    <w:p>
      <w:pPr>
        <w:spacing w:after="0" w:line="51" w:lineRule="exact"/>
        <w:rPr>
          <w:sz w:val="20"/>
          <w:szCs w:val="20"/>
          <w:color w:val="auto"/>
        </w:rPr>
      </w:pPr>
    </w:p>
    <w:p>
      <w:pPr>
        <w:ind w:right="60"/>
        <w:spacing w:after="0" w:line="283" w:lineRule="auto"/>
        <w:rPr>
          <w:sz w:val="20"/>
          <w:szCs w:val="20"/>
          <w:color w:val="auto"/>
        </w:rPr>
      </w:pPr>
      <w:r>
        <w:rPr>
          <w:rFonts w:ascii="Arial" w:cs="Arial" w:eastAsia="Arial" w:hAnsi="Arial"/>
          <w:sz w:val="11"/>
          <w:szCs w:val="11"/>
          <w:color w:val="auto"/>
        </w:rPr>
        <w:t>ASC 810 provides guidance on the identification of entities for which control is achieved through means other than voting rights (“variable interest entities” or “VIEs”) and the determination of which business enterprise, if any, should consolidate the VIEs. Generally, the consideration of whether an entity is a VIE applies when either: (1) the equity investors (if any) lack (i) the ability to make decisions about the entity’s activities through voting or similar rights, (ii) the obligation to absorb the expected losses of the entity, or (iii) the right to receive the expected residual returns of the entity; (2) the equity investment at risk is insufficient to finance that entity’s activities without additional subordinated financial support; or (3) the equity investors have voting rights that are not proportionate to their economic interests and substantially all of the activities of the entity involve or are conducted on behalf of an investor with a disproportionately small voting interest. The Company consolidates VIEs in which it is considered to be the primary beneficiary. The primary beneficiary is defined by the entity having both of the following characteristics: (1) the power to direct the activities that, when taken together, most significantly impact the VIE’s performance; and (2) the obligation to absorb losses and right to receive the returns from the VIE that would be significant to the VIE.</w:t>
      </w:r>
    </w:p>
    <w:p>
      <w:pPr>
        <w:spacing w:after="0" w:line="42" w:lineRule="exact"/>
        <w:rPr>
          <w:sz w:val="20"/>
          <w:szCs w:val="20"/>
          <w:color w:val="auto"/>
        </w:rPr>
      </w:pPr>
    </w:p>
    <w:p>
      <w:pPr>
        <w:ind w:right="100"/>
        <w:spacing w:after="0" w:line="276" w:lineRule="auto"/>
        <w:rPr>
          <w:sz w:val="20"/>
          <w:szCs w:val="20"/>
          <w:color w:val="auto"/>
        </w:rPr>
      </w:pPr>
      <w:r>
        <w:rPr>
          <w:rFonts w:ascii="Arial" w:cs="Arial" w:eastAsia="Arial" w:hAnsi="Arial"/>
          <w:sz w:val="12"/>
          <w:szCs w:val="12"/>
          <w:color w:val="auto"/>
        </w:rPr>
        <w:t>The accompanying consolidated financial statements have been prepared in accordance with U.S. generally accepted accounting principles (“GAAP”) for financial information set forth in the Accounting Standards Codification (“ASC”), as published by the Financial Accounting Standards Board (“FASB”), and with the applicable rules and regulations of the Securities and Exchange Commission (“SEC”).</w:t>
      </w:r>
    </w:p>
    <w:p>
      <w:pPr>
        <w:spacing w:after="0" w:line="10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3. Summary of Significant Accounting Policies</w:t>
      </w:r>
    </w:p>
    <w:p>
      <w:pPr>
        <w:spacing w:after="0" w:line="82" w:lineRule="exact"/>
        <w:rPr>
          <w:sz w:val="20"/>
          <w:szCs w:val="20"/>
          <w:color w:val="auto"/>
        </w:rPr>
      </w:pPr>
    </w:p>
    <w:p>
      <w:pPr>
        <w:ind w:right="40"/>
        <w:spacing w:after="0" w:line="323" w:lineRule="auto"/>
        <w:rPr>
          <w:sz w:val="20"/>
          <w:szCs w:val="20"/>
          <w:color w:val="auto"/>
        </w:rPr>
      </w:pPr>
      <w:r>
        <w:rPr>
          <w:rFonts w:ascii="Arial" w:cs="Arial" w:eastAsia="Arial" w:hAnsi="Arial"/>
          <w:sz w:val="11"/>
          <w:szCs w:val="11"/>
          <w:u w:val="single" w:color="auto"/>
          <w:color w:val="auto"/>
        </w:rPr>
        <w:t>Use of Estimates</w:t>
      </w:r>
      <w:r>
        <w:rPr>
          <w:rFonts w:ascii="Arial" w:cs="Arial" w:eastAsia="Arial" w:hAnsi="Arial"/>
          <w:sz w:val="11"/>
          <w:szCs w:val="11"/>
          <w:color w:val="auto"/>
        </w:rPr>
        <w:t>—The preparation of financial statements, in accordance with GAAP, requires management to make estimates and assumptions that affect the reported amounts of assets, liabilities, revenues and expenses and disclosure of contingent assets and liabilities. The estimates and assumptions used in the accompanying financial statements are based upon management’s evaluation of the relevant facts and circumstances as of the date of the</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131" w:right="219" w:bottom="1440" w:gutter="0" w:footer="0" w:header="0"/>
        </w:sectPr>
      </w:pPr>
    </w:p>
    <w:bookmarkStart w:id="58" w:name="page59"/>
    <w:bookmarkEnd w:id="58"/>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2"/>
          <w:szCs w:val="12"/>
          <w:b w:val="1"/>
          <w:bCs w:val="1"/>
          <w:color w:val="auto"/>
        </w:rPr>
        <w:t>Uniti Group Inc.</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2"/>
          <w:szCs w:val="12"/>
          <w:b w:val="1"/>
          <w:bCs w:val="1"/>
          <w:color w:val="auto"/>
        </w:rPr>
        <w:t>Notes to the Consolidated Financial Statements – Continued</w:t>
      </w:r>
    </w:p>
    <w:p>
      <w:pPr>
        <w:spacing w:after="0" w:line="231" w:lineRule="exact"/>
        <w:rPr>
          <w:sz w:val="20"/>
          <w:szCs w:val="20"/>
          <w:color w:val="auto"/>
        </w:rPr>
      </w:pPr>
    </w:p>
    <w:p>
      <w:pPr>
        <w:spacing w:after="0"/>
        <w:rPr>
          <w:sz w:val="20"/>
          <w:szCs w:val="20"/>
          <w:color w:val="auto"/>
        </w:rPr>
      </w:pPr>
      <w:r>
        <w:rPr>
          <w:rFonts w:ascii="Arial" w:cs="Arial" w:eastAsia="Arial" w:hAnsi="Arial"/>
          <w:sz w:val="12"/>
          <w:szCs w:val="12"/>
          <w:color w:val="auto"/>
        </w:rPr>
        <w:t>financial statements. Actual results may differ from the estimates and assumptions used in preparing the accompanying financial statements, and such differences could be material.</w:t>
      </w:r>
    </w:p>
    <w:p>
      <w:pPr>
        <w:spacing w:after="0" w:line="150" w:lineRule="exact"/>
        <w:rPr>
          <w:sz w:val="20"/>
          <w:szCs w:val="20"/>
          <w:color w:val="auto"/>
        </w:rPr>
      </w:pPr>
    </w:p>
    <w:p>
      <w:pPr>
        <w:spacing w:after="0" w:line="259" w:lineRule="auto"/>
        <w:rPr>
          <w:sz w:val="20"/>
          <w:szCs w:val="20"/>
          <w:color w:val="auto"/>
        </w:rPr>
      </w:pPr>
      <w:r>
        <w:rPr>
          <w:rFonts w:ascii="Arial" w:cs="Arial" w:eastAsia="Arial" w:hAnsi="Arial"/>
          <w:sz w:val="12"/>
          <w:szCs w:val="12"/>
          <w:u w:val="single" w:color="auto"/>
          <w:color w:val="auto"/>
        </w:rPr>
        <w:t>Property, Plant and Equipment</w:t>
      </w:r>
      <w:r>
        <w:rPr>
          <w:rFonts w:ascii="Arial" w:cs="Arial" w:eastAsia="Arial" w:hAnsi="Arial"/>
          <w:sz w:val="12"/>
          <w:szCs w:val="12"/>
          <w:color w:val="auto"/>
        </w:rPr>
        <w:t>—Property, plant and equipment is stated at original cost, net of accumulated depreciation. The Company capitalizes costs incurred in bringing property, plant and equipment to an operational state, including all activities directly associated with the acquisition, construction, and installation of the related assets it owns. The Company capitalizes a portion of the interest costs it incurs for assets that require a period of time to get them ready for their intended use. The amount of interest that is capitalized is based on the average accumulated expenditures made during the period involved in bringing the assets comprising a network to an operational state at the Company’s weighted average interest rate during the respective accounting period.</w:t>
      </w:r>
    </w:p>
    <w:p>
      <w:pPr>
        <w:spacing w:after="0" w:line="125" w:lineRule="exact"/>
        <w:rPr>
          <w:sz w:val="20"/>
          <w:szCs w:val="20"/>
          <w:color w:val="auto"/>
        </w:rPr>
      </w:pPr>
    </w:p>
    <w:p>
      <w:pPr>
        <w:jc w:val="both"/>
        <w:ind w:right="80"/>
        <w:spacing w:after="0" w:line="147" w:lineRule="exact"/>
        <w:rPr>
          <w:sz w:val="20"/>
          <w:szCs w:val="20"/>
          <w:color w:val="auto"/>
        </w:rPr>
      </w:pPr>
      <w:r>
        <w:rPr>
          <w:rFonts w:ascii="Arial" w:cs="Arial" w:eastAsia="Arial" w:hAnsi="Arial"/>
          <w:sz w:val="12"/>
          <w:szCs w:val="12"/>
          <w:color w:val="auto"/>
        </w:rPr>
        <w:t>The Company also enters into leasing arrangements providing for the long</w:t>
      </w:r>
      <w:r>
        <w:rPr>
          <w:rFonts w:ascii="MS PGothic" w:cs="MS PGothic" w:eastAsia="MS PGothic" w:hAnsi="MS PGothic"/>
          <w:sz w:val="12"/>
          <w:szCs w:val="12"/>
          <w:color w:val="auto"/>
        </w:rPr>
        <w:t>‑</w:t>
      </w:r>
      <w:r>
        <w:rPr>
          <w:rFonts w:ascii="Arial" w:cs="Arial" w:eastAsia="Arial" w:hAnsi="Arial"/>
          <w:sz w:val="12"/>
          <w:szCs w:val="12"/>
          <w:color w:val="auto"/>
        </w:rPr>
        <w:t>term use of constructed fiber that is then integrated into the Company’s network infrastructure. For each lease that qualifies as a capital lease, the present value of the lease payments, which may include both periodic lease payments over the term of the lease as well as upfront payments to the lessor, is capitalized at the inception of the lease and included in property and equipment. As of December 31, 2017 and 2016, the accumulated amortization of our capital lease assets was $10.1 million and $3.2 million, respectively.</w:t>
      </w:r>
    </w:p>
    <w:p>
      <w:pPr>
        <w:spacing w:after="0" w:line="101" w:lineRule="exact"/>
        <w:rPr>
          <w:sz w:val="20"/>
          <w:szCs w:val="20"/>
          <w:color w:val="auto"/>
        </w:rPr>
      </w:pPr>
    </w:p>
    <w:p>
      <w:pPr>
        <w:ind w:right="60"/>
        <w:spacing w:after="0" w:line="294" w:lineRule="auto"/>
        <w:rPr>
          <w:sz w:val="20"/>
          <w:szCs w:val="20"/>
          <w:color w:val="auto"/>
        </w:rPr>
      </w:pPr>
      <w:r>
        <w:rPr>
          <w:rFonts w:ascii="Arial" w:cs="Arial" w:eastAsia="Arial" w:hAnsi="Arial"/>
          <w:sz w:val="11"/>
          <w:szCs w:val="11"/>
          <w:color w:val="auto"/>
        </w:rPr>
        <w:t>Certain property, plant and equipment acquired as part of our spin-off from Windstream Holdings, Inc (“Windstream Holdings” and together with its consolidated subsidiaries “Windstream”) is depreciated using a group composite depreciation method. Under this method, when property is retired, the original cost, net of salvage value, is charged against accumulated depreciation and no immediate gain or loss is recognized on the disposition of the property. For all other property, which includes amortization of capital lease assets, depreciation is computed using the straight-line method over the estimated useful life of the respective property. When the property is retired or otherwise disposed of, the related cost and accumulated depreciation are written-off, with the corresponding gain or loss reflected in operating results. Construction in progress includes direct materials and labor related to fixed assets during the construction period. Depreciation will begin once the construction period has ceased and the related asset has been placed into service, in which it will be depreciated over its useful life.</w:t>
      </w:r>
    </w:p>
    <w:p>
      <w:pPr>
        <w:spacing w:after="0" w:line="72" w:lineRule="exact"/>
        <w:rPr>
          <w:sz w:val="20"/>
          <w:szCs w:val="20"/>
          <w:color w:val="auto"/>
        </w:rPr>
      </w:pPr>
    </w:p>
    <w:p>
      <w:pPr>
        <w:ind w:right="300"/>
        <w:spacing w:after="0" w:line="276" w:lineRule="auto"/>
        <w:rPr>
          <w:sz w:val="20"/>
          <w:szCs w:val="20"/>
          <w:color w:val="auto"/>
        </w:rPr>
      </w:pPr>
      <w:r>
        <w:rPr>
          <w:rFonts w:ascii="Arial" w:cs="Arial" w:eastAsia="Arial" w:hAnsi="Arial"/>
          <w:sz w:val="12"/>
          <w:szCs w:val="12"/>
          <w:color w:val="auto"/>
        </w:rPr>
        <w:t>Costs of maintenance and repairs to property, plant and equipment subject triple-net leasing arrangements are the responsibility of our tenant. Costs of maintenance and repairs to property, plant and equipment not subject to triple-net leasing arrangements are expensed as incurred.</w:t>
      </w:r>
    </w:p>
    <w:p>
      <w:pPr>
        <w:spacing w:after="0" w:line="79" w:lineRule="exact"/>
        <w:rPr>
          <w:sz w:val="20"/>
          <w:szCs w:val="20"/>
          <w:color w:val="auto"/>
        </w:rPr>
      </w:pPr>
    </w:p>
    <w:p>
      <w:pPr>
        <w:jc w:val="both"/>
        <w:ind w:right="380"/>
        <w:spacing w:after="0" w:line="263" w:lineRule="auto"/>
        <w:rPr>
          <w:sz w:val="20"/>
          <w:szCs w:val="20"/>
          <w:color w:val="auto"/>
        </w:rPr>
      </w:pPr>
      <w:r>
        <w:rPr>
          <w:rFonts w:ascii="Arial" w:cs="Arial" w:eastAsia="Arial" w:hAnsi="Arial"/>
          <w:sz w:val="12"/>
          <w:szCs w:val="12"/>
          <w:color w:val="auto"/>
        </w:rPr>
        <w:t>We acquire real property interests from third parties who own land where communications infrastructure assets are located and desire to monetize the underlying real property. These real property interests entitle us to receive rental payments from leases on our sites. The financial results of the acquired real property interests are included in the Leasing segment from the date of acquisition and were not material, individually or in the aggregate, to our results of operations. Real property interests are recorded in property, plant and equipment on our Consolidated Balance Sheet.</w:t>
      </w:r>
    </w:p>
    <w:p>
      <w:pPr>
        <w:spacing w:after="0" w:line="123" w:lineRule="exact"/>
        <w:rPr>
          <w:sz w:val="20"/>
          <w:szCs w:val="20"/>
          <w:color w:val="auto"/>
        </w:rPr>
      </w:pPr>
    </w:p>
    <w:p>
      <w:pPr>
        <w:ind w:right="60"/>
        <w:spacing w:after="0" w:line="283" w:lineRule="auto"/>
        <w:rPr>
          <w:sz w:val="20"/>
          <w:szCs w:val="20"/>
          <w:color w:val="auto"/>
        </w:rPr>
      </w:pPr>
      <w:r>
        <w:rPr>
          <w:rFonts w:ascii="Arial" w:cs="Arial" w:eastAsia="Arial" w:hAnsi="Arial"/>
          <w:sz w:val="11"/>
          <w:szCs w:val="11"/>
          <w:u w:val="single" w:color="auto"/>
          <w:color w:val="auto"/>
        </w:rPr>
        <w:t>Tenant Capital Improvements</w:t>
      </w:r>
      <w:r>
        <w:rPr>
          <w:rFonts w:ascii="Arial" w:cs="Arial" w:eastAsia="Arial" w:hAnsi="Arial"/>
          <w:sz w:val="11"/>
          <w:szCs w:val="11"/>
          <w:color w:val="auto"/>
        </w:rPr>
        <w:t>—Our lease with Windstream provides that tenant funded capital improvements (“TCIs”), defined as maintenance, repair, overbuild, upgrade or replacements to the leased network, including, without limitation, the replacement of copper distribution systems with fiber distribution systems, automatically become property of Uniti upon their construction by Windstream. We receive non-monetary consideration related to the TCIs as they automatically become our property, and we recognize the cost basis of TCIs that are capital in nature as real estate investments and deferred revenue. We depreciate the real estate investments over their estimated useful lives and amortize the deferred revenue as additional leasing revenues over the same depreciable life of the TCI assets. At December 31, 2017 and 2016, the net book value of TCIs recorded as a component of property, plant and equipment on our Consolidated Balance Sheet was $432.4 million and $218.7 million, respectively. For the years ended December 31, 2017 and 2016, we recognized $14.3 million and $6.1 million of revenue and depreciation expense related to TCIs, respectively. From the period April 24, 2015 to December 31, 2015 we recognized $0.8 million of revenue and depreciation expense related to TCIs.</w:t>
      </w:r>
    </w:p>
    <w:p>
      <w:pPr>
        <w:spacing w:after="0" w:line="114" w:lineRule="exact"/>
        <w:rPr>
          <w:sz w:val="20"/>
          <w:szCs w:val="20"/>
          <w:color w:val="auto"/>
        </w:rPr>
      </w:pPr>
    </w:p>
    <w:p>
      <w:pPr>
        <w:jc w:val="center"/>
        <w:ind w:right="480"/>
        <w:spacing w:after="0"/>
        <w:rPr>
          <w:sz w:val="20"/>
          <w:szCs w:val="20"/>
          <w:color w:val="auto"/>
        </w:rPr>
      </w:pPr>
      <w:r>
        <w:rPr>
          <w:rFonts w:ascii="Arial" w:cs="Arial" w:eastAsia="Arial" w:hAnsi="Arial"/>
          <w:sz w:val="10"/>
          <w:szCs w:val="10"/>
          <w:u w:val="single" w:color="auto"/>
          <w:color w:val="auto"/>
        </w:rPr>
        <w:t>Impairment of Long-Lived Assets</w:t>
      </w:r>
      <w:r>
        <w:rPr>
          <w:rFonts w:ascii="Arial" w:cs="Arial" w:eastAsia="Arial" w:hAnsi="Arial"/>
          <w:sz w:val="10"/>
          <w:szCs w:val="10"/>
          <w:color w:val="auto"/>
        </w:rPr>
        <w:t>—We review long-lived assets for impairment whenever events or changes in circumstances indicate that the carrying amount of the asset group may not be recoverable from future undiscounted</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40"/>
          </w:cols>
          <w:pgMar w:left="220" w:top="131" w:right="239" w:bottom="1440" w:gutter="0" w:footer="0" w:header="0"/>
        </w:sectPr>
      </w:pPr>
    </w:p>
    <w:bookmarkStart w:id="59" w:name="page60"/>
    <w:bookmarkEnd w:id="59"/>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Uniti Group Inc.</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the Consolidated Financial Statements – Continued</w:t>
      </w:r>
    </w:p>
    <w:p>
      <w:pPr>
        <w:spacing w:after="0" w:line="303" w:lineRule="exact"/>
        <w:rPr>
          <w:sz w:val="20"/>
          <w:szCs w:val="20"/>
          <w:color w:val="auto"/>
        </w:rPr>
      </w:pPr>
    </w:p>
    <w:p>
      <w:pPr>
        <w:jc w:val="both"/>
        <w:ind w:right="40"/>
        <w:spacing w:after="0" w:line="298" w:lineRule="auto"/>
        <w:rPr>
          <w:sz w:val="20"/>
          <w:szCs w:val="20"/>
          <w:color w:val="auto"/>
        </w:rPr>
      </w:pPr>
      <w:r>
        <w:rPr>
          <w:rFonts w:ascii="Arial" w:cs="Arial" w:eastAsia="Arial" w:hAnsi="Arial"/>
          <w:sz w:val="11"/>
          <w:szCs w:val="11"/>
          <w:color w:val="auto"/>
        </w:rPr>
        <w:t>net cash flows we expect the asset group to generate. If the asset group is not fully recoverable, an impairment loss would be recognized for the difference between the carrying value of the asset group and its estimated fair value based on discounted net future cash flows. During the years ended December 31, 2017, 2016 and from the period April 24, 2015 to December 31, 2015, there were no events or changes in circumstances indicating that the carrying amount of any of our assets groups to not be recoverable from future undiscounted net cash flows we expect the asset groups to generate, and no impairment losses were recognized.</w:t>
      </w:r>
    </w:p>
    <w:p>
      <w:pPr>
        <w:spacing w:after="0" w:line="33" w:lineRule="exact"/>
        <w:rPr>
          <w:sz w:val="20"/>
          <w:szCs w:val="20"/>
          <w:color w:val="auto"/>
        </w:rPr>
      </w:pPr>
    </w:p>
    <w:p>
      <w:pPr>
        <w:spacing w:after="0" w:line="146" w:lineRule="exact"/>
        <w:rPr>
          <w:sz w:val="20"/>
          <w:szCs w:val="20"/>
          <w:color w:val="auto"/>
        </w:rPr>
      </w:pPr>
      <w:r>
        <w:rPr>
          <w:rFonts w:ascii="Arial" w:cs="Arial" w:eastAsia="Arial" w:hAnsi="Arial"/>
          <w:sz w:val="10"/>
          <w:szCs w:val="10"/>
          <w:u w:val="single" w:color="auto"/>
          <w:color w:val="auto"/>
        </w:rPr>
        <w:t>Asset Retirement Obligations</w:t>
      </w:r>
      <w:r>
        <w:rPr>
          <w:rFonts w:ascii="Arial" w:cs="Arial" w:eastAsia="Arial" w:hAnsi="Arial"/>
          <w:sz w:val="10"/>
          <w:szCs w:val="10"/>
          <w:color w:val="auto"/>
        </w:rPr>
        <w:t>—The Company records obligations to perform asset retirement activities, primarily including requirements to remove equipment from leased space or customer sites as required under the terms of the related lease and customer agreements. The fair value of the liability for asset retirement obligations, which represents the net present value of the estimated expected future cash outlay, is recognized in the period in which it is incurred and the fair value of the liability can reasonably be estimated. The liability accretes as a result of the passage of time and related accretion expense is recognized in the Consolidated Statements of Income. The associated asset retirement costs are capitalized as an additional carrying amount of the related long</w:t>
      </w:r>
      <w:r>
        <w:rPr>
          <w:rFonts w:ascii="MS PGothic" w:cs="MS PGothic" w:eastAsia="MS PGothic" w:hAnsi="MS PGothic"/>
          <w:sz w:val="10"/>
          <w:szCs w:val="10"/>
          <w:color w:val="auto"/>
        </w:rPr>
        <w:t>‑</w:t>
      </w:r>
      <w:r>
        <w:rPr>
          <w:rFonts w:ascii="Arial" w:cs="Arial" w:eastAsia="Arial" w:hAnsi="Arial"/>
          <w:sz w:val="10"/>
          <w:szCs w:val="10"/>
          <w:color w:val="auto"/>
        </w:rPr>
        <w:t>lived asset and depreciated on a straight-line basis over the asset’s useful life. As of December 31, 2017 and 2016, our aggregate carrying amount of asset retirement obligations totaled $9.4 million and $4.2 million, respectively. During the year ended December 31, 2017, we incurred liabilities of $4.4 million and recognized $0.8 million of accretion expense related to asset retirement obligations.</w:t>
      </w:r>
    </w:p>
    <w:p>
      <w:pPr>
        <w:spacing w:after="0" w:line="136" w:lineRule="exact"/>
        <w:rPr>
          <w:sz w:val="20"/>
          <w:szCs w:val="20"/>
          <w:color w:val="auto"/>
        </w:rPr>
      </w:pPr>
    </w:p>
    <w:p>
      <w:pPr>
        <w:spacing w:after="0"/>
        <w:rPr>
          <w:sz w:val="20"/>
          <w:szCs w:val="20"/>
          <w:color w:val="auto"/>
        </w:rPr>
      </w:pPr>
      <w:r>
        <w:rPr>
          <w:rFonts w:ascii="Arial" w:cs="Arial" w:eastAsia="Arial" w:hAnsi="Arial"/>
          <w:sz w:val="11"/>
          <w:szCs w:val="11"/>
          <w:u w:val="single" w:color="auto"/>
          <w:color w:val="auto"/>
        </w:rPr>
        <w:t>Cash and Cash Equivalents</w:t>
      </w:r>
      <w:r>
        <w:rPr>
          <w:rFonts w:ascii="Arial" w:cs="Arial" w:eastAsia="Arial" w:hAnsi="Arial"/>
          <w:sz w:val="11"/>
          <w:szCs w:val="11"/>
          <w:color w:val="auto"/>
        </w:rPr>
        <w:t>—Cash and cash equivalents include all non-restricted cash held at financial institutions and other non-restricted highly liquid short-term investments with original maturities of three months or less.</w:t>
      </w:r>
    </w:p>
    <w:p>
      <w:pPr>
        <w:spacing w:after="0" w:line="162" w:lineRule="exact"/>
        <w:rPr>
          <w:sz w:val="20"/>
          <w:szCs w:val="20"/>
          <w:color w:val="auto"/>
        </w:rPr>
      </w:pPr>
    </w:p>
    <w:p>
      <w:pPr>
        <w:ind w:right="100"/>
        <w:spacing w:after="0" w:line="259" w:lineRule="auto"/>
        <w:rPr>
          <w:sz w:val="20"/>
          <w:szCs w:val="20"/>
          <w:color w:val="auto"/>
        </w:rPr>
      </w:pPr>
      <w:r>
        <w:rPr>
          <w:rFonts w:ascii="Arial" w:cs="Arial" w:eastAsia="Arial" w:hAnsi="Arial"/>
          <w:sz w:val="12"/>
          <w:szCs w:val="12"/>
          <w:u w:val="single" w:color="auto"/>
          <w:color w:val="auto"/>
        </w:rPr>
        <w:t>Derivative Instruments and Hedging Activities</w:t>
      </w:r>
      <w:r>
        <w:rPr>
          <w:rFonts w:ascii="Arial" w:cs="Arial" w:eastAsia="Arial" w:hAnsi="Arial"/>
          <w:sz w:val="12"/>
          <w:szCs w:val="12"/>
          <w:color w:val="auto"/>
        </w:rPr>
        <w:t xml:space="preserve">—We account for our derivatives in accordance with FASB ASC 815, </w:t>
      </w:r>
      <w:r>
        <w:rPr>
          <w:rFonts w:ascii="Arial" w:cs="Arial" w:eastAsia="Arial" w:hAnsi="Arial"/>
          <w:sz w:val="12"/>
          <w:szCs w:val="12"/>
          <w:i w:val="1"/>
          <w:iCs w:val="1"/>
          <w:color w:val="auto"/>
        </w:rPr>
        <w:t>Derivatives and Hedging</w:t>
      </w:r>
      <w:r>
        <w:rPr>
          <w:rFonts w:ascii="Arial" w:cs="Arial" w:eastAsia="Arial" w:hAnsi="Arial"/>
          <w:sz w:val="12"/>
          <w:szCs w:val="12"/>
          <w:color w:val="auto"/>
        </w:rPr>
        <w:t>, in which we reflect all derivative instruments at fair value as either assets or liabilities on our Consolidated Balance Sheet. For derivative instruments that are designated and qualify as hedging instruments, we record the effective portion of the gain or loss on the hedged instruments as a component of accumulated other comprehensive income or loss. Any ineffective portion of a derivative’s change in fair value is immediately recognized within net income. For derivatives that do not meet the criteria for hedge accounting, changes in fair value are immediately recognized within net income. See Note 5 and Note 7.</w:t>
      </w:r>
    </w:p>
    <w:p>
      <w:pPr>
        <w:spacing w:after="0" w:line="125" w:lineRule="exact"/>
        <w:rPr>
          <w:sz w:val="20"/>
          <w:szCs w:val="20"/>
          <w:color w:val="auto"/>
        </w:rPr>
      </w:pPr>
    </w:p>
    <w:p>
      <w:pPr>
        <w:jc w:val="both"/>
        <w:ind w:right="160"/>
        <w:spacing w:after="0" w:line="263" w:lineRule="auto"/>
        <w:rPr>
          <w:sz w:val="20"/>
          <w:szCs w:val="20"/>
          <w:color w:val="auto"/>
        </w:rPr>
      </w:pPr>
      <w:r>
        <w:rPr>
          <w:rFonts w:ascii="Arial" w:cs="Arial" w:eastAsia="Arial" w:hAnsi="Arial"/>
          <w:sz w:val="12"/>
          <w:szCs w:val="12"/>
          <w:u w:val="single" w:color="auto"/>
          <w:color w:val="auto"/>
        </w:rPr>
        <w:t>Intangible Assets</w:t>
      </w:r>
      <w:r>
        <w:rPr>
          <w:rFonts w:ascii="Arial" w:cs="Arial" w:eastAsia="Arial" w:hAnsi="Arial"/>
          <w:sz w:val="12"/>
          <w:szCs w:val="12"/>
          <w:color w:val="auto"/>
        </w:rPr>
        <w:t>—Intangible assets are presented in the financial statements at cost less accumulated amortization and are amortized using the straight-line method over their estimated useful lives with the exception of the customer list intangible assets related to our Consumer CLEC Business, which were brought over at carry-over basis at the time of the Company’s spin-off from Windstream in 2015, and are amortized using the sum-of-the-years’-digits method over their estimated useful lives.</w:t>
      </w:r>
    </w:p>
    <w:p>
      <w:pPr>
        <w:spacing w:after="0" w:line="87" w:lineRule="exact"/>
        <w:rPr>
          <w:sz w:val="20"/>
          <w:szCs w:val="20"/>
          <w:color w:val="auto"/>
        </w:rPr>
      </w:pPr>
    </w:p>
    <w:p>
      <w:pPr>
        <w:ind w:right="180"/>
        <w:spacing w:after="0" w:line="263" w:lineRule="auto"/>
        <w:rPr>
          <w:sz w:val="20"/>
          <w:szCs w:val="20"/>
          <w:color w:val="auto"/>
        </w:rPr>
      </w:pPr>
      <w:r>
        <w:rPr>
          <w:rFonts w:ascii="Arial" w:cs="Arial" w:eastAsia="Arial" w:hAnsi="Arial"/>
          <w:sz w:val="12"/>
          <w:szCs w:val="12"/>
          <w:u w:val="single" w:color="auto"/>
          <w:color w:val="auto"/>
        </w:rPr>
        <w:t>Foreign Currency Translation</w:t>
      </w:r>
      <w:r>
        <w:rPr>
          <w:rFonts w:ascii="Arial" w:cs="Arial" w:eastAsia="Arial" w:hAnsi="Arial"/>
          <w:sz w:val="12"/>
          <w:szCs w:val="12"/>
          <w:color w:val="auto"/>
        </w:rPr>
        <w:t>—The financial statements of our international subsidiaries whose functional currency is the local currency, and includes the Mexican Peso and Colombian Peso, are translated into U.S. dollars using the exchange rate at the balance sheet date for assets and liabilities and the weighted average exchange rate for the applicable period for revenues, expenses, gains and losses. Translation adjustments are recorded as a separate component of comprehensive income in stockholders’ equity.</w:t>
      </w:r>
    </w:p>
    <w:p>
      <w:pPr>
        <w:spacing w:after="0" w:line="123" w:lineRule="exact"/>
        <w:rPr>
          <w:sz w:val="20"/>
          <w:szCs w:val="20"/>
          <w:color w:val="auto"/>
        </w:rPr>
      </w:pPr>
    </w:p>
    <w:p>
      <w:pPr>
        <w:ind w:right="160"/>
        <w:spacing w:after="0" w:line="276" w:lineRule="auto"/>
        <w:rPr>
          <w:sz w:val="20"/>
          <w:szCs w:val="20"/>
          <w:color w:val="auto"/>
        </w:rPr>
      </w:pPr>
      <w:r>
        <w:rPr>
          <w:rFonts w:ascii="Arial" w:cs="Arial" w:eastAsia="Arial" w:hAnsi="Arial"/>
          <w:sz w:val="12"/>
          <w:szCs w:val="12"/>
          <w:u w:val="single" w:color="auto"/>
          <w:color w:val="auto"/>
        </w:rPr>
        <w:t>Reclassifications</w:t>
      </w:r>
      <w:r>
        <w:rPr>
          <w:rFonts w:ascii="Arial" w:cs="Arial" w:eastAsia="Arial" w:hAnsi="Arial"/>
          <w:sz w:val="12"/>
          <w:szCs w:val="12"/>
          <w:color w:val="auto"/>
        </w:rPr>
        <w:t>—Certain prior year amounts have been reclassified to conform with current year presentation. During 2017, we managed and reported our operations in four reportable business segments: Leasing, Fiber Infrastructure, Towers and Consumer CLEC. Prior year information, including revenues on the Consolidated Statement of Income, has been recast to conform to the current year presentation.</w:t>
      </w:r>
    </w:p>
    <w:p>
      <w:pPr>
        <w:spacing w:after="0" w:line="115" w:lineRule="exact"/>
        <w:rPr>
          <w:sz w:val="20"/>
          <w:szCs w:val="20"/>
          <w:color w:val="auto"/>
        </w:rPr>
      </w:pPr>
    </w:p>
    <w:p>
      <w:pPr>
        <w:ind w:right="120"/>
        <w:spacing w:after="0" w:line="340" w:lineRule="auto"/>
        <w:rPr>
          <w:sz w:val="20"/>
          <w:szCs w:val="20"/>
          <w:color w:val="auto"/>
        </w:rPr>
      </w:pPr>
      <w:r>
        <w:rPr>
          <w:rFonts w:ascii="Arial" w:cs="Arial" w:eastAsia="Arial" w:hAnsi="Arial"/>
          <w:sz w:val="10"/>
          <w:szCs w:val="10"/>
          <w:u w:val="single" w:color="auto"/>
          <w:color w:val="auto"/>
        </w:rPr>
        <w:t>Transaction Related Costs</w:t>
      </w:r>
      <w:r>
        <w:rPr>
          <w:rFonts w:ascii="Arial" w:cs="Arial" w:eastAsia="Arial" w:hAnsi="Arial"/>
          <w:sz w:val="10"/>
          <w:szCs w:val="10"/>
          <w:color w:val="auto"/>
        </w:rPr>
        <w:t>—The Company expenses transaction related costs in the period in which they are incurred and services are received. Transaction related costs include incremental acquisition pursuit, transaction and integration costs, including unsuccessful acquisition pursuit costs. Pursuit and transaction costs include professional services (legal, accounting, advisory, regulatory, etc.), finder’s fees, travel expenses, and other direct expenses associated with an acquisition. Integration costs include direct costs necessary to integrate an acquired business, including professional services, systems and data conversion, severance and retention bonuses payable to employees of an acquired business.</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131" w:right="219" w:bottom="1440" w:gutter="0" w:footer="0" w:header="0"/>
        </w:sectPr>
      </w:pPr>
    </w:p>
    <w:bookmarkStart w:id="60" w:name="page61"/>
    <w:bookmarkEnd w:id="60"/>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Uniti Group Inc.</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Notes to the Consolidated Financial Statements – Continued</w:t>
      </w:r>
    </w:p>
    <w:p>
      <w:pPr>
        <w:spacing w:after="0" w:line="303" w:lineRule="exact"/>
        <w:rPr>
          <w:sz w:val="20"/>
          <w:szCs w:val="20"/>
          <w:color w:val="auto"/>
        </w:rPr>
      </w:pPr>
    </w:p>
    <w:p>
      <w:pPr>
        <w:ind w:right="460"/>
        <w:spacing w:after="0" w:line="276" w:lineRule="auto"/>
        <w:rPr>
          <w:sz w:val="20"/>
          <w:szCs w:val="20"/>
          <w:color w:val="auto"/>
        </w:rPr>
      </w:pPr>
      <w:r>
        <w:rPr>
          <w:rFonts w:ascii="Arial" w:cs="Arial" w:eastAsia="Arial" w:hAnsi="Arial"/>
          <w:sz w:val="12"/>
          <w:szCs w:val="12"/>
          <w:u w:val="single" w:color="auto"/>
          <w:color w:val="auto"/>
        </w:rPr>
        <w:t>Debt Issuance Costs</w:t>
      </w:r>
      <w:r>
        <w:rPr>
          <w:rFonts w:ascii="Arial" w:cs="Arial" w:eastAsia="Arial" w:hAnsi="Arial"/>
          <w:sz w:val="12"/>
          <w:szCs w:val="12"/>
          <w:color w:val="auto"/>
        </w:rPr>
        <w:t>—The Company recognizes debt issuance costs related to a recognized debt liability as a direct deduction from the carrying amount of the debt liability, consistent with debt discounts. The costs, which include underwriting, legal, and other direct costs related to the issuance of debt, are amortized over the contractual term of the debt using the effective interest method.</w:t>
      </w:r>
    </w:p>
    <w:p>
      <w:pPr>
        <w:spacing w:after="0" w:line="115" w:lineRule="exact"/>
        <w:rPr>
          <w:sz w:val="20"/>
          <w:szCs w:val="20"/>
          <w:color w:val="auto"/>
        </w:rPr>
      </w:pPr>
    </w:p>
    <w:p>
      <w:pPr>
        <w:ind w:right="220"/>
        <w:spacing w:after="0" w:line="276" w:lineRule="auto"/>
        <w:rPr>
          <w:sz w:val="20"/>
          <w:szCs w:val="20"/>
          <w:color w:val="auto"/>
        </w:rPr>
      </w:pPr>
      <w:r>
        <w:rPr>
          <w:rFonts w:ascii="Arial" w:cs="Arial" w:eastAsia="Arial" w:hAnsi="Arial"/>
          <w:sz w:val="12"/>
          <w:szCs w:val="12"/>
          <w:u w:val="single" w:color="auto"/>
          <w:color w:val="auto"/>
        </w:rPr>
        <w:t>Revenue Recognition</w:t>
      </w:r>
      <w:r>
        <w:rPr>
          <w:rFonts w:ascii="Arial" w:cs="Arial" w:eastAsia="Arial" w:hAnsi="Arial"/>
          <w:sz w:val="12"/>
          <w:szCs w:val="12"/>
          <w:color w:val="auto"/>
        </w:rPr>
        <w:t>—We recognize leasing revenues on a straight-line basis over the applicable lease term when collectability is reasonably assured. Recognizing leasing income on a straight-line basis generally results in recognized revenues during the first half of the lease term in excess of cash amounts contractually due from our tenants, creating a straight-line rent receivable.</w:t>
      </w:r>
    </w:p>
    <w:p>
      <w:pPr>
        <w:spacing w:after="0" w:line="115" w:lineRule="exact"/>
        <w:rPr>
          <w:sz w:val="20"/>
          <w:szCs w:val="20"/>
          <w:color w:val="auto"/>
        </w:rPr>
      </w:pPr>
    </w:p>
    <w:p>
      <w:pPr>
        <w:ind w:right="60"/>
        <w:spacing w:after="0" w:line="276" w:lineRule="auto"/>
        <w:rPr>
          <w:sz w:val="20"/>
          <w:szCs w:val="20"/>
          <w:color w:val="auto"/>
        </w:rPr>
      </w:pPr>
      <w:r>
        <w:rPr>
          <w:rFonts w:ascii="Arial" w:cs="Arial" w:eastAsia="Arial" w:hAnsi="Arial"/>
          <w:sz w:val="12"/>
          <w:szCs w:val="12"/>
          <w:color w:val="auto"/>
        </w:rPr>
        <w:t>We evaluate the collectability of straight-line rent receivables and record a provision for doubtful accounts if management believes the receivables to be uncollectible. At December 31, 2017 and 2016, no allowance was recorded related to our straight-line rent receivable.</w:t>
      </w:r>
    </w:p>
    <w:p>
      <w:pPr>
        <w:spacing w:after="0" w:line="115" w:lineRule="exact"/>
        <w:rPr>
          <w:sz w:val="20"/>
          <w:szCs w:val="20"/>
          <w:color w:val="auto"/>
        </w:rPr>
      </w:pPr>
    </w:p>
    <w:p>
      <w:pPr>
        <w:ind w:right="300"/>
        <w:spacing w:after="0" w:line="323" w:lineRule="auto"/>
        <w:rPr>
          <w:sz w:val="20"/>
          <w:szCs w:val="20"/>
          <w:color w:val="auto"/>
        </w:rPr>
      </w:pPr>
      <w:r>
        <w:rPr>
          <w:rFonts w:ascii="Arial" w:cs="Arial" w:eastAsia="Arial" w:hAnsi="Arial"/>
          <w:sz w:val="11"/>
          <w:szCs w:val="11"/>
          <w:color w:val="auto"/>
        </w:rPr>
        <w:t>We lease certain assets to Windstream under a triple-net lease, whereby Windstream is responsible for the costs related to operating the Distribution Systems, including property taxes, insurance and maintenance and repair costs. As a result, we do not record an obligation related to the payment of property taxes or insurance, as Windstream makes direct payments to the taxing authorities and insurance carriers, respectively.</w:t>
      </w:r>
    </w:p>
    <w:p>
      <w:pPr>
        <w:spacing w:after="0" w:line="92" w:lineRule="exact"/>
        <w:rPr>
          <w:sz w:val="20"/>
          <w:szCs w:val="20"/>
          <w:color w:val="auto"/>
        </w:rPr>
      </w:pPr>
    </w:p>
    <w:p>
      <w:pPr>
        <w:spacing w:after="0" w:line="146" w:lineRule="exact"/>
        <w:rPr>
          <w:sz w:val="20"/>
          <w:szCs w:val="20"/>
          <w:color w:val="auto"/>
        </w:rPr>
      </w:pPr>
      <w:r>
        <w:rPr>
          <w:rFonts w:ascii="Arial" w:cs="Arial" w:eastAsia="Arial" w:hAnsi="Arial"/>
          <w:sz w:val="11"/>
          <w:szCs w:val="11"/>
          <w:color w:val="auto"/>
        </w:rPr>
        <w:t>The Company recognizes service revenues related to its broadband transport and backhaul communications services when (i) persuasive evidence of an arrangement exists, (ii) the services have been provided to the customer, (iii) the sales price is fixed or determinable, and (iv) the collection of the sales price is reasonably assured. Services provided to the Company’s customers are rendered pursuant to contractual fee</w:t>
      </w:r>
      <w:r>
        <w:rPr>
          <w:rFonts w:ascii="MS PGothic" w:cs="MS PGothic" w:eastAsia="MS PGothic" w:hAnsi="MS PGothic"/>
          <w:sz w:val="11"/>
          <w:szCs w:val="11"/>
          <w:color w:val="auto"/>
        </w:rPr>
        <w:t>‑</w:t>
      </w:r>
      <w:r>
        <w:rPr>
          <w:rFonts w:ascii="Arial" w:cs="Arial" w:eastAsia="Arial" w:hAnsi="Arial"/>
          <w:sz w:val="11"/>
          <w:szCs w:val="11"/>
          <w:color w:val="auto"/>
        </w:rPr>
        <w:t>based arrangements, which generally provide for recurring fees charged for the use of designated portions of the Company’s network and typically range for a period of three to ten years. The Company’s revenue arrangements often include upfront fees charged to the customer for the cost of establishing the necessary components of the Company’s network prior to the commencement of use by the customer. Fees charged to customers for the recurring use of the Company’s network are recognized during the related periods of service. Upfront fees that are billed in advance of providing services are deferred until such time the customer accepts the Company’s network and then are recognized as service revenues ratably over a period in which substantive services required under the revenue arrangement are expected to be performed, which is the initial term of the arrangement.</w:t>
      </w:r>
    </w:p>
    <w:p>
      <w:pPr>
        <w:spacing w:after="0" w:line="136" w:lineRule="exact"/>
        <w:rPr>
          <w:sz w:val="20"/>
          <w:szCs w:val="20"/>
          <w:color w:val="auto"/>
        </w:rPr>
      </w:pPr>
    </w:p>
    <w:p>
      <w:pPr>
        <w:ind w:right="100"/>
        <w:spacing w:after="0" w:line="327" w:lineRule="auto"/>
        <w:rPr>
          <w:sz w:val="20"/>
          <w:szCs w:val="20"/>
          <w:color w:val="auto"/>
        </w:rPr>
      </w:pPr>
      <w:r>
        <w:rPr>
          <w:rFonts w:ascii="Arial" w:cs="Arial" w:eastAsia="Arial" w:hAnsi="Arial"/>
          <w:sz w:val="10"/>
          <w:szCs w:val="10"/>
          <w:color w:val="auto"/>
        </w:rPr>
        <w:t>We evaluate the collectability of service receivables by considering a variety of factors. The Company typically does not require collateral. When the Company becomes aware of a specific customer’s inability to meet its financial obligations, the Company records a specific reserve for bad debt to reduce the related accounts receivable to the amount the Company reasonably believes is collectible. When appropriate, the Company also records reserves for bad debts for all other customers based on a variety of factors including the length of time the receivable is past due, the financial health of the customer, macroeconomic considerations and historical experience. If circumstances related to specific customers change, the Company adjusts its estimates of the recoverability of receivables as needed. At December 31, 2017 and 2016, the allowance recorded for service receivables was $1.0 million and $1.4 million, respectively.</w:t>
      </w:r>
    </w:p>
    <w:p>
      <w:pPr>
        <w:spacing w:after="0" w:line="94" w:lineRule="exact"/>
        <w:rPr>
          <w:sz w:val="20"/>
          <w:szCs w:val="20"/>
          <w:color w:val="auto"/>
        </w:rPr>
      </w:pPr>
    </w:p>
    <w:p>
      <w:pPr>
        <w:ind w:right="20"/>
        <w:spacing w:after="0" w:line="263" w:lineRule="auto"/>
        <w:rPr>
          <w:sz w:val="20"/>
          <w:szCs w:val="20"/>
          <w:color w:val="auto"/>
        </w:rPr>
      </w:pPr>
      <w:r>
        <w:rPr>
          <w:rFonts w:ascii="Arial" w:cs="Arial" w:eastAsia="Arial" w:hAnsi="Arial"/>
          <w:sz w:val="12"/>
          <w:szCs w:val="12"/>
          <w:color w:val="auto"/>
        </w:rPr>
        <w:t>Consumer CLEC Business revenues are primarily derived from providing access to or usage of leased networks and facilities, and are recognized over the period that the corresponding services are rendered to customers. Revenues derived from other telecommunications services, including broadband, long distance and enhanced service revenues are recognized monthly as services are provided. Sales of customer premise equipment and modems are recognized when products are delivered to and accepted by customers.</w:t>
      </w:r>
    </w:p>
    <w:p>
      <w:pPr>
        <w:spacing w:after="0" w:line="123" w:lineRule="exact"/>
        <w:rPr>
          <w:sz w:val="20"/>
          <w:szCs w:val="20"/>
          <w:color w:val="auto"/>
        </w:rPr>
      </w:pPr>
    </w:p>
    <w:p>
      <w:pPr>
        <w:ind w:right="40"/>
        <w:spacing w:after="0" w:line="263" w:lineRule="auto"/>
        <w:rPr>
          <w:sz w:val="20"/>
          <w:szCs w:val="20"/>
          <w:color w:val="auto"/>
        </w:rPr>
      </w:pPr>
      <w:r>
        <w:rPr>
          <w:rFonts w:ascii="Arial" w:cs="Arial" w:eastAsia="Arial" w:hAnsi="Arial"/>
          <w:sz w:val="12"/>
          <w:szCs w:val="12"/>
          <w:u w:val="single" w:color="auto"/>
          <w:color w:val="auto"/>
        </w:rPr>
        <w:t>Stock-Based Compensation</w:t>
      </w:r>
      <w:r>
        <w:rPr>
          <w:rFonts w:ascii="Arial" w:cs="Arial" w:eastAsia="Arial" w:hAnsi="Arial"/>
          <w:sz w:val="12"/>
          <w:szCs w:val="12"/>
          <w:color w:val="auto"/>
        </w:rPr>
        <w:t>—We account for stock-based compensation using the fair value method of accounting. We have determined that our stock-based payment awards granted in exchange for employee services qualify as equity classified awards, which are measured based on the fair value of the award on the date of the grant. The fair value of restricted stock-based payments is based on the market value of our common stock on the date of grant. The fair value of performance-based awards, which have performance conditions, is based on a Monte Carlo simulation.</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131" w:right="219" w:bottom="1440" w:gutter="0" w:footer="0" w:header="0"/>
        </w:sectPr>
      </w:pPr>
    </w:p>
    <w:bookmarkStart w:id="61" w:name="page62"/>
    <w:bookmarkEnd w:id="61"/>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Uniti Group Inc.</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the Consolidated Financial Statements – Continued</w:t>
      </w:r>
    </w:p>
    <w:p>
      <w:pPr>
        <w:spacing w:after="0" w:line="303" w:lineRule="exact"/>
        <w:rPr>
          <w:sz w:val="20"/>
          <w:szCs w:val="20"/>
          <w:color w:val="auto"/>
        </w:rPr>
      </w:pPr>
    </w:p>
    <w:p>
      <w:pPr>
        <w:spacing w:after="0"/>
        <w:rPr>
          <w:sz w:val="20"/>
          <w:szCs w:val="20"/>
          <w:color w:val="auto"/>
        </w:rPr>
      </w:pPr>
      <w:r>
        <w:rPr>
          <w:rFonts w:ascii="Arial" w:cs="Arial" w:eastAsia="Arial" w:hAnsi="Arial"/>
          <w:sz w:val="12"/>
          <w:szCs w:val="12"/>
          <w:color w:val="auto"/>
        </w:rPr>
        <w:t>The fair value of all stock-based compensation is recognized over the period during which an employee is required to provide services in exchange for the award. See Note 10.</w:t>
      </w:r>
    </w:p>
    <w:p>
      <w:pPr>
        <w:spacing w:after="0" w:line="150" w:lineRule="exact"/>
        <w:rPr>
          <w:sz w:val="20"/>
          <w:szCs w:val="20"/>
          <w:color w:val="auto"/>
        </w:rPr>
      </w:pPr>
    </w:p>
    <w:p>
      <w:pPr>
        <w:ind w:right="40"/>
        <w:spacing w:after="0" w:line="255" w:lineRule="auto"/>
        <w:rPr>
          <w:sz w:val="20"/>
          <w:szCs w:val="20"/>
          <w:color w:val="auto"/>
        </w:rPr>
      </w:pPr>
      <w:r>
        <w:rPr>
          <w:rFonts w:ascii="Arial" w:cs="Arial" w:eastAsia="Arial" w:hAnsi="Arial"/>
          <w:sz w:val="12"/>
          <w:szCs w:val="12"/>
          <w:u w:val="single" w:color="auto"/>
          <w:color w:val="auto"/>
        </w:rPr>
        <w:t>Income Taxes</w:t>
      </w:r>
      <w:r>
        <w:rPr>
          <w:rFonts w:ascii="Arial" w:cs="Arial" w:eastAsia="Arial" w:hAnsi="Arial"/>
          <w:sz w:val="12"/>
          <w:szCs w:val="12"/>
          <w:color w:val="auto"/>
        </w:rPr>
        <w:t>—We have elected on our U.S. federal income tax return to be treated as a REIT under the Internal Revenue Code of 1986, as amended (the “Code”). To qualify as a REIT, we must distribute at least 90% of our annual REIT taxable income to shareholders, and meet certain organizational and operational requirements, including asset holding requirements. As a REIT, we will generally not be subject to U.S. federal income tax on income that we distribute as dividends to our shareholders. If we fail to qualify as a REIT in any taxable year, we will be subject to U.S. federal income tax, including any applicable alternative minimum tax for open taxable years through 2017, on our taxable income at regular corporate income tax rates, and we could not deduct dividends paid to our shareholders in computing taxable income. Any resulting corporate liability could be substantial and could materially and adversely affect our net income and net cash available for distribution to shareholders. Unless we were entitled to relief under certain Code provisions, we also would be disqualified from reelecting to be taxed as a REIT for the four taxable years following the year in which we failed to qualify as a REIT.</w:t>
      </w:r>
    </w:p>
    <w:p>
      <w:pPr>
        <w:spacing w:after="0" w:line="129" w:lineRule="exact"/>
        <w:rPr>
          <w:sz w:val="20"/>
          <w:szCs w:val="20"/>
          <w:color w:val="auto"/>
        </w:rPr>
      </w:pPr>
    </w:p>
    <w:p>
      <w:pPr>
        <w:jc w:val="both"/>
        <w:ind w:right="20"/>
        <w:spacing w:after="0" w:line="263" w:lineRule="auto"/>
        <w:rPr>
          <w:sz w:val="20"/>
          <w:szCs w:val="20"/>
          <w:color w:val="auto"/>
        </w:rPr>
      </w:pPr>
      <w:r>
        <w:rPr>
          <w:rFonts w:ascii="Arial" w:cs="Arial" w:eastAsia="Arial" w:hAnsi="Arial"/>
          <w:sz w:val="12"/>
          <w:szCs w:val="12"/>
          <w:color w:val="auto"/>
        </w:rPr>
        <w:t>We intend to make regular quarterly dividend payments of all or substantially all of our annual REIT taxable income to holders of our common stock, and therefore no provision is required in the accompanying Consolidated Financial Statements for U.S. federal income taxes related to the activities of the REIT and its passthrough subsidiaries. We are subject to the statutory requirements of the locations in which we conduct business, and state and local income taxes are accrued as deemed required in the best judgment of management based on analysis and interpretation of respective tax laws.</w:t>
      </w:r>
    </w:p>
    <w:p>
      <w:pPr>
        <w:spacing w:after="0" w:line="123" w:lineRule="exact"/>
        <w:rPr>
          <w:sz w:val="20"/>
          <w:szCs w:val="20"/>
          <w:color w:val="auto"/>
        </w:rPr>
      </w:pPr>
    </w:p>
    <w:p>
      <w:pPr>
        <w:ind w:right="360"/>
        <w:spacing w:after="0" w:line="276" w:lineRule="auto"/>
        <w:rPr>
          <w:sz w:val="20"/>
          <w:szCs w:val="20"/>
          <w:color w:val="auto"/>
        </w:rPr>
      </w:pPr>
      <w:r>
        <w:rPr>
          <w:rFonts w:ascii="Arial" w:cs="Arial" w:eastAsia="Arial" w:hAnsi="Arial"/>
          <w:sz w:val="12"/>
          <w:szCs w:val="12"/>
          <w:color w:val="auto"/>
        </w:rPr>
        <w:t>We have elected to treat the subsidiaries through which we operate Uniti Fiber and Talk America as taxable REIT subsidiaries (“TRSs”). TRSs enable us to engage in activities that result in income that does not constitute qualifying income for a REIT. Our TRSs are subject to U.S. federal, state and local corporate income taxes.</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Deferred tax assets and liabilities are recognized under the asset and liability method for the estimated future tax consequences attributable to differences between the financial statement carrying amounts of existing assets and liabilities and their respective tax bases. Deferred tax balances are adjusted to reflect tax rates based on currently enacted tax laws, which will be in effect in the years in which the temporary differences are expected to reverse. The effect on deferred tax assets and liabilities of a change in tax rates is recognized in the results of operations in the period of the enactment date. A valuation allowance is recorded to reduce the carrying amounts of deferred tax assets unless it is more likely than not that such assets will be realized.</w:t>
      </w:r>
    </w:p>
    <w:p>
      <w:pPr>
        <w:spacing w:after="0" w:line="125" w:lineRule="exact"/>
        <w:rPr>
          <w:sz w:val="20"/>
          <w:szCs w:val="20"/>
          <w:color w:val="auto"/>
        </w:rPr>
      </w:pPr>
    </w:p>
    <w:p>
      <w:pPr>
        <w:ind w:right="280"/>
        <w:spacing w:after="0" w:line="263" w:lineRule="auto"/>
        <w:rPr>
          <w:sz w:val="20"/>
          <w:szCs w:val="20"/>
          <w:color w:val="auto"/>
        </w:rPr>
      </w:pPr>
      <w:r>
        <w:rPr>
          <w:rFonts w:ascii="Arial" w:cs="Arial" w:eastAsia="Arial" w:hAnsi="Arial"/>
          <w:sz w:val="12"/>
          <w:szCs w:val="12"/>
          <w:color w:val="auto"/>
        </w:rPr>
        <w:t>We recognize the benefit of tax positions that are "more likely than not" to be sustained upon examination based on their technical merit. The benefit of a tax position is measured at the largest amount that has a greater than 50 percent likelihood of being realized upon ultimate settlement. If applicable, we will report tax-related penalties and interest expense as a component of income tax expense. We currently have a liability for unrecognized tax benefits of $5.3 million.</w:t>
      </w:r>
    </w:p>
    <w:p>
      <w:pPr>
        <w:spacing w:after="0" w:line="123" w:lineRule="exact"/>
        <w:rPr>
          <w:sz w:val="20"/>
          <w:szCs w:val="20"/>
          <w:color w:val="auto"/>
        </w:rPr>
      </w:pPr>
    </w:p>
    <w:p>
      <w:pPr>
        <w:ind w:right="280"/>
        <w:spacing w:after="0" w:line="276" w:lineRule="auto"/>
        <w:rPr>
          <w:sz w:val="20"/>
          <w:szCs w:val="20"/>
          <w:color w:val="auto"/>
        </w:rPr>
      </w:pPr>
      <w:r>
        <w:rPr>
          <w:rFonts w:ascii="Arial" w:cs="Arial" w:eastAsia="Arial" w:hAnsi="Arial"/>
          <w:sz w:val="12"/>
          <w:szCs w:val="12"/>
          <w:color w:val="auto"/>
        </w:rPr>
        <w:t>The Company will be subject to a federal corporate level tax (currently 35%, 21% beginning 2018 and beyond) on any gain recognized from the sale of assets occurring within a five year recognition period after the Spin-Off up to the amount of the built in gain that existed on April 24, 2015, which is based on the fair market value of the assets in excess of the Company’s tax basis as of such date.</w:t>
      </w:r>
    </w:p>
    <w:p>
      <w:pPr>
        <w:spacing w:after="0" w:line="115" w:lineRule="exact"/>
        <w:rPr>
          <w:sz w:val="20"/>
          <w:szCs w:val="20"/>
          <w:color w:val="auto"/>
        </w:rPr>
      </w:pPr>
    </w:p>
    <w:p>
      <w:pPr>
        <w:ind w:right="60"/>
        <w:spacing w:after="0" w:line="286" w:lineRule="auto"/>
        <w:rPr>
          <w:sz w:val="20"/>
          <w:szCs w:val="20"/>
          <w:color w:val="auto"/>
        </w:rPr>
      </w:pPr>
      <w:r>
        <w:rPr>
          <w:rFonts w:ascii="Arial" w:cs="Arial" w:eastAsia="Arial" w:hAnsi="Arial"/>
          <w:sz w:val="11"/>
          <w:szCs w:val="11"/>
          <w:u w:val="single" w:color="auto"/>
          <w:color w:val="auto"/>
        </w:rPr>
        <w:t>Business Combinations</w:t>
      </w:r>
      <w:r>
        <w:rPr>
          <w:rFonts w:ascii="Arial" w:cs="Arial" w:eastAsia="Arial" w:hAnsi="Arial"/>
          <w:sz w:val="11"/>
          <w:szCs w:val="11"/>
          <w:color w:val="auto"/>
        </w:rPr>
        <w:t xml:space="preserve">—In accordance with ASC 805, </w:t>
      </w:r>
      <w:r>
        <w:rPr>
          <w:rFonts w:ascii="Arial" w:cs="Arial" w:eastAsia="Arial" w:hAnsi="Arial"/>
          <w:sz w:val="11"/>
          <w:szCs w:val="11"/>
          <w:i w:val="1"/>
          <w:iCs w:val="1"/>
          <w:color w:val="auto"/>
        </w:rPr>
        <w:t>Business Combinations</w:t>
      </w:r>
      <w:r>
        <w:rPr>
          <w:rFonts w:ascii="Arial" w:cs="Arial" w:eastAsia="Arial" w:hAnsi="Arial"/>
          <w:sz w:val="11"/>
          <w:szCs w:val="11"/>
          <w:color w:val="auto"/>
        </w:rPr>
        <w:t>, we apply the acquisition method of accounting for acquisitions meeting the definition of a business combination or asset acquisition, where assets acquired and liabilities assumed are recorded at fair value at the date of each acquisition, and the results of operations are included with those of the Company from the dates of the respective acquisitions. For acquisitions meeting the definition of a business combination, any excess of the purchase price paid by the Company over the amounts recognized for assets acquired and liabilities assumed is recorded as goodwill. ASC 805 also requires acquirers, among other things, to estimate the acquisition date fair value of any contingent consideration and to recognize any subsequent changes in the fair value of contingent consideration in earnings. When provisional amounts are initially recorded, the Company continues to evaluate acquisitions for a period not to exceed one year after the applicable acquisition date of each transaction to determine whether any additional adjustments are needed</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62" w:name="page63"/>
    <w:bookmarkEnd w:id="62"/>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Uniti Group Inc.</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the Consolidated Financial Statements – Continued</w:t>
      </w:r>
    </w:p>
    <w:p>
      <w:pPr>
        <w:spacing w:after="0" w:line="303"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to the allocation of the purchase price paid for the assets acquired and liabilities assumed. For acquisitions meeting the definition of an asset acquisition, the fair value of the consideration transferred, including transaction costs, is allocated to the assets acquired and liabilities assumed based on their relative fair values. No goodwill is recognized in an asset acquisition.</w:t>
      </w:r>
    </w:p>
    <w:p>
      <w:pPr>
        <w:spacing w:after="0" w:line="115" w:lineRule="exact"/>
        <w:rPr>
          <w:sz w:val="20"/>
          <w:szCs w:val="20"/>
          <w:color w:val="auto"/>
        </w:rPr>
      </w:pPr>
    </w:p>
    <w:p>
      <w:pPr>
        <w:jc w:val="both"/>
        <w:spacing w:after="0" w:line="263" w:lineRule="auto"/>
        <w:rPr>
          <w:sz w:val="20"/>
          <w:szCs w:val="20"/>
          <w:color w:val="auto"/>
        </w:rPr>
      </w:pPr>
      <w:r>
        <w:rPr>
          <w:rFonts w:ascii="Arial" w:cs="Arial" w:eastAsia="Arial" w:hAnsi="Arial"/>
          <w:sz w:val="12"/>
          <w:szCs w:val="12"/>
          <w:u w:val="single" w:color="auto"/>
          <w:color w:val="auto"/>
        </w:rPr>
        <w:t>Noncontrolling Interest</w:t>
      </w:r>
      <w:r>
        <w:rPr>
          <w:rFonts w:ascii="Arial" w:cs="Arial" w:eastAsia="Arial" w:hAnsi="Arial"/>
          <w:sz w:val="12"/>
          <w:szCs w:val="12"/>
          <w:color w:val="auto"/>
        </w:rPr>
        <w:t>—The limited partner equity interests in our operating partnership are exchangeable on a one-for-one basis for shares of our common stock or, at our election, cash of equivalent value. All of the limited partner equity interests in our operating partnership not held by the Company are reflected as noncontrolling interests. In the consolidated statements of operations, we allocate net income (loss) attributable to noncontrolling interests to arrive at net income (loss) attributable to shareholders based on their proportionate share.</w:t>
      </w:r>
    </w:p>
    <w:p>
      <w:pPr>
        <w:spacing w:after="0" w:line="123"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For transactions that result in changes to the Company's ownership interest in our operating partnership, the carrying amount of noncontrolling interests is adjusted to reflect such changes. The difference between the fair value of the consideration received or paid and the amount by which the noncontrolling interest is adjusted is reflected as an adjustment to additional paid-in capital on the consolidated balance sheets.</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2"/>
          <w:szCs w:val="12"/>
          <w:u w:val="single" w:color="auto"/>
          <w:color w:val="auto"/>
        </w:rPr>
        <w:t>Goodwill</w:t>
      </w:r>
      <w:r>
        <w:rPr>
          <w:rFonts w:ascii="Arial" w:cs="Arial" w:eastAsia="Arial" w:hAnsi="Arial"/>
          <w:sz w:val="12"/>
          <w:szCs w:val="12"/>
          <w:color w:val="auto"/>
        </w:rPr>
        <w:t>—Goodwill is recognized for the excess of purchase price over the fair value of net assets of businesses acquired. Goodwill is reviewed for impairment at least annually. In accordance with ASC 350-20, Intangibles-Goodwill and Other, we evaluate goodwill for impairment between annual impairment tests if an event occurs or circumstances change that would more likely than not reduce the fair value of a reporting unit below its carrying amount. Unless circumstances otherwise dictate, the annual impairment test is performed in the fourth quarter. Application of the goodwill impairment test requires judgment, including: the identification of reporting units; assignment of assets and liabilities to reporting units; assignment of goodwill to reporting units; determination of the fair value of each reporting unit; and an assumption as to the form of the transaction in which the reporting unit would be acquired by a market participant (either a taxable or nontaxable transaction).</w:t>
      </w:r>
    </w:p>
    <w:p>
      <w:pPr>
        <w:spacing w:after="0" w:line="126"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We estimate the fair value of our reporting units (which are our segments) using a combination of an income approach based on the present value of estimated future cash flows and a market approach based on market data of comparable businesses and acquisition multiples paid in recent transactions. If the carrying value of a reporting unit's net assets is less than its fair value, no indication of impairment exists. If the carrying amount of the reporting unit's goodwill is greater than the implied fair value of its goodwill, an impairment loss must be recognized for the excess and charged to operations.</w:t>
      </w:r>
    </w:p>
    <w:p>
      <w:pPr>
        <w:spacing w:after="0" w:line="123" w:lineRule="exact"/>
        <w:rPr>
          <w:sz w:val="20"/>
          <w:szCs w:val="20"/>
          <w:color w:val="auto"/>
        </w:rPr>
      </w:pPr>
    </w:p>
    <w:p>
      <w:pPr>
        <w:jc w:val="both"/>
        <w:ind w:right="40"/>
        <w:spacing w:after="0" w:line="298" w:lineRule="auto"/>
        <w:rPr>
          <w:sz w:val="20"/>
          <w:szCs w:val="20"/>
          <w:color w:val="auto"/>
        </w:rPr>
      </w:pPr>
      <w:r>
        <w:rPr>
          <w:rFonts w:ascii="Arial" w:cs="Arial" w:eastAsia="Arial" w:hAnsi="Arial"/>
          <w:sz w:val="11"/>
          <w:szCs w:val="11"/>
          <w:color w:val="auto"/>
        </w:rPr>
        <w:t>Inherent in our preparation of cash flow projections are significant assumptions and estimates derived from a review of our operating results, business plans, expected growth rates, capital expenditure plans, cost of capital and tax rates. We also make certain forecasts about future economic conditions, interest rates and other market data. Many of the factors used in assessing fair value are outside the control of management, and these assumptions and estimates may change in future periods. Small changes in assumptions or estimates could materially affect the estimate of the fair value of a reporting unit, and therefore could affect the likelihood and amount of potential impairment.</w:t>
      </w:r>
    </w:p>
    <w:p>
      <w:pPr>
        <w:spacing w:after="0" w:line="105" w:lineRule="exact"/>
        <w:rPr>
          <w:sz w:val="20"/>
          <w:szCs w:val="20"/>
          <w:color w:val="auto"/>
        </w:rPr>
      </w:pPr>
    </w:p>
    <w:p>
      <w:pPr>
        <w:ind w:right="20"/>
        <w:spacing w:after="0" w:line="323" w:lineRule="auto"/>
        <w:rPr>
          <w:sz w:val="20"/>
          <w:szCs w:val="20"/>
          <w:color w:val="auto"/>
        </w:rPr>
      </w:pPr>
      <w:r>
        <w:rPr>
          <w:rFonts w:ascii="Arial" w:cs="Arial" w:eastAsia="Arial" w:hAnsi="Arial"/>
          <w:sz w:val="11"/>
          <w:szCs w:val="11"/>
          <w:color w:val="auto"/>
        </w:rPr>
        <w:t>As of December 31, 2017 and 2016, all of our Goodwill is included in our Fiber Infrastructure segment. We performed our goodwill impairment analysis during the fourth quarter and we concluded the implied fair value of our Fiber Infrastructure reporting unit was in excess of its carrying value by less than 2%. During the years ended December 31, 2017 and 2016 and for the period April 24 2015 to December 31, 2015, no impairment losses were recognized.</w:t>
      </w:r>
    </w:p>
    <w:p>
      <w:pPr>
        <w:spacing w:after="0" w:line="92" w:lineRule="exact"/>
        <w:rPr>
          <w:sz w:val="20"/>
          <w:szCs w:val="20"/>
          <w:color w:val="auto"/>
        </w:rPr>
      </w:pPr>
    </w:p>
    <w:p>
      <w:pPr>
        <w:ind w:right="100"/>
        <w:spacing w:after="0" w:line="276" w:lineRule="auto"/>
        <w:rPr>
          <w:sz w:val="20"/>
          <w:szCs w:val="20"/>
          <w:color w:val="auto"/>
        </w:rPr>
      </w:pPr>
      <w:r>
        <w:rPr>
          <w:rFonts w:ascii="Arial" w:cs="Arial" w:eastAsia="Arial" w:hAnsi="Arial"/>
          <w:sz w:val="12"/>
          <w:szCs w:val="12"/>
          <w:u w:val="single" w:color="auto"/>
          <w:color w:val="auto"/>
        </w:rPr>
        <w:t>Earnings per Share</w:t>
      </w:r>
      <w:r>
        <w:rPr>
          <w:rFonts w:ascii="Arial" w:cs="Arial" w:eastAsia="Arial" w:hAnsi="Arial"/>
          <w:sz w:val="12"/>
          <w:szCs w:val="12"/>
          <w:color w:val="auto"/>
        </w:rPr>
        <w:t>—Outstanding restricted stock awards that contain rights to non-forfeitable dividends are deemed to be participating securities, requiring the application of the two-class method of computing basic and dilutive earnings per share.</w:t>
      </w:r>
    </w:p>
    <w:p>
      <w:pPr>
        <w:spacing w:after="0" w:line="115" w:lineRule="exact"/>
        <w:rPr>
          <w:sz w:val="20"/>
          <w:szCs w:val="20"/>
          <w:color w:val="auto"/>
        </w:rPr>
      </w:pPr>
    </w:p>
    <w:p>
      <w:pPr>
        <w:spacing w:after="0"/>
        <w:rPr>
          <w:sz w:val="20"/>
          <w:szCs w:val="20"/>
          <w:color w:val="auto"/>
        </w:rPr>
      </w:pPr>
      <w:r>
        <w:rPr>
          <w:rFonts w:ascii="Arial" w:cs="Arial" w:eastAsia="Arial" w:hAnsi="Arial"/>
          <w:sz w:val="11"/>
          <w:szCs w:val="11"/>
          <w:color w:val="auto"/>
        </w:rPr>
        <w:t>Basic earnings per share includes only the weighted average number of common shares outstanding during the period. Dilutive earnings per share includes the weighted average number of common shares and the dilutive effect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63" w:name="page64"/>
    <w:bookmarkEnd w:id="63"/>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Uniti Group Inc.</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the Consolidated Financial Statements – Continued</w:t>
      </w:r>
    </w:p>
    <w:p>
      <w:pPr>
        <w:spacing w:after="0" w:line="303" w:lineRule="exact"/>
        <w:rPr>
          <w:sz w:val="20"/>
          <w:szCs w:val="20"/>
          <w:color w:val="auto"/>
        </w:rPr>
      </w:pPr>
    </w:p>
    <w:p>
      <w:pPr>
        <w:spacing w:after="0"/>
        <w:rPr>
          <w:sz w:val="20"/>
          <w:szCs w:val="20"/>
          <w:color w:val="auto"/>
        </w:rPr>
      </w:pPr>
      <w:r>
        <w:rPr>
          <w:rFonts w:ascii="Arial" w:cs="Arial" w:eastAsia="Arial" w:hAnsi="Arial"/>
          <w:sz w:val="12"/>
          <w:szCs w:val="12"/>
          <w:color w:val="auto"/>
        </w:rPr>
        <w:t>of restricted stock and performance-based awards outstanding during the period, when such awards are dilutive. See Note 12.</w:t>
      </w:r>
    </w:p>
    <w:p>
      <w:pPr>
        <w:spacing w:after="0" w:line="150" w:lineRule="exact"/>
        <w:rPr>
          <w:sz w:val="20"/>
          <w:szCs w:val="20"/>
          <w:color w:val="auto"/>
        </w:rPr>
      </w:pPr>
    </w:p>
    <w:p>
      <w:pPr>
        <w:ind w:right="100"/>
        <w:spacing w:after="0" w:line="263" w:lineRule="auto"/>
        <w:rPr>
          <w:sz w:val="20"/>
          <w:szCs w:val="20"/>
          <w:color w:val="auto"/>
        </w:rPr>
      </w:pPr>
      <w:r>
        <w:rPr>
          <w:rFonts w:ascii="Arial" w:cs="Arial" w:eastAsia="Arial" w:hAnsi="Arial"/>
          <w:sz w:val="12"/>
          <w:szCs w:val="12"/>
          <w:u w:val="single" w:color="auto"/>
          <w:color w:val="auto"/>
        </w:rPr>
        <w:t>Concentration of Credit Risks</w:t>
      </w:r>
      <w:r>
        <w:rPr>
          <w:rFonts w:ascii="Arial" w:cs="Arial" w:eastAsia="Arial" w:hAnsi="Arial"/>
          <w:sz w:val="12"/>
          <w:szCs w:val="12"/>
          <w:color w:val="auto"/>
        </w:rPr>
        <w:t>—In connection with the Spin-Off, we entered into the Master Lease agreement with Windstream, pursuant to which all real property associated with the Spin-Off is leased to Windstream and from which substantially all of Uniti’s leasing revenues are currently derived. Windstream is a publicly traded company and is subject to the periodic filing requirements of the Securities Exchange Act of 1934, as amended. Windstream filings can be found at www.sec.gov. Windstream filings are not incorporated by reference in this Annual Report on Form 10-K.</w:t>
      </w:r>
    </w:p>
    <w:p>
      <w:pPr>
        <w:spacing w:after="0" w:line="123" w:lineRule="exact"/>
        <w:rPr>
          <w:sz w:val="20"/>
          <w:szCs w:val="20"/>
          <w:color w:val="auto"/>
        </w:rPr>
      </w:pPr>
    </w:p>
    <w:p>
      <w:pPr>
        <w:ind w:right="60"/>
        <w:spacing w:after="0" w:line="255" w:lineRule="auto"/>
        <w:rPr>
          <w:sz w:val="20"/>
          <w:szCs w:val="20"/>
          <w:color w:val="auto"/>
        </w:rPr>
      </w:pPr>
      <w:r>
        <w:rPr>
          <w:rFonts w:ascii="Arial" w:cs="Arial" w:eastAsia="Arial" w:hAnsi="Arial"/>
          <w:sz w:val="12"/>
          <w:szCs w:val="12"/>
          <w:color w:val="auto"/>
        </w:rPr>
        <w:t>Revenue under the Master Lease provided 74.8% of our revenue for the year ended December 31, 2017 and 87.9% of our revenue for the year ended December 31, 2016. Because our revenue is primarily derived from lease payments by Windstream pursuant to the Master Lease, there could be a material adverse impact on our consolidated results of operations, liquidity and/or financial condition if Windstream experiences operating difficulties and becomes unable to generate sufficient cash to make payments to us. In recent years, Windstream has experienced annual declines in its total revenue and sales. Accordingly, we monitor the credit quality of Windstream through numerous methods, including by (i) reviewing the credit ratings of Windstream by nationally recognized credit rating agencies, (ii) reviewing the financial statements of Windstream that are publicly available and that are required to be delivered to us pursuant to the Master Lease, (iii) monitoring news reports regarding Windstream and its businesses, (iv) conducting research to ascertain industry trends potentially affecting Windstream, and (v) monitoring the timeliness of its payments to us under the Master Lease.</w:t>
      </w:r>
    </w:p>
    <w:p>
      <w:pPr>
        <w:spacing w:after="0" w:line="129" w:lineRule="exact"/>
        <w:rPr>
          <w:sz w:val="20"/>
          <w:szCs w:val="20"/>
          <w:color w:val="auto"/>
        </w:rPr>
      </w:pPr>
    </w:p>
    <w:p>
      <w:pPr>
        <w:spacing w:after="0" w:line="257" w:lineRule="auto"/>
        <w:rPr>
          <w:rFonts w:ascii="Arial" w:cs="Arial" w:eastAsia="Arial" w:hAnsi="Arial"/>
          <w:sz w:val="12"/>
          <w:szCs w:val="12"/>
          <w:color w:val="auto"/>
        </w:rPr>
      </w:pPr>
      <w:r>
        <w:rPr>
          <w:rFonts w:ascii="Arial" w:cs="Arial" w:eastAsia="Arial" w:hAnsi="Arial"/>
          <w:sz w:val="12"/>
          <w:szCs w:val="12"/>
          <w:u w:val="single" w:color="auto"/>
          <w:color w:val="auto"/>
        </w:rPr>
        <w:t>Recently Issued Accounting Standards</w:t>
      </w:r>
      <w:r>
        <w:rPr>
          <w:rFonts w:ascii="Arial" w:cs="Arial" w:eastAsia="Arial" w:hAnsi="Arial"/>
          <w:sz w:val="12"/>
          <w:szCs w:val="12"/>
          <w:color w:val="auto"/>
        </w:rPr>
        <w:t xml:space="preserve">—In January 2017, the FASB issued ASU No. 2017-01, </w:t>
      </w:r>
      <w:r>
        <w:rPr>
          <w:rFonts w:ascii="Arial" w:cs="Arial" w:eastAsia="Arial" w:hAnsi="Arial"/>
          <w:sz w:val="12"/>
          <w:szCs w:val="12"/>
          <w:i w:val="1"/>
          <w:iCs w:val="1"/>
          <w:color w:val="auto"/>
        </w:rPr>
        <w:t>Business Combinations (Topic 805): Clarifying the Definition of a Business</w:t>
      </w:r>
      <w:r>
        <w:rPr>
          <w:rFonts w:ascii="Arial" w:cs="Arial" w:eastAsia="Arial" w:hAnsi="Arial"/>
          <w:sz w:val="12"/>
          <w:szCs w:val="12"/>
          <w:color w:val="auto"/>
        </w:rPr>
        <w:t xml:space="preserve"> (“ASU 2017-01”), in an effort to clarify the definition of a business with the objective of adding guidance to assist entities with evaluating whether transactions should be accounted for as acquisitions (or disposals) of assets or businesses. ASU 2017-01 is effective for fiscal years beginning after December 15, 2017, and interim periods within those fiscal years, with early adoption permitted. We adopted ASU 2017-01 effective January 1, 2017, with prospective application. As a result of the adoption of ASU 2017-01, the </w:t>
      </w:r>
      <w:hyperlink r:id="rId80">
        <w:r>
          <w:rPr>
            <w:rFonts w:ascii="Arial" w:cs="Arial" w:eastAsia="Arial" w:hAnsi="Arial"/>
            <w:sz w:val="12"/>
            <w:szCs w:val="12"/>
            <w:color w:val="auto"/>
          </w:rPr>
          <w:t>Company’s acquisition of NMS (</w:t>
        </w:r>
        <w:r>
          <w:rPr>
            <w:rFonts w:ascii="Arial" w:cs="Arial" w:eastAsia="Arial" w:hAnsi="Arial"/>
            <w:sz w:val="12"/>
            <w:szCs w:val="12"/>
            <w:u w:val="single" w:color="auto"/>
            <w:color w:val="auto"/>
          </w:rPr>
          <w:t>see Note 4) was determined to be an asset acquisition. Transaction costs associated with asset acquisitions, which includes our real property interest investments, are capitalized as opposed to being recorded</w:t>
        </w:r>
      </w:hyperlink>
      <w:r>
        <w:rPr>
          <w:rFonts w:ascii="Arial" w:cs="Arial" w:eastAsia="Arial" w:hAnsi="Arial"/>
          <w:sz w:val="12"/>
          <w:szCs w:val="12"/>
          <w:color w:val="auto"/>
        </w:rPr>
        <w:t xml:space="preserve"> </w:t>
      </w:r>
      <w:hyperlink r:id="rId80">
        <w:r>
          <w:rPr>
            <w:rFonts w:ascii="Arial" w:cs="Arial" w:eastAsia="Arial" w:hAnsi="Arial"/>
            <w:sz w:val="12"/>
            <w:szCs w:val="12"/>
            <w:u w:val="single" w:color="auto"/>
            <w:color w:val="auto"/>
          </w:rPr>
          <w:t>as an expense as is required prior to adoption of ASU</w:t>
        </w:r>
        <w:r>
          <w:rPr>
            <w:rFonts w:ascii="Arial" w:cs="Arial" w:eastAsia="Arial" w:hAnsi="Arial"/>
            <w:sz w:val="12"/>
            <w:szCs w:val="12"/>
            <w:color w:val="auto"/>
          </w:rPr>
          <w:t xml:space="preserve"> 2017-01, had this been a business combination.</w:t>
        </w:r>
      </w:hyperlink>
    </w:p>
    <w:p>
      <w:pPr>
        <w:spacing w:after="0" w:line="126" w:lineRule="exact"/>
        <w:rPr>
          <w:sz w:val="20"/>
          <w:szCs w:val="20"/>
          <w:color w:val="auto"/>
        </w:rPr>
      </w:pPr>
    </w:p>
    <w:p>
      <w:pPr>
        <w:ind w:right="20"/>
        <w:spacing w:after="0" w:line="327" w:lineRule="auto"/>
        <w:rPr>
          <w:sz w:val="20"/>
          <w:szCs w:val="20"/>
          <w:color w:val="auto"/>
        </w:rPr>
      </w:pPr>
      <w:r>
        <w:rPr>
          <w:rFonts w:ascii="Arial" w:cs="Arial" w:eastAsia="Arial" w:hAnsi="Arial"/>
          <w:sz w:val="10"/>
          <w:szCs w:val="10"/>
          <w:color w:val="auto"/>
        </w:rPr>
        <w:t xml:space="preserve">In August 2016, the FASB issued ASU No. 2016-15, </w:t>
      </w:r>
      <w:r>
        <w:rPr>
          <w:rFonts w:ascii="Arial" w:cs="Arial" w:eastAsia="Arial" w:hAnsi="Arial"/>
          <w:sz w:val="10"/>
          <w:szCs w:val="10"/>
          <w:i w:val="1"/>
          <w:iCs w:val="1"/>
          <w:color w:val="auto"/>
        </w:rPr>
        <w:t>Statement of Cash Flows (Topic 230): Classification of Certain Cash Receipts and Cash Payments</w:t>
      </w:r>
      <w:r>
        <w:rPr>
          <w:rFonts w:ascii="Arial" w:cs="Arial" w:eastAsia="Arial" w:hAnsi="Arial"/>
          <w:sz w:val="10"/>
          <w:szCs w:val="10"/>
          <w:color w:val="auto"/>
        </w:rPr>
        <w:t xml:space="preserve"> (“ASU 2016-15”). ASU 2016-15 provides guidance on reducing the diversity in how certain cash receipts and cash payments are presented and classified in the statement of cash flows. In addition to other specific cash flow issues, ASU 2016-15 provides clarification on when an entity should separate cash receipts and cash payments into more than one class of cash flows and when an entity should classify those cash receipts and payments into one class of cash flows on the basis of predominance. The new guidance is effective for the fiscal years beginning after December 15, 2017, and interim periods within those fiscal years, and early adoption is permitted. The Company does not anticipate the adoption of this accounting standard to have a material impact on our financial statements.</w:t>
      </w:r>
    </w:p>
    <w:p>
      <w:pPr>
        <w:spacing w:after="0" w:line="94" w:lineRule="exact"/>
        <w:rPr>
          <w:sz w:val="20"/>
          <w:szCs w:val="20"/>
          <w:color w:val="auto"/>
        </w:rPr>
      </w:pPr>
    </w:p>
    <w:p>
      <w:pPr>
        <w:jc w:val="both"/>
        <w:ind w:right="80"/>
        <w:spacing w:after="0" w:line="298" w:lineRule="auto"/>
        <w:rPr>
          <w:sz w:val="20"/>
          <w:szCs w:val="20"/>
          <w:color w:val="auto"/>
        </w:rPr>
      </w:pPr>
      <w:r>
        <w:rPr>
          <w:rFonts w:ascii="Arial" w:cs="Arial" w:eastAsia="Arial" w:hAnsi="Arial"/>
          <w:sz w:val="11"/>
          <w:szCs w:val="11"/>
          <w:color w:val="auto"/>
        </w:rPr>
        <w:t>In August 2017, the FASB issued Accounting Standards Update (“ASU”) No. 2017-12</w:t>
      </w:r>
      <w:r>
        <w:rPr>
          <w:rFonts w:ascii="Arial" w:cs="Arial" w:eastAsia="Arial" w:hAnsi="Arial"/>
          <w:sz w:val="11"/>
          <w:szCs w:val="11"/>
          <w:i w:val="1"/>
          <w:iCs w:val="1"/>
          <w:color w:val="auto"/>
        </w:rPr>
        <w:t>, Derivatives and Hedging (Topic 815): Targeted Improvements to Accounting for Hedging Activities</w:t>
      </w:r>
      <w:r>
        <w:rPr>
          <w:rFonts w:ascii="Arial" w:cs="Arial" w:eastAsia="Arial" w:hAnsi="Arial"/>
          <w:sz w:val="11"/>
          <w:szCs w:val="11"/>
          <w:color w:val="auto"/>
        </w:rPr>
        <w:t xml:space="preserve"> (“ASU 2017-12”), which amends and simplifies existing guidance in order to allow companies to more accurately present the economic effects of risk management activities in the financial statements. ASU 2017-12 is effective for annual periods beginning after December 15, 2018 and interim periods within those annual periods, and earlier adoption is permitted. The Company is currently evaluating the impacts the adoption of this accounting standard will have on our financial statements.</w:t>
      </w:r>
    </w:p>
    <w:p>
      <w:pPr>
        <w:spacing w:after="0" w:line="105" w:lineRule="exact"/>
        <w:rPr>
          <w:sz w:val="20"/>
          <w:szCs w:val="20"/>
          <w:color w:val="auto"/>
        </w:rPr>
      </w:pPr>
    </w:p>
    <w:p>
      <w:pPr>
        <w:ind w:right="40"/>
        <w:spacing w:after="0" w:line="323" w:lineRule="auto"/>
        <w:rPr>
          <w:sz w:val="20"/>
          <w:szCs w:val="20"/>
          <w:color w:val="auto"/>
        </w:rPr>
      </w:pPr>
      <w:r>
        <w:rPr>
          <w:rFonts w:ascii="Arial" w:cs="Arial" w:eastAsia="Arial" w:hAnsi="Arial"/>
          <w:sz w:val="11"/>
          <w:szCs w:val="11"/>
          <w:color w:val="auto"/>
        </w:rPr>
        <w:t xml:space="preserve">In February 2017, the FASB issued ASU No. 2017-05, </w:t>
      </w:r>
      <w:r>
        <w:rPr>
          <w:rFonts w:ascii="Arial" w:cs="Arial" w:eastAsia="Arial" w:hAnsi="Arial"/>
          <w:sz w:val="11"/>
          <w:szCs w:val="11"/>
          <w:i w:val="1"/>
          <w:iCs w:val="1"/>
          <w:color w:val="auto"/>
        </w:rPr>
        <w:t>Other Income - Gains and Losses from the Derecognition of Nonfinancial Assets (Subtopic 610-20): Clarifying the Scope of Asset Derecognition Guidance and Accounting for Partial</w:t>
      </w:r>
      <w:r>
        <w:rPr>
          <w:rFonts w:ascii="Arial" w:cs="Arial" w:eastAsia="Arial" w:hAnsi="Arial"/>
          <w:sz w:val="11"/>
          <w:szCs w:val="11"/>
          <w:color w:val="auto"/>
        </w:rPr>
        <w:t xml:space="preserve"> </w:t>
      </w:r>
      <w:r>
        <w:rPr>
          <w:rFonts w:ascii="Arial" w:cs="Arial" w:eastAsia="Arial" w:hAnsi="Arial"/>
          <w:sz w:val="11"/>
          <w:szCs w:val="11"/>
          <w:i w:val="1"/>
          <w:iCs w:val="1"/>
          <w:color w:val="auto"/>
        </w:rPr>
        <w:t xml:space="preserve">Sales of Nonfinancial Assets </w:t>
      </w:r>
      <w:r>
        <w:rPr>
          <w:rFonts w:ascii="Arial" w:cs="Arial" w:eastAsia="Arial" w:hAnsi="Arial"/>
          <w:sz w:val="11"/>
          <w:szCs w:val="11"/>
          <w:color w:val="auto"/>
        </w:rPr>
        <w:t>(“ASU 2017-05”), which provides guidance for recognizing gains and losses from the transfer of nonfinancial assets and for partial sales of nonfinancial assets, and is effective for financial</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131" w:right="219" w:bottom="1440" w:gutter="0" w:footer="0" w:header="0"/>
        </w:sectPr>
      </w:pPr>
    </w:p>
    <w:bookmarkStart w:id="64" w:name="page65"/>
    <w:bookmarkEnd w:id="64"/>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Uniti Group Inc.</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the Consolidated Financial Statements – Continued</w:t>
      </w:r>
    </w:p>
    <w:p>
      <w:pPr>
        <w:spacing w:after="0" w:line="303" w:lineRule="exact"/>
        <w:rPr>
          <w:sz w:val="20"/>
          <w:szCs w:val="20"/>
          <w:color w:val="auto"/>
        </w:rPr>
      </w:pPr>
    </w:p>
    <w:p>
      <w:pPr>
        <w:ind w:right="60"/>
        <w:spacing w:after="0" w:line="276" w:lineRule="auto"/>
        <w:rPr>
          <w:sz w:val="20"/>
          <w:szCs w:val="20"/>
          <w:color w:val="auto"/>
        </w:rPr>
      </w:pPr>
      <w:r>
        <w:rPr>
          <w:rFonts w:ascii="Arial" w:cs="Arial" w:eastAsia="Arial" w:hAnsi="Arial"/>
          <w:sz w:val="12"/>
          <w:szCs w:val="12"/>
          <w:color w:val="auto"/>
        </w:rPr>
        <w:t>statements issued for fiscal years and interim periods beginning after December 15, 2017. The Company will adopt ASU 2017-05 effective January 1, 2018 using the modified retrospective approach and there will not be a material impact on our financial statements with the adoption of this accounting standard.</w:t>
      </w:r>
    </w:p>
    <w:p>
      <w:pPr>
        <w:spacing w:after="0" w:line="115" w:lineRule="exact"/>
        <w:rPr>
          <w:sz w:val="20"/>
          <w:szCs w:val="20"/>
          <w:color w:val="auto"/>
        </w:rPr>
      </w:pPr>
    </w:p>
    <w:p>
      <w:pPr>
        <w:ind w:right="40"/>
        <w:spacing w:after="0" w:line="259" w:lineRule="auto"/>
        <w:rPr>
          <w:sz w:val="20"/>
          <w:szCs w:val="20"/>
          <w:color w:val="auto"/>
        </w:rPr>
      </w:pPr>
      <w:r>
        <w:rPr>
          <w:rFonts w:ascii="Arial" w:cs="Arial" w:eastAsia="Arial" w:hAnsi="Arial"/>
          <w:sz w:val="12"/>
          <w:szCs w:val="12"/>
          <w:color w:val="auto"/>
        </w:rPr>
        <w:t xml:space="preserve">In January 2017, the FASB issued ASU No. 2017-04, </w:t>
      </w:r>
      <w:r>
        <w:rPr>
          <w:rFonts w:ascii="Arial" w:cs="Arial" w:eastAsia="Arial" w:hAnsi="Arial"/>
          <w:sz w:val="12"/>
          <w:szCs w:val="12"/>
          <w:i w:val="1"/>
          <w:iCs w:val="1"/>
          <w:color w:val="auto"/>
        </w:rPr>
        <w:t>Intangibles - Goodwill and Other (Topic 350): Simplifying the Accounting for Goodwill Impairment</w:t>
      </w:r>
      <w:r>
        <w:rPr>
          <w:rFonts w:ascii="Arial" w:cs="Arial" w:eastAsia="Arial" w:hAnsi="Arial"/>
          <w:sz w:val="12"/>
          <w:szCs w:val="12"/>
          <w:color w:val="auto"/>
        </w:rPr>
        <w:t xml:space="preserve"> (“ASU 2017-04”), which removes the requirement to perform a hypothetical purchase price allocation to measure goodwill impairment. A goodwill impairment will now be the amount by which a reporting unit’s carrying value exceeds its fair value, not to exceed the carrying amount of goodwill. ASU 2017-04 is effective for annual and interim periods beginning January 1, 2020, with early adoption permitted, and applied prospectively. We adopted ASU 2017-04 effective January 1, 2017, and there was no material impact on our financial position, results of operations or cash flows.</w:t>
      </w:r>
    </w:p>
    <w:p>
      <w:pPr>
        <w:spacing w:after="0" w:line="125" w:lineRule="exact"/>
        <w:rPr>
          <w:sz w:val="20"/>
          <w:szCs w:val="20"/>
          <w:color w:val="auto"/>
        </w:rPr>
      </w:pPr>
    </w:p>
    <w:p>
      <w:pPr>
        <w:spacing w:after="0" w:line="280" w:lineRule="auto"/>
        <w:rPr>
          <w:sz w:val="20"/>
          <w:szCs w:val="20"/>
          <w:color w:val="auto"/>
        </w:rPr>
      </w:pPr>
      <w:r>
        <w:rPr>
          <w:rFonts w:ascii="Arial" w:cs="Arial" w:eastAsia="Arial" w:hAnsi="Arial"/>
          <w:sz w:val="11"/>
          <w:szCs w:val="11"/>
          <w:color w:val="auto"/>
        </w:rPr>
        <w:t xml:space="preserve">In May 2014, the FASB issued ASU No. 2014-09, </w:t>
      </w:r>
      <w:r>
        <w:rPr>
          <w:rFonts w:ascii="Arial" w:cs="Arial" w:eastAsia="Arial" w:hAnsi="Arial"/>
          <w:sz w:val="11"/>
          <w:szCs w:val="11"/>
          <w:i w:val="1"/>
          <w:iCs w:val="1"/>
          <w:color w:val="auto"/>
        </w:rPr>
        <w:t>Revenue from Contracts with Customers</w:t>
      </w:r>
      <w:r>
        <w:rPr>
          <w:rFonts w:ascii="Arial" w:cs="Arial" w:eastAsia="Arial" w:hAnsi="Arial"/>
          <w:sz w:val="11"/>
          <w:szCs w:val="11"/>
          <w:color w:val="auto"/>
        </w:rPr>
        <w:t xml:space="preserve"> (“ASU 2014-09”). This update outlines a single comprehensive revenue recognition model for entities to follow in accounting for revenue from contracts with customers and supersedes most current revenue recognition guidance, including industry-specific guidance. The core principle of the revenue model is that an entity should recognize revenue for the transfer of promised goods or services to customers in an amount that reflects the consideration to which the entity expects to be entitled to receive for those goods or services. ASU 2014-09 is effective for annual periods beginning after December 15, 2017 and interim periods within those annual periods. Early adoption is permitted for public companies for annual periods beginning after December 15, 2016. The Company intends to adopt the revenue recognition guidance on January 1, 2018 using the modified retrospective approach by recognizing the cumulative effect of initially applying the new standard as an increase to the opening balance of retained earnings. The Company’s implementation efforts include reviewing revenue contracts and the identification of revenue within the scope of the guidance. As ASU 2014-09 does not impact lessor accounting, the Company believes our accounting for leasing revenues will not be significantly impacted. While the Company currently has not identified any material changes in the timing of revenue recognition, we do anticipate an impact to our Fiber Infrastructure costs, primarily related to the capitalization of commission expense under ASU 2014-09, and are currently in the process of quantifying such impacts.</w:t>
      </w:r>
    </w:p>
    <w:p>
      <w:pPr>
        <w:spacing w:after="0" w:line="116" w:lineRule="exact"/>
        <w:rPr>
          <w:sz w:val="20"/>
          <w:szCs w:val="20"/>
          <w:color w:val="auto"/>
        </w:rPr>
      </w:pPr>
    </w:p>
    <w:p>
      <w:pPr>
        <w:spacing w:after="0" w:line="279" w:lineRule="auto"/>
        <w:rPr>
          <w:sz w:val="20"/>
          <w:szCs w:val="20"/>
          <w:color w:val="auto"/>
        </w:rPr>
      </w:pPr>
      <w:r>
        <w:rPr>
          <w:rFonts w:ascii="Arial" w:cs="Arial" w:eastAsia="Arial" w:hAnsi="Arial"/>
          <w:sz w:val="11"/>
          <w:szCs w:val="11"/>
          <w:color w:val="auto"/>
        </w:rPr>
        <w:t xml:space="preserve">In February 2016, the FASB issued ASU No. 2016-02, </w:t>
      </w:r>
      <w:r>
        <w:rPr>
          <w:rFonts w:ascii="Arial" w:cs="Arial" w:eastAsia="Arial" w:hAnsi="Arial"/>
          <w:sz w:val="11"/>
          <w:szCs w:val="11"/>
          <w:i w:val="1"/>
          <w:iCs w:val="1"/>
          <w:color w:val="auto"/>
        </w:rPr>
        <w:t>Leases</w:t>
      </w:r>
      <w:r>
        <w:rPr>
          <w:rFonts w:ascii="Arial" w:cs="Arial" w:eastAsia="Arial" w:hAnsi="Arial"/>
          <w:sz w:val="11"/>
          <w:szCs w:val="11"/>
          <w:color w:val="auto"/>
        </w:rPr>
        <w:t xml:space="preserve"> (“ASC 842”), which sets out the principles for the recognition, measurement, presentation and disclosure of leases for both parties to a contract (i.e. lessees and lessors). The new standard requires lessees to apply a dual approach, classifying leases as either finance or operating leases based on the principle of whether or not the lease is effectively a financed purchase by the lessee. This classification will determine whether lease expense is recognized based on an effective interest method or on a straight line basis over the term of the lease, respectively. A lessee is also required to record a right-of-use asset and a lease liability for all leases with a term of greater than 12 months regardless of their classification. Leases with a term of 12 months or less will be accounted for similar to existing guidance for operating leases today. The new standard also replaces existing sale-lease back guidance with a new model applicable to lessees and lessors. In addition, it also requires lessors to record gross revenues and expenses associated with costs paid directly by lessees for the benefit of the lessors, such as real estate taxes and insurance, if the lessor is the named beneficiary. The provisions of this guidance are effective for annual periods beginning after December 31, 2018, and for interim periods therein. The Company is currently evaluating this guidance to determine the impact it will have on our financial statements by reviewing its existing operating lease contracts, where we are the lessee and service contracts that may include embedded leases. The Company expects a gross-up of its Consolidated Balance Sheets as a result of recognizing lease liabilities and right of use assets, the extent of the impact of a gross-up is under evaluation. The Company does not anticipate material changes to the recognition of operating lease expense in its Consolidated Statements of Income.</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4. Business Combinations and Asset Acquisitions</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Asset Acquisitions</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Network Management Holdings LTD</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131" w:right="219" w:bottom="1440" w:gutter="0" w:footer="0" w:header="0"/>
        </w:sectPr>
      </w:pPr>
    </w:p>
    <w:bookmarkStart w:id="65" w:name="page66"/>
    <w:bookmarkEnd w:id="65"/>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Uniti Group Inc.</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the Consolidated Financial Statements – Continued</w:t>
      </w:r>
    </w:p>
    <w:p>
      <w:pPr>
        <w:spacing w:after="0" w:line="159" w:lineRule="exact"/>
        <w:rPr>
          <w:sz w:val="20"/>
          <w:szCs w:val="20"/>
          <w:color w:val="auto"/>
        </w:rPr>
      </w:pPr>
    </w:p>
    <w:p>
      <w:pPr>
        <w:ind w:right="60"/>
        <w:spacing w:after="0" w:line="275" w:lineRule="auto"/>
        <w:rPr>
          <w:rFonts w:ascii="Arial" w:cs="Arial" w:eastAsia="Arial" w:hAnsi="Arial"/>
          <w:sz w:val="11"/>
          <w:szCs w:val="11"/>
          <w:color w:val="auto"/>
        </w:rPr>
      </w:pPr>
      <w:r>
        <w:rPr>
          <w:rFonts w:ascii="Arial" w:cs="Arial" w:eastAsia="Arial" w:hAnsi="Arial"/>
          <w:sz w:val="11"/>
          <w:szCs w:val="11"/>
          <w:color w:val="auto"/>
        </w:rPr>
        <w:t xml:space="preserve">On January 31, 2017, we completed the acquisition of NMS. The Company accounted for the acquisition of NMS as an asset purchase. At close, NMS owned and operated 366 wireless communications towers in Latin America with an additional 105 build to suit tower sites under development. The NMS portfolio spans three Latin American countries with 212 towers in Mexico, 54 towers in Nicaragua, and 100 towers in Colombia. The consideration for the 366 wireless towers in operation as of the transaction close date was $62.6 million, which was funded through cash on hand, and is presented in NMS asset acquisition on the Consolidated Statements of Cash Flows. NMS conducts its operations through three non-U.S. subsidiaries and the Company has determined that the functional currencies for the Mexican, Nicaraguan and Colombian subsidiaries are the Mexican Peso, U.S. Dollar and Colombian Peso, respectively. The non-U.S. subsidiaries in which NMS conducts its operations are subject to income tax in the jurisdictions in which they operate. The acquisition did not result in a step up in tax basis under local law. The Company recorded a net deferred tax liability of $18.4 million and a liability for unrecognized tax benefits of $5.3 million in connection with the acquisition. The deferred tax liability is primarily related to the excess of the recorded amounts for Property, Plant &amp; Equipment and Intangibles over their respective historical tax bases. Under the terms of the purchase agreement, we will acquire the towers under development when construction is completed. The NMS towers are reflected in our Towers segment. </w:t>
      </w:r>
      <w:hyperlink r:id="rId80">
        <w:r>
          <w:rPr>
            <w:rFonts w:ascii="Arial" w:cs="Arial" w:eastAsia="Arial" w:hAnsi="Arial"/>
            <w:sz w:val="11"/>
            <w:szCs w:val="11"/>
            <w:u w:val="single" w:color="auto"/>
            <w:color w:val="0000EE"/>
          </w:rPr>
          <w:t>See Note 13</w:t>
        </w:r>
      </w:hyperlink>
      <w:r>
        <w:rPr>
          <w:rFonts w:ascii="Arial" w:cs="Arial" w:eastAsia="Arial" w:hAnsi="Arial"/>
          <w:sz w:val="11"/>
          <w:szCs w:val="11"/>
          <w:color w:val="auto"/>
        </w:rPr>
        <w:t>. The following is a summary of the estimated fair values of the assets acquired and liabilities assumed:</w:t>
      </w:r>
    </w:p>
    <w:tbl>
      <w:tblPr>
        <w:tblLayout w:type="fixed"/>
        <w:tblInd w:w="0" w:type="dxa"/>
        <w:tblCellMar>
          <w:top w:w="0" w:type="dxa"/>
          <w:left w:w="0" w:type="dxa"/>
          <w:bottom w:w="0" w:type="dxa"/>
          <w:right w:w="0" w:type="dxa"/>
        </w:tblCellMar>
      </w:tblPr>
      <w:tr>
        <w:trPr>
          <w:trHeight w:val="110"/>
        </w:trPr>
        <w:tc>
          <w:tcPr>
            <w:tcW w:w="8700" w:type="dxa"/>
            <w:vAlign w:val="bottom"/>
            <w:tcBorders>
              <w:bottom w:val="single" w:sz="8" w:color="auto"/>
            </w:tcBorders>
          </w:tcPr>
          <w:p>
            <w:pPr>
              <w:spacing w:after="0"/>
              <w:rPr>
                <w:sz w:val="9"/>
                <w:szCs w:val="9"/>
                <w:color w:val="auto"/>
              </w:rPr>
            </w:pPr>
          </w:p>
        </w:tc>
        <w:tc>
          <w:tcPr>
            <w:tcW w:w="240" w:type="dxa"/>
            <w:vAlign w:val="bottom"/>
            <w:tcBorders>
              <w:bottom w:val="single" w:sz="8" w:color="CFF0FC"/>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920" w:type="dxa"/>
            <w:vAlign w:val="bottom"/>
            <w:tcBorders>
              <w:bottom w:val="single" w:sz="8" w:color="auto"/>
            </w:tcBorders>
          </w:tcPr>
          <w:p>
            <w:pPr>
              <w:jc w:val="right"/>
              <w:ind w:right="921"/>
              <w:spacing w:after="0" w:line="111" w:lineRule="exact"/>
              <w:rPr>
                <w:sz w:val="20"/>
                <w:szCs w:val="20"/>
                <w:color w:val="auto"/>
              </w:rPr>
            </w:pPr>
            <w:r>
              <w:rPr>
                <w:rFonts w:ascii="Arial" w:cs="Arial" w:eastAsia="Arial" w:hAnsi="Arial"/>
                <w:sz w:val="10"/>
                <w:szCs w:val="10"/>
                <w:b w:val="1"/>
                <w:bCs w:val="1"/>
                <w:color w:val="auto"/>
              </w:rPr>
              <w:t>(thousands)</w:t>
            </w:r>
          </w:p>
        </w:tc>
        <w:tc>
          <w:tcPr>
            <w:tcW w:w="100" w:type="dxa"/>
            <w:vAlign w:val="bottom"/>
            <w:tcBorders>
              <w:bottom w:val="single" w:sz="8" w:color="CFF0FC"/>
            </w:tcBorders>
          </w:tcPr>
          <w:p>
            <w:pPr>
              <w:spacing w:after="0"/>
              <w:rPr>
                <w:sz w:val="9"/>
                <w:szCs w:val="9"/>
                <w:color w:val="auto"/>
              </w:rPr>
            </w:pPr>
          </w:p>
        </w:tc>
      </w:tr>
      <w:tr>
        <w:trPr>
          <w:trHeight w:val="160"/>
        </w:trPr>
        <w:tc>
          <w:tcPr>
            <w:tcW w:w="894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Property, plant and equipment</w:t>
            </w:r>
          </w:p>
        </w:tc>
        <w:tc>
          <w:tcPr>
            <w:tcW w:w="520" w:type="dxa"/>
            <w:vAlign w:val="bottom"/>
            <w:shd w:val="clear" w:color="auto" w:fill="CFF0FC"/>
          </w:tcPr>
          <w:p>
            <w:pPr>
              <w:jc w:val="right"/>
              <w:ind w:right="410"/>
              <w:spacing w:after="0"/>
              <w:rPr>
                <w:sz w:val="20"/>
                <w:szCs w:val="20"/>
                <w:color w:val="auto"/>
              </w:rPr>
            </w:pPr>
            <w:r>
              <w:rPr>
                <w:rFonts w:ascii="Arial" w:cs="Arial" w:eastAsia="Arial" w:hAnsi="Arial"/>
                <w:sz w:val="10"/>
                <w:szCs w:val="10"/>
                <w:color w:val="auto"/>
                <w:w w:val="71"/>
              </w:rPr>
              <w:t>$</w:t>
            </w:r>
          </w:p>
        </w:tc>
        <w:tc>
          <w:tcPr>
            <w:tcW w:w="1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36,417</w:t>
            </w:r>
          </w:p>
        </w:tc>
        <w:tc>
          <w:tcPr>
            <w:tcW w:w="100" w:type="dxa"/>
            <w:vAlign w:val="bottom"/>
            <w:shd w:val="clear" w:color="auto" w:fill="CFF0FC"/>
          </w:tcPr>
          <w:p>
            <w:pPr>
              <w:spacing w:after="0"/>
              <w:rPr>
                <w:sz w:val="13"/>
                <w:szCs w:val="13"/>
                <w:color w:val="auto"/>
              </w:rPr>
            </w:pPr>
          </w:p>
        </w:tc>
      </w:tr>
      <w:tr>
        <w:trPr>
          <w:trHeight w:val="153"/>
        </w:trPr>
        <w:tc>
          <w:tcPr>
            <w:tcW w:w="8940" w:type="dxa"/>
            <w:vAlign w:val="bottom"/>
            <w:gridSpan w:val="2"/>
          </w:tcPr>
          <w:p>
            <w:pPr>
              <w:spacing w:after="0"/>
              <w:rPr>
                <w:sz w:val="20"/>
                <w:szCs w:val="20"/>
                <w:color w:val="auto"/>
              </w:rPr>
            </w:pPr>
            <w:r>
              <w:rPr>
                <w:rFonts w:ascii="Arial" w:cs="Arial" w:eastAsia="Arial" w:hAnsi="Arial"/>
                <w:sz w:val="12"/>
                <w:szCs w:val="12"/>
                <w:color w:val="auto"/>
              </w:rPr>
              <w:t>Accounts receivable</w:t>
            </w:r>
          </w:p>
        </w:tc>
        <w:tc>
          <w:tcPr>
            <w:tcW w:w="520" w:type="dxa"/>
            <w:vAlign w:val="bottom"/>
          </w:tcPr>
          <w:p>
            <w:pPr>
              <w:spacing w:after="0"/>
              <w:rPr>
                <w:sz w:val="13"/>
                <w:szCs w:val="13"/>
                <w:color w:val="auto"/>
              </w:rPr>
            </w:pPr>
          </w:p>
        </w:tc>
        <w:tc>
          <w:tcPr>
            <w:tcW w:w="1920" w:type="dxa"/>
            <w:vAlign w:val="bottom"/>
          </w:tcPr>
          <w:p>
            <w:pPr>
              <w:jc w:val="right"/>
              <w:spacing w:after="0"/>
              <w:rPr>
                <w:sz w:val="20"/>
                <w:szCs w:val="20"/>
                <w:color w:val="auto"/>
              </w:rPr>
            </w:pPr>
            <w:r>
              <w:rPr>
                <w:rFonts w:ascii="Arial" w:cs="Arial" w:eastAsia="Arial" w:hAnsi="Arial"/>
                <w:sz w:val="12"/>
                <w:szCs w:val="12"/>
                <w:color w:val="auto"/>
              </w:rPr>
              <w:t>2,826</w:t>
            </w:r>
          </w:p>
        </w:tc>
        <w:tc>
          <w:tcPr>
            <w:tcW w:w="100" w:type="dxa"/>
            <w:vAlign w:val="bottom"/>
          </w:tcPr>
          <w:p>
            <w:pPr>
              <w:spacing w:after="0"/>
              <w:rPr>
                <w:sz w:val="13"/>
                <w:szCs w:val="13"/>
                <w:color w:val="auto"/>
              </w:rPr>
            </w:pPr>
          </w:p>
        </w:tc>
      </w:tr>
      <w:tr>
        <w:trPr>
          <w:trHeight w:val="153"/>
        </w:trPr>
        <w:tc>
          <w:tcPr>
            <w:tcW w:w="894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Other assets</w:t>
            </w:r>
          </w:p>
        </w:tc>
        <w:tc>
          <w:tcPr>
            <w:tcW w:w="520" w:type="dxa"/>
            <w:vAlign w:val="bottom"/>
            <w:shd w:val="clear" w:color="auto" w:fill="CFF0FC"/>
          </w:tcPr>
          <w:p>
            <w:pPr>
              <w:spacing w:after="0"/>
              <w:rPr>
                <w:sz w:val="13"/>
                <w:szCs w:val="13"/>
                <w:color w:val="auto"/>
              </w:rPr>
            </w:pPr>
          </w:p>
        </w:tc>
        <w:tc>
          <w:tcPr>
            <w:tcW w:w="1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1,623</w:t>
            </w:r>
          </w:p>
        </w:tc>
        <w:tc>
          <w:tcPr>
            <w:tcW w:w="100" w:type="dxa"/>
            <w:vAlign w:val="bottom"/>
            <w:shd w:val="clear" w:color="auto" w:fill="CFF0FC"/>
          </w:tcPr>
          <w:p>
            <w:pPr>
              <w:spacing w:after="0"/>
              <w:rPr>
                <w:sz w:val="13"/>
                <w:szCs w:val="13"/>
                <w:color w:val="auto"/>
              </w:rPr>
            </w:pPr>
          </w:p>
        </w:tc>
      </w:tr>
      <w:tr>
        <w:trPr>
          <w:trHeight w:val="153"/>
        </w:trPr>
        <w:tc>
          <w:tcPr>
            <w:tcW w:w="8940" w:type="dxa"/>
            <w:vAlign w:val="bottom"/>
            <w:gridSpan w:val="2"/>
          </w:tcPr>
          <w:p>
            <w:pPr>
              <w:spacing w:after="0"/>
              <w:rPr>
                <w:sz w:val="20"/>
                <w:szCs w:val="20"/>
                <w:color w:val="auto"/>
              </w:rPr>
            </w:pPr>
            <w:r>
              <w:rPr>
                <w:rFonts w:ascii="Arial" w:cs="Arial" w:eastAsia="Arial" w:hAnsi="Arial"/>
                <w:sz w:val="12"/>
                <w:szCs w:val="12"/>
                <w:color w:val="auto"/>
              </w:rPr>
              <w:t>Intangible assets</w:t>
            </w:r>
          </w:p>
        </w:tc>
        <w:tc>
          <w:tcPr>
            <w:tcW w:w="520" w:type="dxa"/>
            <w:vAlign w:val="bottom"/>
          </w:tcPr>
          <w:p>
            <w:pPr>
              <w:spacing w:after="0"/>
              <w:rPr>
                <w:sz w:val="13"/>
                <w:szCs w:val="13"/>
                <w:color w:val="auto"/>
              </w:rPr>
            </w:pPr>
          </w:p>
        </w:tc>
        <w:tc>
          <w:tcPr>
            <w:tcW w:w="1920" w:type="dxa"/>
            <w:vAlign w:val="bottom"/>
          </w:tcPr>
          <w:p>
            <w:pPr>
              <w:jc w:val="right"/>
              <w:spacing w:after="0"/>
              <w:rPr>
                <w:sz w:val="20"/>
                <w:szCs w:val="20"/>
                <w:color w:val="auto"/>
              </w:rPr>
            </w:pPr>
            <w:r>
              <w:rPr>
                <w:rFonts w:ascii="Arial" w:cs="Arial" w:eastAsia="Arial" w:hAnsi="Arial"/>
                <w:sz w:val="12"/>
                <w:szCs w:val="12"/>
                <w:color w:val="auto"/>
              </w:rPr>
              <w:t>52,437</w:t>
            </w:r>
          </w:p>
        </w:tc>
        <w:tc>
          <w:tcPr>
            <w:tcW w:w="100" w:type="dxa"/>
            <w:vAlign w:val="bottom"/>
          </w:tcPr>
          <w:p>
            <w:pPr>
              <w:spacing w:after="0"/>
              <w:rPr>
                <w:sz w:val="13"/>
                <w:szCs w:val="13"/>
                <w:color w:val="auto"/>
              </w:rPr>
            </w:pPr>
          </w:p>
        </w:tc>
      </w:tr>
      <w:tr>
        <w:trPr>
          <w:trHeight w:val="153"/>
        </w:trPr>
        <w:tc>
          <w:tcPr>
            <w:tcW w:w="894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Accounts payable, accrued expenses and other liabilities</w:t>
            </w:r>
          </w:p>
        </w:tc>
        <w:tc>
          <w:tcPr>
            <w:tcW w:w="520" w:type="dxa"/>
            <w:vAlign w:val="bottom"/>
            <w:shd w:val="clear" w:color="auto" w:fill="CFF0FC"/>
          </w:tcPr>
          <w:p>
            <w:pPr>
              <w:spacing w:after="0"/>
              <w:rPr>
                <w:sz w:val="13"/>
                <w:szCs w:val="13"/>
                <w:color w:val="auto"/>
              </w:rPr>
            </w:pPr>
          </w:p>
        </w:tc>
        <w:tc>
          <w:tcPr>
            <w:tcW w:w="202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(8,895)</w:t>
            </w:r>
          </w:p>
        </w:tc>
      </w:tr>
      <w:tr>
        <w:trPr>
          <w:trHeight w:val="153"/>
        </w:trPr>
        <w:tc>
          <w:tcPr>
            <w:tcW w:w="8940" w:type="dxa"/>
            <w:vAlign w:val="bottom"/>
            <w:gridSpan w:val="2"/>
          </w:tcPr>
          <w:p>
            <w:pPr>
              <w:spacing w:after="0"/>
              <w:rPr>
                <w:sz w:val="20"/>
                <w:szCs w:val="20"/>
                <w:color w:val="auto"/>
              </w:rPr>
            </w:pPr>
            <w:r>
              <w:rPr>
                <w:rFonts w:ascii="Arial" w:cs="Arial" w:eastAsia="Arial" w:hAnsi="Arial"/>
                <w:sz w:val="12"/>
                <w:szCs w:val="12"/>
                <w:color w:val="auto"/>
              </w:rPr>
              <w:t>Intangible liabilities</w:t>
            </w:r>
          </w:p>
        </w:tc>
        <w:tc>
          <w:tcPr>
            <w:tcW w:w="520" w:type="dxa"/>
            <w:vAlign w:val="bottom"/>
          </w:tcPr>
          <w:p>
            <w:pPr>
              <w:spacing w:after="0"/>
              <w:rPr>
                <w:sz w:val="13"/>
                <w:szCs w:val="13"/>
                <w:color w:val="auto"/>
              </w:rPr>
            </w:pPr>
          </w:p>
        </w:tc>
        <w:tc>
          <w:tcPr>
            <w:tcW w:w="2020" w:type="dxa"/>
            <w:vAlign w:val="bottom"/>
            <w:gridSpan w:val="2"/>
          </w:tcPr>
          <w:p>
            <w:pPr>
              <w:jc w:val="right"/>
              <w:ind w:right="60"/>
              <w:spacing w:after="0"/>
              <w:rPr>
                <w:sz w:val="20"/>
                <w:szCs w:val="20"/>
                <w:color w:val="auto"/>
              </w:rPr>
            </w:pPr>
            <w:r>
              <w:rPr>
                <w:rFonts w:ascii="Arial" w:cs="Arial" w:eastAsia="Arial" w:hAnsi="Arial"/>
                <w:sz w:val="12"/>
                <w:szCs w:val="12"/>
                <w:color w:val="auto"/>
              </w:rPr>
              <w:t>(3,440)</w:t>
            </w:r>
          </w:p>
        </w:tc>
      </w:tr>
      <w:tr>
        <w:trPr>
          <w:trHeight w:val="153"/>
        </w:trPr>
        <w:tc>
          <w:tcPr>
            <w:tcW w:w="894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Deferred income taxes</w:t>
            </w:r>
          </w:p>
        </w:tc>
        <w:tc>
          <w:tcPr>
            <w:tcW w:w="520" w:type="dxa"/>
            <w:vAlign w:val="bottom"/>
            <w:shd w:val="clear" w:color="auto" w:fill="CFF0FC"/>
          </w:tcPr>
          <w:p>
            <w:pPr>
              <w:spacing w:after="0"/>
              <w:rPr>
                <w:sz w:val="13"/>
                <w:szCs w:val="13"/>
                <w:color w:val="auto"/>
              </w:rPr>
            </w:pPr>
          </w:p>
        </w:tc>
        <w:tc>
          <w:tcPr>
            <w:tcW w:w="202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(18,403)</w:t>
            </w:r>
          </w:p>
        </w:tc>
      </w:tr>
      <w:tr>
        <w:trPr>
          <w:trHeight w:val="149"/>
        </w:trPr>
        <w:tc>
          <w:tcPr>
            <w:tcW w:w="8940" w:type="dxa"/>
            <w:vAlign w:val="bottom"/>
            <w:gridSpan w:val="2"/>
          </w:tcPr>
          <w:p>
            <w:pPr>
              <w:spacing w:after="0"/>
              <w:rPr>
                <w:sz w:val="20"/>
                <w:szCs w:val="20"/>
                <w:color w:val="auto"/>
              </w:rPr>
            </w:pPr>
            <w:r>
              <w:rPr>
                <w:rFonts w:ascii="Arial" w:cs="Arial" w:eastAsia="Arial" w:hAnsi="Arial"/>
                <w:sz w:val="12"/>
                <w:szCs w:val="12"/>
                <w:color w:val="auto"/>
              </w:rPr>
              <w:t>Total purchase consideration</w:t>
            </w:r>
          </w:p>
        </w:tc>
        <w:tc>
          <w:tcPr>
            <w:tcW w:w="5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0"/>
                <w:szCs w:val="10"/>
                <w:color w:val="auto"/>
                <w:w w:val="71"/>
              </w:rPr>
              <w:t>$</w:t>
            </w:r>
          </w:p>
        </w:tc>
        <w:tc>
          <w:tcPr>
            <w:tcW w:w="1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62,565</w:t>
            </w:r>
          </w:p>
        </w:tc>
        <w:tc>
          <w:tcPr>
            <w:tcW w:w="100" w:type="dxa"/>
            <w:vAlign w:val="bottom"/>
          </w:tcPr>
          <w:p>
            <w:pPr>
              <w:spacing w:after="0"/>
              <w:rPr>
                <w:sz w:val="12"/>
                <w:szCs w:val="12"/>
                <w:color w:val="auto"/>
              </w:rPr>
            </w:pPr>
          </w:p>
        </w:tc>
      </w:tr>
    </w:tbl>
    <w:p>
      <w:pPr>
        <w:spacing w:after="0" w:line="135" w:lineRule="exact"/>
        <w:rPr>
          <w:sz w:val="20"/>
          <w:szCs w:val="20"/>
          <w:color w:val="auto"/>
        </w:rPr>
      </w:pPr>
    </w:p>
    <w:p>
      <w:pPr>
        <w:ind w:right="120"/>
        <w:spacing w:after="0" w:line="276" w:lineRule="auto"/>
        <w:rPr>
          <w:sz w:val="20"/>
          <w:szCs w:val="20"/>
          <w:color w:val="auto"/>
        </w:rPr>
      </w:pPr>
      <w:r>
        <w:rPr>
          <w:rFonts w:ascii="Arial" w:cs="Arial" w:eastAsia="Arial" w:hAnsi="Arial"/>
          <w:sz w:val="12"/>
          <w:szCs w:val="12"/>
          <w:color w:val="auto"/>
        </w:rPr>
        <w:t>Of the $52.4 million of acquired intangible assets, $37.4 million was assigned to tenant contracts (22 year life), $13.5 million was assigned to network (22 year life) and $1.5 million was assigned to acquired above-market leases (10 year life). The acquired below-market lease intangible liability of $3.4 million has a 10 year life. See Note 8.</w:t>
      </w:r>
    </w:p>
    <w:p>
      <w:pPr>
        <w:spacing w:after="0" w:line="115" w:lineRule="exact"/>
        <w:rPr>
          <w:sz w:val="20"/>
          <w:szCs w:val="20"/>
          <w:color w:val="auto"/>
        </w:rPr>
      </w:pPr>
    </w:p>
    <w:p>
      <w:pPr>
        <w:ind w:right="40"/>
        <w:spacing w:after="0" w:line="276" w:lineRule="auto"/>
        <w:rPr>
          <w:sz w:val="20"/>
          <w:szCs w:val="20"/>
          <w:color w:val="auto"/>
        </w:rPr>
      </w:pPr>
      <w:r>
        <w:rPr>
          <w:rFonts w:ascii="Arial" w:cs="Arial" w:eastAsia="Arial" w:hAnsi="Arial"/>
          <w:sz w:val="12"/>
          <w:szCs w:val="12"/>
          <w:color w:val="auto"/>
        </w:rPr>
        <w:t>As of December 31, 2017, construction was completed on 50 of the 105 towers that were under development at the time of the NMS acquisition, and we acquired the completed towers pursuant to the purchase agreement for approximately $5.1 million.</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Business Combinations</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2017 Transactions</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Southern Light, LLC</w:t>
      </w:r>
    </w:p>
    <w:p>
      <w:pPr>
        <w:spacing w:after="0" w:line="114" w:lineRule="exact"/>
        <w:rPr>
          <w:sz w:val="20"/>
          <w:szCs w:val="20"/>
          <w:color w:val="auto"/>
        </w:rPr>
      </w:pPr>
    </w:p>
    <w:p>
      <w:pPr>
        <w:ind w:right="40"/>
        <w:spacing w:after="0" w:line="259" w:lineRule="auto"/>
        <w:rPr>
          <w:rFonts w:ascii="Arial" w:cs="Arial" w:eastAsia="Arial" w:hAnsi="Arial"/>
          <w:sz w:val="12"/>
          <w:szCs w:val="12"/>
          <w:color w:val="auto"/>
        </w:rPr>
      </w:pPr>
      <w:r>
        <w:rPr>
          <w:rFonts w:ascii="Arial" w:cs="Arial" w:eastAsia="Arial" w:hAnsi="Arial"/>
          <w:sz w:val="12"/>
          <w:szCs w:val="12"/>
          <w:color w:val="auto"/>
        </w:rPr>
        <w:t xml:space="preserve">On July 3, 2017, we acquired 100% of the outstanding equity of Southern Light for $638.1 million in cash and 2.5 million common units in the Operating Partnership with an acquisition date fair value of $64.3 million. Southern Light is a leading provider of data transport services along the Gulf Coast region serving twelve attractive Tier II and Tier III markets across Florida, Alabama, Louisiana, and Mississippi. The acquisition was recorded by allocating the costs of the assets acquired based on their estimated fair values at the acquisition date. The excess of the cost of the acquisition over the fair value of the assets acquired is recorded as goodwill within our Fiber Infrastructure segment. </w:t>
      </w:r>
      <w:hyperlink r:id="rId80">
        <w:r>
          <w:rPr>
            <w:rFonts w:ascii="Arial" w:cs="Arial" w:eastAsia="Arial" w:hAnsi="Arial"/>
            <w:sz w:val="12"/>
            <w:szCs w:val="12"/>
            <w:u w:val="single" w:color="auto"/>
            <w:color w:val="0000EE"/>
          </w:rPr>
          <w:t>See Note 1</w:t>
        </w:r>
      </w:hyperlink>
      <w:r>
        <w:rPr>
          <w:rFonts w:ascii="Arial" w:cs="Arial" w:eastAsia="Arial" w:hAnsi="Arial"/>
          <w:sz w:val="12"/>
          <w:szCs w:val="12"/>
          <w:color w:val="auto"/>
        </w:rPr>
        <w:t>3. The following is a summary of the estimated fair values of the assets acquired and liabilities assumed:</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66" w:name="page67"/>
    <w:bookmarkEnd w:id="66"/>
    <w:p>
      <w:pPr>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tbl>
      <w:tblPr>
        <w:tblLayout w:type="fixed"/>
        <w:tblInd w:w="0" w:type="dxa"/>
        <w:tblCellMar>
          <w:top w:w="0" w:type="dxa"/>
          <w:left w:w="0" w:type="dxa"/>
          <w:bottom w:w="0" w:type="dxa"/>
          <w:right w:w="0" w:type="dxa"/>
        </w:tblCellMar>
      </w:tblPr>
      <w:tr>
        <w:trPr>
          <w:trHeight w:val="138"/>
        </w:trPr>
        <w:tc>
          <w:tcPr>
            <w:tcW w:w="840" w:type="dxa"/>
            <w:vAlign w:val="bottom"/>
            <w:tcBorders>
              <w:top w:val="single" w:sz="8" w:color="0000EE"/>
            </w:tcBorders>
          </w:tcPr>
          <w:p>
            <w:pPr>
              <w:spacing w:after="0"/>
              <w:rPr>
                <w:sz w:val="12"/>
                <w:szCs w:val="12"/>
                <w:color w:val="auto"/>
              </w:rPr>
            </w:pPr>
          </w:p>
        </w:tc>
        <w:tc>
          <w:tcPr>
            <w:tcW w:w="2600" w:type="dxa"/>
            <w:vAlign w:val="bottom"/>
          </w:tcPr>
          <w:p>
            <w:pPr>
              <w:spacing w:after="0"/>
              <w:rPr>
                <w:sz w:val="12"/>
                <w:szCs w:val="12"/>
                <w:color w:val="auto"/>
              </w:rPr>
            </w:pPr>
          </w:p>
        </w:tc>
        <w:tc>
          <w:tcPr>
            <w:tcW w:w="6040" w:type="dxa"/>
            <w:vAlign w:val="bottom"/>
            <w:gridSpan w:val="3"/>
          </w:tcPr>
          <w:p>
            <w:pPr>
              <w:jc w:val="right"/>
              <w:ind w:right="3270"/>
              <w:spacing w:after="0"/>
              <w:rPr>
                <w:sz w:val="20"/>
                <w:szCs w:val="20"/>
                <w:color w:val="auto"/>
              </w:rPr>
            </w:pPr>
            <w:r>
              <w:rPr>
                <w:rFonts w:ascii="Arial" w:cs="Arial" w:eastAsia="Arial" w:hAnsi="Arial"/>
                <w:sz w:val="12"/>
                <w:szCs w:val="12"/>
                <w:b w:val="1"/>
                <w:bCs w:val="1"/>
                <w:color w:val="auto"/>
              </w:rPr>
              <w:t>Uniti Group Inc.</w:t>
            </w:r>
          </w:p>
        </w:tc>
        <w:tc>
          <w:tcPr>
            <w:tcW w:w="18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7"/>
        </w:trPr>
        <w:tc>
          <w:tcPr>
            <w:tcW w:w="84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6040" w:type="dxa"/>
            <w:vAlign w:val="bottom"/>
            <w:gridSpan w:val="3"/>
          </w:tcPr>
          <w:p>
            <w:pPr>
              <w:jc w:val="right"/>
              <w:ind w:right="2150"/>
              <w:spacing w:after="0"/>
              <w:rPr>
                <w:sz w:val="20"/>
                <w:szCs w:val="20"/>
                <w:color w:val="auto"/>
              </w:rPr>
            </w:pPr>
            <w:r>
              <w:rPr>
                <w:rFonts w:ascii="Arial" w:cs="Arial" w:eastAsia="Arial" w:hAnsi="Arial"/>
                <w:sz w:val="12"/>
                <w:szCs w:val="12"/>
                <w:b w:val="1"/>
                <w:bCs w:val="1"/>
                <w:color w:val="auto"/>
              </w:rPr>
              <w:t>Notes to the Consolidated Financial Statements – Continued</w:t>
            </w:r>
          </w:p>
        </w:tc>
        <w:tc>
          <w:tcPr>
            <w:tcW w:w="18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315"/>
        </w:trPr>
        <w:tc>
          <w:tcPr>
            <w:tcW w:w="84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c>
          <w:tcPr>
            <w:tcW w:w="240" w:type="dxa"/>
            <w:vAlign w:val="bottom"/>
            <w:tcBorders>
              <w:bottom w:val="single" w:sz="8" w:color="CFF0FC"/>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jc w:val="right"/>
              <w:ind w:right="901"/>
              <w:spacing w:after="0"/>
              <w:rPr>
                <w:sz w:val="20"/>
                <w:szCs w:val="20"/>
                <w:color w:val="auto"/>
              </w:rPr>
            </w:pPr>
            <w:r>
              <w:rPr>
                <w:rFonts w:ascii="Arial" w:cs="Arial" w:eastAsia="Arial" w:hAnsi="Arial"/>
                <w:sz w:val="10"/>
                <w:szCs w:val="10"/>
                <w:b w:val="1"/>
                <w:bCs w:val="1"/>
                <w:color w:val="auto"/>
              </w:rPr>
              <w:t>(thousands)</w:t>
            </w:r>
          </w:p>
        </w:tc>
        <w:tc>
          <w:tcPr>
            <w:tcW w:w="120" w:type="dxa"/>
            <w:vAlign w:val="bottom"/>
            <w:tcBorders>
              <w:bottom w:val="single" w:sz="8" w:color="CFF0FC"/>
            </w:tcBorders>
          </w:tcPr>
          <w:p>
            <w:pPr>
              <w:spacing w:after="0"/>
              <w:rPr>
                <w:sz w:val="24"/>
                <w:szCs w:val="24"/>
                <w:color w:val="auto"/>
              </w:rPr>
            </w:pPr>
          </w:p>
        </w:tc>
      </w:tr>
      <w:tr>
        <w:trPr>
          <w:trHeight w:val="160"/>
        </w:trPr>
        <w:tc>
          <w:tcPr>
            <w:tcW w:w="344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Property, plant and equipment</w:t>
            </w:r>
          </w:p>
        </w:tc>
        <w:tc>
          <w:tcPr>
            <w:tcW w:w="6040" w:type="dxa"/>
            <w:vAlign w:val="bottom"/>
            <w:gridSpan w:val="3"/>
            <w:shd w:val="clear" w:color="auto" w:fill="CFF0FC"/>
          </w:tcPr>
          <w:p>
            <w:pPr>
              <w:jc w:val="right"/>
              <w:ind w:right="410"/>
              <w:spacing w:after="0"/>
              <w:rPr>
                <w:sz w:val="20"/>
                <w:szCs w:val="20"/>
                <w:color w:val="auto"/>
              </w:rPr>
            </w:pPr>
            <w:r>
              <w:rPr>
                <w:rFonts w:ascii="Arial" w:cs="Arial" w:eastAsia="Arial" w:hAnsi="Arial"/>
                <w:sz w:val="12"/>
                <w:szCs w:val="12"/>
                <w:color w:val="auto"/>
              </w:rPr>
              <w:t>$</w:t>
            </w:r>
          </w:p>
        </w:tc>
        <w:tc>
          <w:tcPr>
            <w:tcW w:w="1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279,467</w:t>
            </w:r>
          </w:p>
        </w:tc>
        <w:tc>
          <w:tcPr>
            <w:tcW w:w="120" w:type="dxa"/>
            <w:vAlign w:val="bottom"/>
            <w:shd w:val="clear" w:color="auto" w:fill="CFF0FC"/>
          </w:tcPr>
          <w:p>
            <w:pPr>
              <w:spacing w:after="0"/>
              <w:rPr>
                <w:sz w:val="13"/>
                <w:szCs w:val="13"/>
                <w:color w:val="auto"/>
              </w:rPr>
            </w:pPr>
          </w:p>
        </w:tc>
      </w:tr>
      <w:tr>
        <w:trPr>
          <w:trHeight w:val="153"/>
        </w:trPr>
        <w:tc>
          <w:tcPr>
            <w:tcW w:w="3440" w:type="dxa"/>
            <w:vAlign w:val="bottom"/>
            <w:gridSpan w:val="2"/>
          </w:tcPr>
          <w:p>
            <w:pPr>
              <w:spacing w:after="0"/>
              <w:rPr>
                <w:sz w:val="20"/>
                <w:szCs w:val="20"/>
                <w:color w:val="auto"/>
              </w:rPr>
            </w:pPr>
            <w:r>
              <w:rPr>
                <w:rFonts w:ascii="Arial" w:cs="Arial" w:eastAsia="Arial" w:hAnsi="Arial"/>
                <w:sz w:val="12"/>
                <w:szCs w:val="12"/>
                <w:color w:val="auto"/>
              </w:rPr>
              <w:t>Cash and cash equivalents</w:t>
            </w:r>
          </w:p>
        </w:tc>
        <w:tc>
          <w:tcPr>
            <w:tcW w:w="5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80" w:type="dxa"/>
            <w:vAlign w:val="bottom"/>
          </w:tcPr>
          <w:p>
            <w:pPr>
              <w:jc w:val="right"/>
              <w:spacing w:after="0"/>
              <w:rPr>
                <w:sz w:val="20"/>
                <w:szCs w:val="20"/>
                <w:color w:val="auto"/>
              </w:rPr>
            </w:pPr>
            <w:r>
              <w:rPr>
                <w:rFonts w:ascii="Arial" w:cs="Arial" w:eastAsia="Arial" w:hAnsi="Arial"/>
                <w:sz w:val="12"/>
                <w:szCs w:val="12"/>
                <w:color w:val="auto"/>
              </w:rPr>
              <w:t>1,992</w:t>
            </w:r>
          </w:p>
        </w:tc>
        <w:tc>
          <w:tcPr>
            <w:tcW w:w="120" w:type="dxa"/>
            <w:vAlign w:val="bottom"/>
          </w:tcPr>
          <w:p>
            <w:pPr>
              <w:spacing w:after="0"/>
              <w:rPr>
                <w:sz w:val="13"/>
                <w:szCs w:val="13"/>
                <w:color w:val="auto"/>
              </w:rPr>
            </w:pPr>
          </w:p>
        </w:tc>
      </w:tr>
      <w:tr>
        <w:trPr>
          <w:trHeight w:val="153"/>
        </w:trPr>
        <w:tc>
          <w:tcPr>
            <w:tcW w:w="344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Accounts receivable</w:t>
            </w:r>
          </w:p>
        </w:tc>
        <w:tc>
          <w:tcPr>
            <w:tcW w:w="52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11,139</w:t>
            </w:r>
          </w:p>
        </w:tc>
        <w:tc>
          <w:tcPr>
            <w:tcW w:w="120" w:type="dxa"/>
            <w:vAlign w:val="bottom"/>
            <w:shd w:val="clear" w:color="auto" w:fill="CFF0FC"/>
          </w:tcPr>
          <w:p>
            <w:pPr>
              <w:spacing w:after="0"/>
              <w:rPr>
                <w:sz w:val="13"/>
                <w:szCs w:val="13"/>
                <w:color w:val="auto"/>
              </w:rPr>
            </w:pPr>
          </w:p>
        </w:tc>
      </w:tr>
      <w:tr>
        <w:trPr>
          <w:trHeight w:val="153"/>
        </w:trPr>
        <w:tc>
          <w:tcPr>
            <w:tcW w:w="3440" w:type="dxa"/>
            <w:vAlign w:val="bottom"/>
            <w:gridSpan w:val="2"/>
          </w:tcPr>
          <w:p>
            <w:pPr>
              <w:spacing w:after="0"/>
              <w:rPr>
                <w:sz w:val="20"/>
                <w:szCs w:val="20"/>
                <w:color w:val="auto"/>
              </w:rPr>
            </w:pPr>
            <w:r>
              <w:rPr>
                <w:rFonts w:ascii="Arial" w:cs="Arial" w:eastAsia="Arial" w:hAnsi="Arial"/>
                <w:sz w:val="12"/>
                <w:szCs w:val="12"/>
                <w:color w:val="auto"/>
              </w:rPr>
              <w:t>Other assets</w:t>
            </w:r>
          </w:p>
        </w:tc>
        <w:tc>
          <w:tcPr>
            <w:tcW w:w="5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80" w:type="dxa"/>
            <w:vAlign w:val="bottom"/>
          </w:tcPr>
          <w:p>
            <w:pPr>
              <w:jc w:val="right"/>
              <w:spacing w:after="0"/>
              <w:rPr>
                <w:sz w:val="20"/>
                <w:szCs w:val="20"/>
                <w:color w:val="auto"/>
              </w:rPr>
            </w:pPr>
            <w:r>
              <w:rPr>
                <w:rFonts w:ascii="Arial" w:cs="Arial" w:eastAsia="Arial" w:hAnsi="Arial"/>
                <w:sz w:val="12"/>
                <w:szCs w:val="12"/>
                <w:color w:val="auto"/>
              </w:rPr>
              <w:t>1,287</w:t>
            </w:r>
          </w:p>
        </w:tc>
        <w:tc>
          <w:tcPr>
            <w:tcW w:w="120" w:type="dxa"/>
            <w:vAlign w:val="bottom"/>
          </w:tcPr>
          <w:p>
            <w:pPr>
              <w:spacing w:after="0"/>
              <w:rPr>
                <w:sz w:val="13"/>
                <w:szCs w:val="13"/>
                <w:color w:val="auto"/>
              </w:rPr>
            </w:pPr>
          </w:p>
        </w:tc>
      </w:tr>
      <w:tr>
        <w:trPr>
          <w:trHeight w:val="153"/>
        </w:trPr>
        <w:tc>
          <w:tcPr>
            <w:tcW w:w="344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Goodwill</w:t>
            </w:r>
          </w:p>
        </w:tc>
        <w:tc>
          <w:tcPr>
            <w:tcW w:w="52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318,620</w:t>
            </w:r>
          </w:p>
        </w:tc>
        <w:tc>
          <w:tcPr>
            <w:tcW w:w="120" w:type="dxa"/>
            <w:vAlign w:val="bottom"/>
            <w:shd w:val="clear" w:color="auto" w:fill="CFF0FC"/>
          </w:tcPr>
          <w:p>
            <w:pPr>
              <w:spacing w:after="0"/>
              <w:rPr>
                <w:sz w:val="13"/>
                <w:szCs w:val="13"/>
                <w:color w:val="auto"/>
              </w:rPr>
            </w:pPr>
          </w:p>
        </w:tc>
      </w:tr>
      <w:tr>
        <w:trPr>
          <w:trHeight w:val="153"/>
        </w:trPr>
        <w:tc>
          <w:tcPr>
            <w:tcW w:w="3440" w:type="dxa"/>
            <w:vAlign w:val="bottom"/>
            <w:gridSpan w:val="2"/>
          </w:tcPr>
          <w:p>
            <w:pPr>
              <w:spacing w:after="0"/>
              <w:rPr>
                <w:sz w:val="20"/>
                <w:szCs w:val="20"/>
                <w:color w:val="auto"/>
              </w:rPr>
            </w:pPr>
            <w:r>
              <w:rPr>
                <w:rFonts w:ascii="Arial" w:cs="Arial" w:eastAsia="Arial" w:hAnsi="Arial"/>
                <w:sz w:val="12"/>
                <w:szCs w:val="12"/>
                <w:color w:val="auto"/>
              </w:rPr>
              <w:t>Intangible assets</w:t>
            </w:r>
          </w:p>
        </w:tc>
        <w:tc>
          <w:tcPr>
            <w:tcW w:w="5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80" w:type="dxa"/>
            <w:vAlign w:val="bottom"/>
          </w:tcPr>
          <w:p>
            <w:pPr>
              <w:jc w:val="right"/>
              <w:spacing w:after="0"/>
              <w:rPr>
                <w:sz w:val="20"/>
                <w:szCs w:val="20"/>
                <w:color w:val="auto"/>
              </w:rPr>
            </w:pPr>
            <w:r>
              <w:rPr>
                <w:rFonts w:ascii="Arial" w:cs="Arial" w:eastAsia="Arial" w:hAnsi="Arial"/>
                <w:sz w:val="12"/>
                <w:szCs w:val="12"/>
                <w:color w:val="auto"/>
              </w:rPr>
              <w:t>160,100</w:t>
            </w:r>
          </w:p>
        </w:tc>
        <w:tc>
          <w:tcPr>
            <w:tcW w:w="120" w:type="dxa"/>
            <w:vAlign w:val="bottom"/>
          </w:tcPr>
          <w:p>
            <w:pPr>
              <w:spacing w:after="0"/>
              <w:rPr>
                <w:sz w:val="13"/>
                <w:szCs w:val="13"/>
                <w:color w:val="auto"/>
              </w:rPr>
            </w:pPr>
          </w:p>
        </w:tc>
      </w:tr>
      <w:tr>
        <w:trPr>
          <w:trHeight w:val="153"/>
        </w:trPr>
        <w:tc>
          <w:tcPr>
            <w:tcW w:w="344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Accounts payable, accrued expenses and other liabilities</w:t>
            </w:r>
          </w:p>
        </w:tc>
        <w:tc>
          <w:tcPr>
            <w:tcW w:w="52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200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(19,846)</w:t>
            </w:r>
          </w:p>
        </w:tc>
      </w:tr>
      <w:tr>
        <w:trPr>
          <w:trHeight w:val="153"/>
        </w:trPr>
        <w:tc>
          <w:tcPr>
            <w:tcW w:w="3440" w:type="dxa"/>
            <w:vAlign w:val="bottom"/>
            <w:gridSpan w:val="2"/>
          </w:tcPr>
          <w:p>
            <w:pPr>
              <w:spacing w:after="0"/>
              <w:rPr>
                <w:sz w:val="20"/>
                <w:szCs w:val="20"/>
                <w:color w:val="auto"/>
              </w:rPr>
            </w:pPr>
            <w:r>
              <w:rPr>
                <w:rFonts w:ascii="Arial" w:cs="Arial" w:eastAsia="Arial" w:hAnsi="Arial"/>
                <w:sz w:val="12"/>
                <w:szCs w:val="12"/>
                <w:color w:val="auto"/>
              </w:rPr>
              <w:t>Deferred revenue</w:t>
            </w:r>
          </w:p>
        </w:tc>
        <w:tc>
          <w:tcPr>
            <w:tcW w:w="5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0" w:type="dxa"/>
            <w:vAlign w:val="bottom"/>
            <w:gridSpan w:val="2"/>
          </w:tcPr>
          <w:p>
            <w:pPr>
              <w:jc w:val="right"/>
              <w:ind w:right="80"/>
              <w:spacing w:after="0"/>
              <w:rPr>
                <w:sz w:val="20"/>
                <w:szCs w:val="20"/>
                <w:color w:val="auto"/>
              </w:rPr>
            </w:pPr>
            <w:r>
              <w:rPr>
                <w:rFonts w:ascii="Arial" w:cs="Arial" w:eastAsia="Arial" w:hAnsi="Arial"/>
                <w:sz w:val="12"/>
                <w:szCs w:val="12"/>
                <w:color w:val="auto"/>
              </w:rPr>
              <w:t>(38,134)</w:t>
            </w:r>
          </w:p>
        </w:tc>
      </w:tr>
      <w:tr>
        <w:trPr>
          <w:trHeight w:val="153"/>
        </w:trPr>
        <w:tc>
          <w:tcPr>
            <w:tcW w:w="344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Deferred income taxes</w:t>
            </w:r>
          </w:p>
        </w:tc>
        <w:tc>
          <w:tcPr>
            <w:tcW w:w="52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200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(9,004)</w:t>
            </w:r>
          </w:p>
        </w:tc>
      </w:tr>
      <w:tr>
        <w:trPr>
          <w:trHeight w:val="153"/>
        </w:trPr>
        <w:tc>
          <w:tcPr>
            <w:tcW w:w="3440" w:type="dxa"/>
            <w:vAlign w:val="bottom"/>
            <w:gridSpan w:val="2"/>
          </w:tcPr>
          <w:p>
            <w:pPr>
              <w:spacing w:after="0"/>
              <w:rPr>
                <w:sz w:val="20"/>
                <w:szCs w:val="20"/>
                <w:color w:val="auto"/>
              </w:rPr>
            </w:pPr>
            <w:r>
              <w:rPr>
                <w:rFonts w:ascii="Arial" w:cs="Arial" w:eastAsia="Arial" w:hAnsi="Arial"/>
                <w:sz w:val="12"/>
                <w:szCs w:val="12"/>
                <w:color w:val="auto"/>
              </w:rPr>
              <w:t>Capital lease obligations</w:t>
            </w:r>
          </w:p>
        </w:tc>
        <w:tc>
          <w:tcPr>
            <w:tcW w:w="5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0" w:type="dxa"/>
            <w:vAlign w:val="bottom"/>
            <w:gridSpan w:val="2"/>
          </w:tcPr>
          <w:p>
            <w:pPr>
              <w:jc w:val="right"/>
              <w:ind w:right="80"/>
              <w:spacing w:after="0"/>
              <w:rPr>
                <w:sz w:val="20"/>
                <w:szCs w:val="20"/>
                <w:color w:val="auto"/>
              </w:rPr>
            </w:pPr>
            <w:r>
              <w:rPr>
                <w:rFonts w:ascii="Arial" w:cs="Arial" w:eastAsia="Arial" w:hAnsi="Arial"/>
                <w:sz w:val="12"/>
                <w:szCs w:val="12"/>
                <w:color w:val="auto"/>
              </w:rPr>
              <w:t>(3,189)</w:t>
            </w:r>
          </w:p>
        </w:tc>
      </w:tr>
      <w:tr>
        <w:trPr>
          <w:trHeight w:val="149"/>
        </w:trPr>
        <w:tc>
          <w:tcPr>
            <w:tcW w:w="344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2"/>
                <w:szCs w:val="12"/>
                <w:color w:val="auto"/>
              </w:rPr>
              <w:t>Total purchase consideration</w:t>
            </w:r>
          </w:p>
        </w:tc>
        <w:tc>
          <w:tcPr>
            <w:tcW w:w="5520" w:type="dxa"/>
            <w:vAlign w:val="bottom"/>
            <w:tcBorders>
              <w:top w:val="single" w:sz="8" w:color="CFF0FC"/>
              <w:bottom w:val="single" w:sz="8" w:color="CFF0FC"/>
            </w:tcBorders>
            <w:gridSpan w:val="2"/>
            <w:shd w:val="clear" w:color="auto" w:fill="CFF0FC"/>
          </w:tcPr>
          <w:p>
            <w:pPr>
              <w:spacing w:after="0"/>
              <w:rPr>
                <w:sz w:val="12"/>
                <w:szCs w:val="12"/>
                <w:color w:val="auto"/>
              </w:rPr>
            </w:pPr>
          </w:p>
        </w:tc>
        <w:tc>
          <w:tcPr>
            <w:tcW w:w="520" w:type="dxa"/>
            <w:vAlign w:val="bottom"/>
            <w:tcBorders>
              <w:top w:val="single" w:sz="8" w:color="auto"/>
              <w:bottom w:val="single" w:sz="8" w:color="auto"/>
            </w:tcBorders>
            <w:shd w:val="clear" w:color="auto" w:fill="CFF0FC"/>
          </w:tcPr>
          <w:p>
            <w:pPr>
              <w:jc w:val="right"/>
              <w:ind w:right="410"/>
              <w:spacing w:after="0"/>
              <w:rPr>
                <w:sz w:val="20"/>
                <w:szCs w:val="20"/>
                <w:color w:val="auto"/>
              </w:rPr>
            </w:pPr>
            <w:r>
              <w:rPr>
                <w:rFonts w:ascii="Arial" w:cs="Arial" w:eastAsia="Arial" w:hAnsi="Arial"/>
                <w:sz w:val="10"/>
                <w:szCs w:val="10"/>
                <w:color w:val="auto"/>
                <w:w w:val="71"/>
              </w:rPr>
              <w:t>$</w:t>
            </w:r>
          </w:p>
        </w:tc>
        <w:tc>
          <w:tcPr>
            <w:tcW w:w="1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702,432</w:t>
            </w: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r>
    </w:tbl>
    <w:p>
      <w:pPr>
        <w:spacing w:after="0" w:line="99" w:lineRule="exact"/>
        <w:rPr>
          <w:sz w:val="20"/>
          <w:szCs w:val="20"/>
          <w:color w:val="auto"/>
        </w:rPr>
      </w:pPr>
    </w:p>
    <w:p>
      <w:pPr>
        <w:ind w:right="120"/>
        <w:spacing w:after="0" w:line="276" w:lineRule="auto"/>
        <w:rPr>
          <w:sz w:val="20"/>
          <w:szCs w:val="20"/>
          <w:color w:val="auto"/>
        </w:rPr>
      </w:pPr>
      <w:r>
        <w:rPr>
          <w:rFonts w:ascii="Arial" w:cs="Arial" w:eastAsia="Arial" w:hAnsi="Arial"/>
          <w:sz w:val="12"/>
          <w:szCs w:val="12"/>
          <w:color w:val="auto"/>
        </w:rPr>
        <w:t>The above purchase price allocation is considered preliminary and is subject to revision when the valuation of assets and liabilities is finalized upon receipt of the final valuation report from a third party valuation expert, and resolution of contractual adjustments, such as working capital adjustments, set forth in the merger agreement, which is anticipated to be finalized during the first half of 2018.</w:t>
      </w:r>
    </w:p>
    <w:p>
      <w:pPr>
        <w:spacing w:after="0" w:line="79" w:lineRule="exact"/>
        <w:rPr>
          <w:sz w:val="20"/>
          <w:szCs w:val="20"/>
          <w:color w:val="auto"/>
        </w:rPr>
      </w:pPr>
    </w:p>
    <w:p>
      <w:pPr>
        <w:spacing w:after="0"/>
        <w:rPr>
          <w:sz w:val="20"/>
          <w:szCs w:val="20"/>
          <w:color w:val="auto"/>
        </w:rPr>
      </w:pPr>
      <w:r>
        <w:rPr>
          <w:rFonts w:ascii="Arial" w:cs="Arial" w:eastAsia="Arial" w:hAnsi="Arial"/>
          <w:sz w:val="11"/>
          <w:szCs w:val="11"/>
          <w:color w:val="auto"/>
        </w:rPr>
        <w:t>The goodwill arising from the transaction is primarily attributable to the expansion of our fiber network through the complementary nature of Southern Light’s fiber network to our existing fiber network, including anticipated</w:t>
      </w:r>
    </w:p>
    <w:p>
      <w:pPr>
        <w:spacing w:after="0" w:line="26" w:lineRule="exact"/>
        <w:rPr>
          <w:sz w:val="20"/>
          <w:szCs w:val="20"/>
          <w:color w:val="auto"/>
        </w:rPr>
      </w:pPr>
    </w:p>
    <w:p>
      <w:pPr>
        <w:ind w:right="40"/>
        <w:spacing w:after="0" w:line="306" w:lineRule="auto"/>
        <w:rPr>
          <w:sz w:val="20"/>
          <w:szCs w:val="20"/>
          <w:color w:val="auto"/>
        </w:rPr>
      </w:pPr>
      <w:r>
        <w:rPr>
          <w:rFonts w:ascii="Arial" w:cs="Arial" w:eastAsia="Arial" w:hAnsi="Arial"/>
          <w:sz w:val="11"/>
          <w:szCs w:val="11"/>
          <w:color w:val="auto"/>
        </w:rPr>
        <w:t>incremental sales and cost savings. For federal income tax purposes, the transaction was treated as partially taxable (for portion paid in cash) and partially non-taxable (for portion paid with common units in the Operating Partnership). The portion of the acquisition that was treated as a taxable acquisition resulted in tax deductible goodwill. No tax deductible goodwill resulted from the portion of the acquisition that was treated as non-taxable.</w:t>
      </w:r>
    </w:p>
    <w:p>
      <w:pPr>
        <w:spacing w:after="0" w:line="65" w:lineRule="exact"/>
        <w:rPr>
          <w:sz w:val="20"/>
          <w:szCs w:val="20"/>
          <w:color w:val="auto"/>
        </w:rPr>
      </w:pPr>
    </w:p>
    <w:p>
      <w:pPr>
        <w:spacing w:after="0"/>
        <w:rPr>
          <w:sz w:val="20"/>
          <w:szCs w:val="20"/>
          <w:color w:val="auto"/>
        </w:rPr>
      </w:pPr>
      <w:r>
        <w:rPr>
          <w:rFonts w:ascii="Arial" w:cs="Arial" w:eastAsia="Arial" w:hAnsi="Arial"/>
          <w:sz w:val="12"/>
          <w:szCs w:val="12"/>
          <w:color w:val="auto"/>
        </w:rPr>
        <w:t>We acquired an intangible asset that was assigned to customer relationships of $160.1 million (15 year life).</w:t>
      </w:r>
    </w:p>
    <w:p>
      <w:pPr>
        <w:spacing w:after="0" w:line="114" w:lineRule="exact"/>
        <w:rPr>
          <w:sz w:val="20"/>
          <w:szCs w:val="20"/>
          <w:color w:val="auto"/>
        </w:rPr>
      </w:pPr>
    </w:p>
    <w:p>
      <w:pPr>
        <w:ind w:right="400"/>
        <w:spacing w:after="0" w:line="323" w:lineRule="auto"/>
        <w:rPr>
          <w:sz w:val="20"/>
          <w:szCs w:val="20"/>
          <w:color w:val="auto"/>
        </w:rPr>
      </w:pPr>
      <w:r>
        <w:rPr>
          <w:rFonts w:ascii="Arial" w:cs="Arial" w:eastAsia="Arial" w:hAnsi="Arial"/>
          <w:sz w:val="11"/>
          <w:szCs w:val="11"/>
          <w:color w:val="auto"/>
        </w:rPr>
        <w:t>The acquired business contributed revenue of $45.5 million and an operating income of $4.6 million, which excludes transaction related costs, to our consolidated results from the date of acquisition through December 31, 2017. We recorded transaction related costs related to the acquisition of Southern Light for the year ended December 31, 2017 of $14.8 million within transaction related costs on the Consolidated Statement of Income.</w:t>
      </w:r>
    </w:p>
    <w:p>
      <w:pPr>
        <w:spacing w:after="0" w:line="56" w:lineRule="exact"/>
        <w:rPr>
          <w:sz w:val="20"/>
          <w:szCs w:val="20"/>
          <w:color w:val="auto"/>
        </w:rPr>
      </w:pPr>
    </w:p>
    <w:p>
      <w:pPr>
        <w:ind w:right="140"/>
        <w:spacing w:after="0" w:line="263" w:lineRule="auto"/>
        <w:rPr>
          <w:sz w:val="20"/>
          <w:szCs w:val="20"/>
          <w:color w:val="auto"/>
        </w:rPr>
      </w:pPr>
      <w:r>
        <w:rPr>
          <w:rFonts w:ascii="Arial" w:cs="Arial" w:eastAsia="Arial" w:hAnsi="Arial"/>
          <w:sz w:val="12"/>
          <w:szCs w:val="12"/>
          <w:color w:val="auto"/>
        </w:rPr>
        <w:t>The acquisition of Southern Light was structured in a manner such that Southern Light ended up being owned by a subsidiary of ours with a pre-existing valuation allowance primarily related to deferred tax assets associated with net operating loss carryforwards. The acquisition of Southern Light also resulted in a change to our assessment of the need for a valuation allowance against these deferred tax assets, which resulted in a decrease to the valuation allowance of $8.0 million. The decrease in valuation allowance was recorded as an income tax benefit during the year ended December 31, 2017.</w:t>
      </w:r>
    </w:p>
    <w:p>
      <w:pPr>
        <w:spacing w:after="0" w:line="8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Hunt Telecommunications, LLC</w:t>
      </w:r>
    </w:p>
    <w:p>
      <w:pPr>
        <w:spacing w:after="0" w:line="114" w:lineRule="exact"/>
        <w:rPr>
          <w:sz w:val="20"/>
          <w:szCs w:val="20"/>
          <w:color w:val="auto"/>
        </w:rPr>
      </w:pPr>
    </w:p>
    <w:p>
      <w:pPr>
        <w:ind w:right="80"/>
        <w:spacing w:after="0" w:line="284" w:lineRule="auto"/>
        <w:rPr>
          <w:rFonts w:ascii="Arial" w:cs="Arial" w:eastAsia="Arial" w:hAnsi="Arial"/>
          <w:sz w:val="11"/>
          <w:szCs w:val="11"/>
          <w:color w:val="auto"/>
        </w:rPr>
      </w:pPr>
      <w:r>
        <w:rPr>
          <w:rFonts w:ascii="Arial" w:cs="Arial" w:eastAsia="Arial" w:hAnsi="Arial"/>
          <w:sz w:val="11"/>
          <w:szCs w:val="11"/>
          <w:color w:val="auto"/>
        </w:rPr>
        <w:t xml:space="preserve">On July 3, 2017, we acquired 100% of the outstanding equity of Hunt for $129.3 million in cash and 1.6 million common units in the Operating Partnership with an acquisition date fair value of $41.6 million. Additional contingent consideration of up to $17 million, with an acquisition date fair value of $16.4 million, may be paid upon the achievement of certain financial revenue milestones by delivering shares of our common stock. </w:t>
      </w:r>
      <w:hyperlink r:id="rId80">
        <w:r>
          <w:rPr>
            <w:rFonts w:ascii="Arial" w:cs="Arial" w:eastAsia="Arial" w:hAnsi="Arial"/>
            <w:sz w:val="11"/>
            <w:szCs w:val="11"/>
            <w:u w:val="single" w:color="auto"/>
            <w:color w:val="0000EE"/>
          </w:rPr>
          <w:t>See Note</w:t>
        </w:r>
        <w:r>
          <w:rPr>
            <w:rFonts w:ascii="Arial" w:cs="Arial" w:eastAsia="Arial" w:hAnsi="Arial"/>
            <w:sz w:val="11"/>
            <w:szCs w:val="11"/>
            <w:u w:val="single" w:color="auto"/>
            <w:color w:val="auto"/>
          </w:rPr>
          <w:t xml:space="preserve"> </w:t>
        </w:r>
      </w:hyperlink>
      <w:r>
        <w:rPr>
          <w:rFonts w:ascii="Arial" w:cs="Arial" w:eastAsia="Arial" w:hAnsi="Arial"/>
          <w:sz w:val="11"/>
          <w:szCs w:val="11"/>
          <w:color w:val="auto"/>
        </w:rPr>
        <w:t>5</w:t>
      </w:r>
      <w:r>
        <w:rPr>
          <w:rFonts w:ascii="Arial" w:cs="Arial" w:eastAsia="Arial" w:hAnsi="Arial"/>
          <w:sz w:val="13"/>
          <w:szCs w:val="13"/>
          <w:color w:val="auto"/>
        </w:rPr>
        <w:t>.</w:t>
      </w:r>
      <w:r>
        <w:rPr>
          <w:rFonts w:ascii="Arial" w:cs="Arial" w:eastAsia="Arial" w:hAnsi="Arial"/>
          <w:sz w:val="11"/>
          <w:szCs w:val="11"/>
          <w:color w:val="auto"/>
        </w:rPr>
        <w:t xml:space="preserve"> Hunt is a leading provider of data transport to K-12 schools and government agencies with a dense fiber network in Louisiana. The acquisition was recorded by allocating the costs of the assets acquired based on their estimated fair values at the acquisition date. The excess of the cost of the acquisition over the fair value of the assets acquired is recorded as goodwill within our Fiber Infrastructure segment. </w:t>
      </w:r>
      <w:hyperlink r:id="rId80">
        <w:r>
          <w:rPr>
            <w:rFonts w:ascii="Arial" w:cs="Arial" w:eastAsia="Arial" w:hAnsi="Arial"/>
            <w:sz w:val="11"/>
            <w:szCs w:val="11"/>
            <w:u w:val="single" w:color="auto"/>
            <w:color w:val="0000EE"/>
          </w:rPr>
          <w:t>See Note</w:t>
        </w:r>
        <w:r>
          <w:rPr>
            <w:rFonts w:ascii="Arial" w:cs="Arial" w:eastAsia="Arial" w:hAnsi="Arial"/>
            <w:sz w:val="11"/>
            <w:szCs w:val="11"/>
            <w:u w:val="single" w:color="auto"/>
            <w:color w:val="auto"/>
          </w:rPr>
          <w:t xml:space="preserve"> </w:t>
        </w:r>
      </w:hyperlink>
      <w:r>
        <w:rPr>
          <w:rFonts w:ascii="Arial" w:cs="Arial" w:eastAsia="Arial" w:hAnsi="Arial"/>
          <w:sz w:val="11"/>
          <w:szCs w:val="11"/>
          <w:color w:val="auto"/>
        </w:rPr>
        <w:t>13.</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19" w:right="199" w:bottom="1440" w:gutter="0" w:footer="0" w:header="0"/>
        </w:sectPr>
      </w:pPr>
    </w:p>
    <w:bookmarkStart w:id="67" w:name="page68"/>
    <w:bookmarkEnd w:id="67"/>
    <w:p>
      <w:pPr>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tbl>
      <w:tblPr>
        <w:tblLayout w:type="fixed"/>
        <w:tblInd w:w="0" w:type="dxa"/>
        <w:tblCellMar>
          <w:top w:w="0" w:type="dxa"/>
          <w:left w:w="0" w:type="dxa"/>
          <w:bottom w:w="0" w:type="dxa"/>
          <w:right w:w="0" w:type="dxa"/>
        </w:tblCellMar>
      </w:tblPr>
      <w:tr>
        <w:trPr>
          <w:trHeight w:val="138"/>
        </w:trPr>
        <w:tc>
          <w:tcPr>
            <w:tcW w:w="840" w:type="dxa"/>
            <w:vAlign w:val="bottom"/>
            <w:tcBorders>
              <w:top w:val="single" w:sz="8" w:color="0000EE"/>
            </w:tcBorders>
          </w:tcPr>
          <w:p>
            <w:pPr>
              <w:spacing w:after="0"/>
              <w:rPr>
                <w:sz w:val="12"/>
                <w:szCs w:val="12"/>
                <w:color w:val="auto"/>
              </w:rPr>
            </w:pPr>
          </w:p>
        </w:tc>
        <w:tc>
          <w:tcPr>
            <w:tcW w:w="2600" w:type="dxa"/>
            <w:vAlign w:val="bottom"/>
          </w:tcPr>
          <w:p>
            <w:pPr>
              <w:spacing w:after="0"/>
              <w:rPr>
                <w:sz w:val="12"/>
                <w:szCs w:val="12"/>
                <w:color w:val="auto"/>
              </w:rPr>
            </w:pPr>
          </w:p>
        </w:tc>
        <w:tc>
          <w:tcPr>
            <w:tcW w:w="6040" w:type="dxa"/>
            <w:vAlign w:val="bottom"/>
            <w:gridSpan w:val="3"/>
          </w:tcPr>
          <w:p>
            <w:pPr>
              <w:jc w:val="right"/>
              <w:ind w:right="3270"/>
              <w:spacing w:after="0"/>
              <w:rPr>
                <w:sz w:val="20"/>
                <w:szCs w:val="20"/>
                <w:color w:val="auto"/>
              </w:rPr>
            </w:pPr>
            <w:r>
              <w:rPr>
                <w:rFonts w:ascii="Arial" w:cs="Arial" w:eastAsia="Arial" w:hAnsi="Arial"/>
                <w:sz w:val="12"/>
                <w:szCs w:val="12"/>
                <w:b w:val="1"/>
                <w:bCs w:val="1"/>
                <w:color w:val="auto"/>
              </w:rPr>
              <w:t>Uniti Group Inc.</w:t>
            </w:r>
          </w:p>
        </w:tc>
        <w:tc>
          <w:tcPr>
            <w:tcW w:w="18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7"/>
        </w:trPr>
        <w:tc>
          <w:tcPr>
            <w:tcW w:w="84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6040" w:type="dxa"/>
            <w:vAlign w:val="bottom"/>
            <w:gridSpan w:val="3"/>
          </w:tcPr>
          <w:p>
            <w:pPr>
              <w:jc w:val="right"/>
              <w:ind w:right="2150"/>
              <w:spacing w:after="0"/>
              <w:rPr>
                <w:sz w:val="20"/>
                <w:szCs w:val="20"/>
                <w:color w:val="auto"/>
              </w:rPr>
            </w:pPr>
            <w:r>
              <w:rPr>
                <w:rFonts w:ascii="Arial" w:cs="Arial" w:eastAsia="Arial" w:hAnsi="Arial"/>
                <w:sz w:val="12"/>
                <w:szCs w:val="12"/>
                <w:b w:val="1"/>
                <w:bCs w:val="1"/>
                <w:color w:val="auto"/>
              </w:rPr>
              <w:t>Notes to the Consolidated Financial Statements – Continued</w:t>
            </w:r>
          </w:p>
        </w:tc>
        <w:tc>
          <w:tcPr>
            <w:tcW w:w="18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315"/>
        </w:trPr>
        <w:tc>
          <w:tcPr>
            <w:tcW w:w="84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c>
          <w:tcPr>
            <w:tcW w:w="240" w:type="dxa"/>
            <w:vAlign w:val="bottom"/>
            <w:tcBorders>
              <w:bottom w:val="single" w:sz="8" w:color="CFF0FC"/>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jc w:val="right"/>
              <w:ind w:right="901"/>
              <w:spacing w:after="0"/>
              <w:rPr>
                <w:sz w:val="20"/>
                <w:szCs w:val="20"/>
                <w:color w:val="auto"/>
              </w:rPr>
            </w:pPr>
            <w:r>
              <w:rPr>
                <w:rFonts w:ascii="Arial" w:cs="Arial" w:eastAsia="Arial" w:hAnsi="Arial"/>
                <w:sz w:val="10"/>
                <w:szCs w:val="10"/>
                <w:b w:val="1"/>
                <w:bCs w:val="1"/>
                <w:color w:val="auto"/>
              </w:rPr>
              <w:t>(thousands)</w:t>
            </w:r>
          </w:p>
        </w:tc>
        <w:tc>
          <w:tcPr>
            <w:tcW w:w="120" w:type="dxa"/>
            <w:vAlign w:val="bottom"/>
            <w:tcBorders>
              <w:bottom w:val="single" w:sz="8" w:color="CFF0FC"/>
            </w:tcBorders>
          </w:tcPr>
          <w:p>
            <w:pPr>
              <w:spacing w:after="0"/>
              <w:rPr>
                <w:sz w:val="24"/>
                <w:szCs w:val="24"/>
                <w:color w:val="auto"/>
              </w:rPr>
            </w:pPr>
          </w:p>
        </w:tc>
      </w:tr>
      <w:tr>
        <w:trPr>
          <w:trHeight w:val="160"/>
        </w:trPr>
        <w:tc>
          <w:tcPr>
            <w:tcW w:w="344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Property, plant and equipment</w:t>
            </w:r>
          </w:p>
        </w:tc>
        <w:tc>
          <w:tcPr>
            <w:tcW w:w="6040" w:type="dxa"/>
            <w:vAlign w:val="bottom"/>
            <w:gridSpan w:val="3"/>
            <w:shd w:val="clear" w:color="auto" w:fill="CFF0FC"/>
          </w:tcPr>
          <w:p>
            <w:pPr>
              <w:jc w:val="right"/>
              <w:ind w:right="410"/>
              <w:spacing w:after="0"/>
              <w:rPr>
                <w:sz w:val="20"/>
                <w:szCs w:val="20"/>
                <w:color w:val="auto"/>
              </w:rPr>
            </w:pPr>
            <w:r>
              <w:rPr>
                <w:rFonts w:ascii="Arial" w:cs="Arial" w:eastAsia="Arial" w:hAnsi="Arial"/>
                <w:sz w:val="12"/>
                <w:szCs w:val="12"/>
                <w:color w:val="auto"/>
              </w:rPr>
              <w:t>$</w:t>
            </w:r>
          </w:p>
        </w:tc>
        <w:tc>
          <w:tcPr>
            <w:tcW w:w="1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59,682</w:t>
            </w:r>
          </w:p>
        </w:tc>
        <w:tc>
          <w:tcPr>
            <w:tcW w:w="120" w:type="dxa"/>
            <w:vAlign w:val="bottom"/>
            <w:shd w:val="clear" w:color="auto" w:fill="CFF0FC"/>
          </w:tcPr>
          <w:p>
            <w:pPr>
              <w:spacing w:after="0"/>
              <w:rPr>
                <w:sz w:val="13"/>
                <w:szCs w:val="13"/>
                <w:color w:val="auto"/>
              </w:rPr>
            </w:pPr>
          </w:p>
        </w:tc>
      </w:tr>
      <w:tr>
        <w:trPr>
          <w:trHeight w:val="153"/>
        </w:trPr>
        <w:tc>
          <w:tcPr>
            <w:tcW w:w="3440" w:type="dxa"/>
            <w:vAlign w:val="bottom"/>
            <w:gridSpan w:val="2"/>
          </w:tcPr>
          <w:p>
            <w:pPr>
              <w:spacing w:after="0"/>
              <w:rPr>
                <w:sz w:val="20"/>
                <w:szCs w:val="20"/>
                <w:color w:val="auto"/>
              </w:rPr>
            </w:pPr>
            <w:r>
              <w:rPr>
                <w:rFonts w:ascii="Arial" w:cs="Arial" w:eastAsia="Arial" w:hAnsi="Arial"/>
                <w:sz w:val="12"/>
                <w:szCs w:val="12"/>
                <w:color w:val="auto"/>
              </w:rPr>
              <w:t>Cash and cash equivalents</w:t>
            </w:r>
          </w:p>
        </w:tc>
        <w:tc>
          <w:tcPr>
            <w:tcW w:w="5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80" w:type="dxa"/>
            <w:vAlign w:val="bottom"/>
          </w:tcPr>
          <w:p>
            <w:pPr>
              <w:jc w:val="right"/>
              <w:spacing w:after="0"/>
              <w:rPr>
                <w:sz w:val="20"/>
                <w:szCs w:val="20"/>
                <w:color w:val="auto"/>
              </w:rPr>
            </w:pPr>
            <w:r>
              <w:rPr>
                <w:rFonts w:ascii="Arial" w:cs="Arial" w:eastAsia="Arial" w:hAnsi="Arial"/>
                <w:sz w:val="12"/>
                <w:szCs w:val="12"/>
                <w:color w:val="auto"/>
              </w:rPr>
              <w:t>3,181</w:t>
            </w:r>
          </w:p>
        </w:tc>
        <w:tc>
          <w:tcPr>
            <w:tcW w:w="120" w:type="dxa"/>
            <w:vAlign w:val="bottom"/>
          </w:tcPr>
          <w:p>
            <w:pPr>
              <w:spacing w:after="0"/>
              <w:rPr>
                <w:sz w:val="13"/>
                <w:szCs w:val="13"/>
                <w:color w:val="auto"/>
              </w:rPr>
            </w:pPr>
          </w:p>
        </w:tc>
      </w:tr>
      <w:tr>
        <w:trPr>
          <w:trHeight w:val="153"/>
        </w:trPr>
        <w:tc>
          <w:tcPr>
            <w:tcW w:w="344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Accounts receivable</w:t>
            </w:r>
          </w:p>
        </w:tc>
        <w:tc>
          <w:tcPr>
            <w:tcW w:w="52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4,906</w:t>
            </w:r>
          </w:p>
        </w:tc>
        <w:tc>
          <w:tcPr>
            <w:tcW w:w="120" w:type="dxa"/>
            <w:vAlign w:val="bottom"/>
            <w:shd w:val="clear" w:color="auto" w:fill="CFF0FC"/>
          </w:tcPr>
          <w:p>
            <w:pPr>
              <w:spacing w:after="0"/>
              <w:rPr>
                <w:sz w:val="13"/>
                <w:szCs w:val="13"/>
                <w:color w:val="auto"/>
              </w:rPr>
            </w:pPr>
          </w:p>
        </w:tc>
      </w:tr>
      <w:tr>
        <w:trPr>
          <w:trHeight w:val="153"/>
        </w:trPr>
        <w:tc>
          <w:tcPr>
            <w:tcW w:w="3440" w:type="dxa"/>
            <w:vAlign w:val="bottom"/>
            <w:gridSpan w:val="2"/>
          </w:tcPr>
          <w:p>
            <w:pPr>
              <w:spacing w:after="0"/>
              <w:rPr>
                <w:sz w:val="20"/>
                <w:szCs w:val="20"/>
                <w:color w:val="auto"/>
              </w:rPr>
            </w:pPr>
            <w:r>
              <w:rPr>
                <w:rFonts w:ascii="Arial" w:cs="Arial" w:eastAsia="Arial" w:hAnsi="Arial"/>
                <w:sz w:val="12"/>
                <w:szCs w:val="12"/>
                <w:color w:val="auto"/>
              </w:rPr>
              <w:t>Other assets</w:t>
            </w:r>
          </w:p>
        </w:tc>
        <w:tc>
          <w:tcPr>
            <w:tcW w:w="5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80" w:type="dxa"/>
            <w:vAlign w:val="bottom"/>
          </w:tcPr>
          <w:p>
            <w:pPr>
              <w:jc w:val="right"/>
              <w:spacing w:after="0"/>
              <w:rPr>
                <w:sz w:val="20"/>
                <w:szCs w:val="20"/>
                <w:color w:val="auto"/>
              </w:rPr>
            </w:pPr>
            <w:r>
              <w:rPr>
                <w:rFonts w:ascii="Arial" w:cs="Arial" w:eastAsia="Arial" w:hAnsi="Arial"/>
                <w:sz w:val="12"/>
                <w:szCs w:val="12"/>
                <w:color w:val="auto"/>
              </w:rPr>
              <w:t>413</w:t>
            </w:r>
          </w:p>
        </w:tc>
        <w:tc>
          <w:tcPr>
            <w:tcW w:w="120" w:type="dxa"/>
            <w:vAlign w:val="bottom"/>
          </w:tcPr>
          <w:p>
            <w:pPr>
              <w:spacing w:after="0"/>
              <w:rPr>
                <w:sz w:val="13"/>
                <w:szCs w:val="13"/>
                <w:color w:val="auto"/>
              </w:rPr>
            </w:pPr>
          </w:p>
        </w:tc>
      </w:tr>
      <w:tr>
        <w:trPr>
          <w:trHeight w:val="153"/>
        </w:trPr>
        <w:tc>
          <w:tcPr>
            <w:tcW w:w="344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Goodwill</w:t>
            </w:r>
          </w:p>
        </w:tc>
        <w:tc>
          <w:tcPr>
            <w:tcW w:w="52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93,023</w:t>
            </w:r>
          </w:p>
        </w:tc>
        <w:tc>
          <w:tcPr>
            <w:tcW w:w="120" w:type="dxa"/>
            <w:vAlign w:val="bottom"/>
            <w:shd w:val="clear" w:color="auto" w:fill="CFF0FC"/>
          </w:tcPr>
          <w:p>
            <w:pPr>
              <w:spacing w:after="0"/>
              <w:rPr>
                <w:sz w:val="13"/>
                <w:szCs w:val="13"/>
                <w:color w:val="auto"/>
              </w:rPr>
            </w:pPr>
          </w:p>
        </w:tc>
      </w:tr>
      <w:tr>
        <w:trPr>
          <w:trHeight w:val="153"/>
        </w:trPr>
        <w:tc>
          <w:tcPr>
            <w:tcW w:w="3440" w:type="dxa"/>
            <w:vAlign w:val="bottom"/>
            <w:gridSpan w:val="2"/>
          </w:tcPr>
          <w:p>
            <w:pPr>
              <w:spacing w:after="0"/>
              <w:rPr>
                <w:sz w:val="20"/>
                <w:szCs w:val="20"/>
                <w:color w:val="auto"/>
              </w:rPr>
            </w:pPr>
            <w:r>
              <w:rPr>
                <w:rFonts w:ascii="Arial" w:cs="Arial" w:eastAsia="Arial" w:hAnsi="Arial"/>
                <w:sz w:val="12"/>
                <w:szCs w:val="12"/>
                <w:color w:val="auto"/>
              </w:rPr>
              <w:t>Intangible assets</w:t>
            </w:r>
          </w:p>
        </w:tc>
        <w:tc>
          <w:tcPr>
            <w:tcW w:w="5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80" w:type="dxa"/>
            <w:vAlign w:val="bottom"/>
          </w:tcPr>
          <w:p>
            <w:pPr>
              <w:jc w:val="right"/>
              <w:spacing w:after="0"/>
              <w:rPr>
                <w:sz w:val="20"/>
                <w:szCs w:val="20"/>
                <w:color w:val="auto"/>
              </w:rPr>
            </w:pPr>
            <w:r>
              <w:rPr>
                <w:rFonts w:ascii="Arial" w:cs="Arial" w:eastAsia="Arial" w:hAnsi="Arial"/>
                <w:sz w:val="12"/>
                <w:szCs w:val="12"/>
                <w:color w:val="auto"/>
              </w:rPr>
              <w:t>73,000</w:t>
            </w:r>
          </w:p>
        </w:tc>
        <w:tc>
          <w:tcPr>
            <w:tcW w:w="120" w:type="dxa"/>
            <w:vAlign w:val="bottom"/>
          </w:tcPr>
          <w:p>
            <w:pPr>
              <w:spacing w:after="0"/>
              <w:rPr>
                <w:sz w:val="13"/>
                <w:szCs w:val="13"/>
                <w:color w:val="auto"/>
              </w:rPr>
            </w:pPr>
          </w:p>
        </w:tc>
      </w:tr>
      <w:tr>
        <w:trPr>
          <w:trHeight w:val="153"/>
        </w:trPr>
        <w:tc>
          <w:tcPr>
            <w:tcW w:w="344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Accounts payable, accrued expenses and other liabilities</w:t>
            </w:r>
          </w:p>
        </w:tc>
        <w:tc>
          <w:tcPr>
            <w:tcW w:w="52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200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(2,579)</w:t>
            </w:r>
          </w:p>
        </w:tc>
      </w:tr>
      <w:tr>
        <w:trPr>
          <w:trHeight w:val="153"/>
        </w:trPr>
        <w:tc>
          <w:tcPr>
            <w:tcW w:w="3440" w:type="dxa"/>
            <w:vAlign w:val="bottom"/>
            <w:gridSpan w:val="2"/>
          </w:tcPr>
          <w:p>
            <w:pPr>
              <w:spacing w:after="0"/>
              <w:rPr>
                <w:sz w:val="20"/>
                <w:szCs w:val="20"/>
                <w:color w:val="auto"/>
              </w:rPr>
            </w:pPr>
            <w:r>
              <w:rPr>
                <w:rFonts w:ascii="Arial" w:cs="Arial" w:eastAsia="Arial" w:hAnsi="Arial"/>
                <w:sz w:val="12"/>
                <w:szCs w:val="12"/>
                <w:color w:val="auto"/>
              </w:rPr>
              <w:t>Deferred revenue</w:t>
            </w:r>
          </w:p>
        </w:tc>
        <w:tc>
          <w:tcPr>
            <w:tcW w:w="5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0" w:type="dxa"/>
            <w:vAlign w:val="bottom"/>
            <w:gridSpan w:val="2"/>
          </w:tcPr>
          <w:p>
            <w:pPr>
              <w:jc w:val="right"/>
              <w:ind w:right="80"/>
              <w:spacing w:after="0"/>
              <w:rPr>
                <w:sz w:val="20"/>
                <w:szCs w:val="20"/>
                <w:color w:val="auto"/>
              </w:rPr>
            </w:pPr>
            <w:r>
              <w:rPr>
                <w:rFonts w:ascii="Arial" w:cs="Arial" w:eastAsia="Arial" w:hAnsi="Arial"/>
                <w:sz w:val="12"/>
                <w:szCs w:val="12"/>
                <w:color w:val="auto"/>
              </w:rPr>
              <w:t>(3,800)</w:t>
            </w:r>
          </w:p>
        </w:tc>
      </w:tr>
      <w:tr>
        <w:trPr>
          <w:trHeight w:val="153"/>
        </w:trPr>
        <w:tc>
          <w:tcPr>
            <w:tcW w:w="344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Deferred income taxes</w:t>
            </w:r>
          </w:p>
        </w:tc>
        <w:tc>
          <w:tcPr>
            <w:tcW w:w="52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200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(40,391)</w:t>
            </w:r>
          </w:p>
        </w:tc>
      </w:tr>
      <w:tr>
        <w:trPr>
          <w:trHeight w:val="153"/>
        </w:trPr>
        <w:tc>
          <w:tcPr>
            <w:tcW w:w="3440" w:type="dxa"/>
            <w:vAlign w:val="bottom"/>
            <w:gridSpan w:val="2"/>
          </w:tcPr>
          <w:p>
            <w:pPr>
              <w:spacing w:after="0"/>
              <w:rPr>
                <w:sz w:val="20"/>
                <w:szCs w:val="20"/>
                <w:color w:val="auto"/>
              </w:rPr>
            </w:pPr>
            <w:r>
              <w:rPr>
                <w:rFonts w:ascii="Arial" w:cs="Arial" w:eastAsia="Arial" w:hAnsi="Arial"/>
                <w:sz w:val="12"/>
                <w:szCs w:val="12"/>
                <w:color w:val="auto"/>
              </w:rPr>
              <w:t>Capital lease obligations</w:t>
            </w:r>
          </w:p>
        </w:tc>
        <w:tc>
          <w:tcPr>
            <w:tcW w:w="5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0" w:type="dxa"/>
            <w:vAlign w:val="bottom"/>
            <w:gridSpan w:val="2"/>
          </w:tcPr>
          <w:p>
            <w:pPr>
              <w:jc w:val="right"/>
              <w:ind w:right="80"/>
              <w:spacing w:after="0"/>
              <w:rPr>
                <w:sz w:val="20"/>
                <w:szCs w:val="20"/>
                <w:color w:val="auto"/>
              </w:rPr>
            </w:pPr>
            <w:r>
              <w:rPr>
                <w:rFonts w:ascii="Arial" w:cs="Arial" w:eastAsia="Arial" w:hAnsi="Arial"/>
                <w:sz w:val="12"/>
                <w:szCs w:val="12"/>
                <w:color w:val="auto"/>
              </w:rPr>
              <w:t>(164)</w:t>
            </w:r>
          </w:p>
        </w:tc>
      </w:tr>
      <w:tr>
        <w:trPr>
          <w:trHeight w:val="149"/>
        </w:trPr>
        <w:tc>
          <w:tcPr>
            <w:tcW w:w="344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2"/>
                <w:szCs w:val="12"/>
                <w:color w:val="auto"/>
              </w:rPr>
              <w:t>Total purchase consideration</w:t>
            </w:r>
          </w:p>
        </w:tc>
        <w:tc>
          <w:tcPr>
            <w:tcW w:w="5520" w:type="dxa"/>
            <w:vAlign w:val="bottom"/>
            <w:tcBorders>
              <w:top w:val="single" w:sz="8" w:color="CFF0FC"/>
              <w:bottom w:val="single" w:sz="8" w:color="CFF0FC"/>
            </w:tcBorders>
            <w:gridSpan w:val="2"/>
            <w:shd w:val="clear" w:color="auto" w:fill="CFF0FC"/>
          </w:tcPr>
          <w:p>
            <w:pPr>
              <w:spacing w:after="0"/>
              <w:rPr>
                <w:sz w:val="12"/>
                <w:szCs w:val="12"/>
                <w:color w:val="auto"/>
              </w:rPr>
            </w:pPr>
          </w:p>
        </w:tc>
        <w:tc>
          <w:tcPr>
            <w:tcW w:w="520" w:type="dxa"/>
            <w:vAlign w:val="bottom"/>
            <w:tcBorders>
              <w:top w:val="single" w:sz="8" w:color="auto"/>
              <w:bottom w:val="single" w:sz="8" w:color="auto"/>
            </w:tcBorders>
            <w:shd w:val="clear" w:color="auto" w:fill="CFF0FC"/>
          </w:tcPr>
          <w:p>
            <w:pPr>
              <w:jc w:val="right"/>
              <w:ind w:right="410"/>
              <w:spacing w:after="0"/>
              <w:rPr>
                <w:sz w:val="20"/>
                <w:szCs w:val="20"/>
                <w:color w:val="auto"/>
              </w:rPr>
            </w:pPr>
            <w:r>
              <w:rPr>
                <w:rFonts w:ascii="Arial" w:cs="Arial" w:eastAsia="Arial" w:hAnsi="Arial"/>
                <w:sz w:val="10"/>
                <w:szCs w:val="10"/>
                <w:color w:val="auto"/>
                <w:w w:val="71"/>
              </w:rPr>
              <w:t>$</w:t>
            </w:r>
          </w:p>
        </w:tc>
        <w:tc>
          <w:tcPr>
            <w:tcW w:w="1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187,271</w:t>
            </w: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r>
    </w:tbl>
    <w:p>
      <w:pPr>
        <w:spacing w:after="0" w:line="135" w:lineRule="exact"/>
        <w:rPr>
          <w:sz w:val="20"/>
          <w:szCs w:val="20"/>
          <w:color w:val="auto"/>
        </w:rPr>
      </w:pPr>
    </w:p>
    <w:p>
      <w:pPr>
        <w:ind w:right="540"/>
        <w:spacing w:after="0" w:line="276" w:lineRule="auto"/>
        <w:rPr>
          <w:sz w:val="20"/>
          <w:szCs w:val="20"/>
          <w:color w:val="auto"/>
        </w:rPr>
      </w:pPr>
      <w:r>
        <w:rPr>
          <w:rFonts w:ascii="Arial" w:cs="Arial" w:eastAsia="Arial" w:hAnsi="Arial"/>
          <w:sz w:val="12"/>
          <w:szCs w:val="12"/>
          <w:color w:val="auto"/>
        </w:rPr>
        <w:t>The above purchase price allocation is considered preliminary and is subject to revision when the valuation of assets and liabilities is finalized upon receipt of the final valuation report from a third party valuation expert, which is anticipated to be finalized during the first half of 2018.</w:t>
      </w:r>
    </w:p>
    <w:p>
      <w:pPr>
        <w:spacing w:after="0" w:line="79" w:lineRule="exact"/>
        <w:rPr>
          <w:sz w:val="20"/>
          <w:szCs w:val="20"/>
          <w:color w:val="auto"/>
        </w:rPr>
      </w:pPr>
    </w:p>
    <w:p>
      <w:pPr>
        <w:ind w:right="120"/>
        <w:spacing w:after="0" w:line="276" w:lineRule="auto"/>
        <w:rPr>
          <w:sz w:val="20"/>
          <w:szCs w:val="20"/>
          <w:color w:val="auto"/>
        </w:rPr>
      </w:pPr>
      <w:r>
        <w:rPr>
          <w:rFonts w:ascii="Arial" w:cs="Arial" w:eastAsia="Arial" w:hAnsi="Arial"/>
          <w:sz w:val="12"/>
          <w:szCs w:val="12"/>
          <w:color w:val="auto"/>
        </w:rPr>
        <w:t>The goodwill arising from the transaction is primarily attributable to the expansion of our fiber network through the complementary nature of Hunt’s fiber network to our existing fiber network, including anticipated incremental sales and cost savings. The goodwill is not expected to be deductible for tax purposes.</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color w:val="auto"/>
        </w:rPr>
        <w:t>We acquired an intangible asset that was assigned to customer relationships of $73 million (18 year life).</w:t>
      </w:r>
    </w:p>
    <w:p>
      <w:pPr>
        <w:spacing w:after="0" w:line="114" w:lineRule="exact"/>
        <w:rPr>
          <w:sz w:val="20"/>
          <w:szCs w:val="20"/>
          <w:color w:val="auto"/>
        </w:rPr>
      </w:pPr>
    </w:p>
    <w:p>
      <w:pPr>
        <w:ind w:right="80"/>
        <w:spacing w:after="0" w:line="323" w:lineRule="auto"/>
        <w:rPr>
          <w:sz w:val="20"/>
          <w:szCs w:val="20"/>
          <w:color w:val="auto"/>
        </w:rPr>
      </w:pPr>
      <w:r>
        <w:rPr>
          <w:rFonts w:ascii="Arial" w:cs="Arial" w:eastAsia="Arial" w:hAnsi="Arial"/>
          <w:sz w:val="11"/>
          <w:szCs w:val="11"/>
          <w:color w:val="auto"/>
        </w:rPr>
        <w:t>The acquired business contributed revenue of $16.5 million and an operating income of $2.7 million, which excludes transaction and transition costs, to our consolidated results from the date of acquisition through December 31, 2017. We recorded transaction related costs related to the acquisition of Hunt for the year ended December 31, 2017 of $5.9 million within transaction related costs on the Consolidated Statement of Income.</w:t>
      </w:r>
    </w:p>
    <w:p>
      <w:pPr>
        <w:spacing w:after="0" w:line="56" w:lineRule="exact"/>
        <w:rPr>
          <w:sz w:val="20"/>
          <w:szCs w:val="20"/>
          <w:color w:val="auto"/>
        </w:rPr>
      </w:pPr>
    </w:p>
    <w:p>
      <w:pPr>
        <w:jc w:val="both"/>
        <w:ind w:right="180"/>
        <w:spacing w:after="0" w:line="263" w:lineRule="auto"/>
        <w:rPr>
          <w:sz w:val="20"/>
          <w:szCs w:val="20"/>
          <w:color w:val="auto"/>
        </w:rPr>
      </w:pPr>
      <w:r>
        <w:rPr>
          <w:rFonts w:ascii="Arial" w:cs="Arial" w:eastAsia="Arial" w:hAnsi="Arial"/>
          <w:sz w:val="12"/>
          <w:szCs w:val="12"/>
          <w:color w:val="auto"/>
        </w:rPr>
        <w:t>The following table presents the unaudited pro forma summary of our financial results as if the Southern Light and Hunt business combinations had occurred on January 1, 2016. The pro forma results include additional depreciation and amortization resulting from purchase accounting adjustments, and interest expense associated with debt used to fund the acquisition. The pro forma results do not include any synergies or other benefits of the acquisition. The pro forma results are not indicative of future results of operations, or results that might have been achieved had the acquisition been consummated on January 1, 2016.</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6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720" w:type="dxa"/>
            <w:vAlign w:val="bottom"/>
          </w:tcPr>
          <w:p>
            <w:pPr>
              <w:jc w:val="right"/>
              <w:ind w:right="292"/>
              <w:spacing w:after="0"/>
              <w:rPr>
                <w:sz w:val="20"/>
                <w:szCs w:val="20"/>
                <w:color w:val="auto"/>
              </w:rPr>
            </w:pPr>
            <w:r>
              <w:rPr>
                <w:rFonts w:ascii="Arial" w:cs="Arial" w:eastAsia="Arial" w:hAnsi="Arial"/>
                <w:sz w:val="10"/>
                <w:szCs w:val="10"/>
                <w:b w:val="1"/>
                <w:bCs w:val="1"/>
                <w:color w:val="auto"/>
              </w:rPr>
              <w:t>Year Ended</w:t>
            </w: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20" w:type="dxa"/>
            <w:vAlign w:val="bottom"/>
            <w:gridSpan w:val="2"/>
          </w:tcPr>
          <w:p>
            <w:pPr>
              <w:jc w:val="right"/>
              <w:ind w:right="1040"/>
              <w:spacing w:after="0"/>
              <w:rPr>
                <w:sz w:val="20"/>
                <w:szCs w:val="20"/>
                <w:color w:val="auto"/>
              </w:rPr>
            </w:pPr>
            <w:r>
              <w:rPr>
                <w:rFonts w:ascii="Arial" w:cs="Arial" w:eastAsia="Arial" w:hAnsi="Arial"/>
                <w:sz w:val="10"/>
                <w:szCs w:val="10"/>
                <w:b w:val="1"/>
                <w:bCs w:val="1"/>
                <w:color w:val="auto"/>
              </w:rPr>
              <w:t>Year Ended</w:t>
            </w:r>
          </w:p>
        </w:tc>
      </w:tr>
      <w:tr>
        <w:trPr>
          <w:trHeight w:val="152"/>
        </w:trPr>
        <w:tc>
          <w:tcPr>
            <w:tcW w:w="62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(Thousands, except per share data)</w:t>
            </w:r>
          </w:p>
        </w:tc>
        <w:tc>
          <w:tcPr>
            <w:tcW w:w="180" w:type="dxa"/>
            <w:vAlign w:val="bottom"/>
            <w:tcBorders>
              <w:bottom w:val="single" w:sz="8" w:color="CFF0FC"/>
            </w:tcBorders>
          </w:tcPr>
          <w:p>
            <w:pPr>
              <w:spacing w:after="0"/>
              <w:rPr>
                <w:sz w:val="13"/>
                <w:szCs w:val="13"/>
                <w:color w:val="auto"/>
              </w:rPr>
            </w:pPr>
          </w:p>
        </w:tc>
        <w:tc>
          <w:tcPr>
            <w:tcW w:w="172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b w:val="1"/>
                <w:bCs w:val="1"/>
                <w:color w:val="auto"/>
              </w:rPr>
              <w:t>December 31, 2017</w:t>
            </w:r>
          </w:p>
        </w:tc>
        <w:tc>
          <w:tcPr>
            <w:tcW w:w="58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tcPr>
          <w:p>
            <w:pPr>
              <w:jc w:val="right"/>
              <w:ind w:right="725"/>
              <w:spacing w:after="0"/>
              <w:rPr>
                <w:sz w:val="20"/>
                <w:szCs w:val="20"/>
                <w:color w:val="auto"/>
              </w:rPr>
            </w:pPr>
            <w:r>
              <w:rPr>
                <w:rFonts w:ascii="Arial" w:cs="Arial" w:eastAsia="Arial" w:hAnsi="Arial"/>
                <w:sz w:val="10"/>
                <w:szCs w:val="10"/>
                <w:b w:val="1"/>
                <w:bCs w:val="1"/>
                <w:color w:val="auto"/>
              </w:rPr>
              <w:t>December 31, 2016</w:t>
            </w:r>
          </w:p>
        </w:tc>
        <w:tc>
          <w:tcPr>
            <w:tcW w:w="120" w:type="dxa"/>
            <w:vAlign w:val="bottom"/>
            <w:tcBorders>
              <w:bottom w:val="single" w:sz="8" w:color="CFF0FC"/>
            </w:tcBorders>
          </w:tcPr>
          <w:p>
            <w:pPr>
              <w:spacing w:after="0"/>
              <w:rPr>
                <w:sz w:val="13"/>
                <w:szCs w:val="13"/>
                <w:color w:val="auto"/>
              </w:rPr>
            </w:pPr>
          </w:p>
        </w:tc>
      </w:tr>
      <w:tr>
        <w:trPr>
          <w:trHeight w:val="142"/>
        </w:trPr>
        <w:tc>
          <w:tcPr>
            <w:tcW w:w="6280" w:type="dxa"/>
            <w:vAlign w:val="bottom"/>
            <w:shd w:val="clear" w:color="auto" w:fill="CFF0FC"/>
          </w:tcPr>
          <w:p>
            <w:pPr>
              <w:spacing w:after="0"/>
              <w:rPr>
                <w:sz w:val="20"/>
                <w:szCs w:val="20"/>
                <w:color w:val="auto"/>
              </w:rPr>
            </w:pPr>
            <w:r>
              <w:rPr>
                <w:rFonts w:ascii="Arial" w:cs="Arial" w:eastAsia="Arial" w:hAnsi="Arial"/>
                <w:sz w:val="12"/>
                <w:szCs w:val="12"/>
                <w:color w:val="auto"/>
              </w:rPr>
              <w:t>Pro forma revenue</w:t>
            </w:r>
          </w:p>
        </w:tc>
        <w:tc>
          <w:tcPr>
            <w:tcW w:w="1900" w:type="dxa"/>
            <w:vAlign w:val="bottom"/>
            <w:gridSpan w:val="2"/>
            <w:shd w:val="clear" w:color="auto" w:fill="CFF0FC"/>
          </w:tcPr>
          <w:p>
            <w:pPr>
              <w:jc w:val="right"/>
              <w:ind w:right="1612"/>
              <w:spacing w:after="0"/>
              <w:rPr>
                <w:sz w:val="20"/>
                <w:szCs w:val="20"/>
                <w:color w:val="auto"/>
              </w:rPr>
            </w:pPr>
            <w:r>
              <w:rPr>
                <w:rFonts w:ascii="Arial" w:cs="Arial" w:eastAsia="Arial" w:hAnsi="Arial"/>
                <w:sz w:val="12"/>
                <w:szCs w:val="12"/>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980,303</w:t>
            </w:r>
          </w:p>
        </w:tc>
        <w:tc>
          <w:tcPr>
            <w:tcW w:w="700" w:type="dxa"/>
            <w:vAlign w:val="bottom"/>
            <w:gridSpan w:val="2"/>
            <w:shd w:val="clear" w:color="auto" w:fill="CFF0FC"/>
          </w:tcPr>
          <w:p>
            <w:pPr>
              <w:jc w:val="right"/>
              <w:ind w:right="360"/>
              <w:spacing w:after="0"/>
              <w:rPr>
                <w:sz w:val="20"/>
                <w:szCs w:val="20"/>
                <w:color w:val="auto"/>
              </w:rPr>
            </w:pPr>
            <w:r>
              <w:rPr>
                <w:rFonts w:ascii="Arial" w:cs="Arial" w:eastAsia="Arial" w:hAnsi="Arial"/>
                <w:sz w:val="12"/>
                <w:szCs w:val="12"/>
                <w:color w:val="auto"/>
              </w:rPr>
              <w:t>$</w:t>
            </w:r>
          </w:p>
        </w:tc>
        <w:tc>
          <w:tcPr>
            <w:tcW w:w="1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891,373</w:t>
            </w:r>
          </w:p>
        </w:tc>
        <w:tc>
          <w:tcPr>
            <w:tcW w:w="120" w:type="dxa"/>
            <w:vAlign w:val="bottom"/>
            <w:shd w:val="clear" w:color="auto" w:fill="CFF0FC"/>
          </w:tcPr>
          <w:p>
            <w:pPr>
              <w:spacing w:after="0"/>
              <w:rPr>
                <w:sz w:val="12"/>
                <w:szCs w:val="12"/>
                <w:color w:val="auto"/>
              </w:rPr>
            </w:pPr>
          </w:p>
        </w:tc>
      </w:tr>
      <w:tr>
        <w:trPr>
          <w:trHeight w:val="153"/>
        </w:trPr>
        <w:tc>
          <w:tcPr>
            <w:tcW w:w="6280" w:type="dxa"/>
            <w:vAlign w:val="bottom"/>
          </w:tcPr>
          <w:p>
            <w:pPr>
              <w:spacing w:after="0"/>
              <w:rPr>
                <w:sz w:val="20"/>
                <w:szCs w:val="20"/>
                <w:color w:val="auto"/>
              </w:rPr>
            </w:pPr>
            <w:r>
              <w:rPr>
                <w:rFonts w:ascii="Arial" w:cs="Arial" w:eastAsia="Arial" w:hAnsi="Arial"/>
                <w:sz w:val="12"/>
                <w:szCs w:val="12"/>
                <w:color w:val="auto"/>
              </w:rPr>
              <w:t>Pro forma net income (loss)</w:t>
            </w:r>
          </w:p>
        </w:tc>
        <w:tc>
          <w:tcPr>
            <w:tcW w:w="1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4,267</w:t>
            </w: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20" w:type="dxa"/>
            <w:vAlign w:val="bottom"/>
            <w:gridSpan w:val="2"/>
          </w:tcPr>
          <w:p>
            <w:pPr>
              <w:jc w:val="right"/>
              <w:ind w:right="80"/>
              <w:spacing w:after="0"/>
              <w:rPr>
                <w:sz w:val="20"/>
                <w:szCs w:val="20"/>
                <w:color w:val="auto"/>
              </w:rPr>
            </w:pPr>
            <w:r>
              <w:rPr>
                <w:rFonts w:ascii="Arial" w:cs="Arial" w:eastAsia="Arial" w:hAnsi="Arial"/>
                <w:sz w:val="12"/>
                <w:szCs w:val="12"/>
                <w:color w:val="auto"/>
              </w:rPr>
              <w:t>(2,482)</w:t>
            </w:r>
          </w:p>
        </w:tc>
      </w:tr>
      <w:tr>
        <w:trPr>
          <w:trHeight w:val="162"/>
        </w:trPr>
        <w:tc>
          <w:tcPr>
            <w:tcW w:w="6280" w:type="dxa"/>
            <w:vAlign w:val="bottom"/>
            <w:shd w:val="clear" w:color="auto" w:fill="CFF0FC"/>
          </w:tcPr>
          <w:p>
            <w:pPr>
              <w:spacing w:after="0"/>
              <w:rPr>
                <w:sz w:val="20"/>
                <w:szCs w:val="20"/>
                <w:color w:val="auto"/>
              </w:rPr>
            </w:pPr>
            <w:r>
              <w:rPr>
                <w:rFonts w:ascii="Arial" w:cs="Arial" w:eastAsia="Arial" w:hAnsi="Arial"/>
                <w:sz w:val="12"/>
                <w:szCs w:val="12"/>
                <w:color w:val="auto"/>
              </w:rPr>
              <w:t>Pro forma net income (loss) per share</w:t>
            </w:r>
          </w:p>
        </w:tc>
        <w:tc>
          <w:tcPr>
            <w:tcW w:w="1900" w:type="dxa"/>
            <w:vAlign w:val="bottom"/>
            <w:gridSpan w:val="2"/>
            <w:shd w:val="clear" w:color="auto" w:fill="CFF0FC"/>
          </w:tcPr>
          <w:p>
            <w:pPr>
              <w:jc w:val="right"/>
              <w:ind w:right="1612"/>
              <w:spacing w:after="0"/>
              <w:rPr>
                <w:sz w:val="20"/>
                <w:szCs w:val="20"/>
                <w:color w:val="auto"/>
              </w:rPr>
            </w:pPr>
            <w:r>
              <w:rPr>
                <w:rFonts w:ascii="Arial" w:cs="Arial" w:eastAsia="Arial" w:hAnsi="Arial"/>
                <w:sz w:val="12"/>
                <w:szCs w:val="12"/>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0.02</w:t>
            </w:r>
          </w:p>
        </w:tc>
        <w:tc>
          <w:tcPr>
            <w:tcW w:w="700" w:type="dxa"/>
            <w:vAlign w:val="bottom"/>
            <w:gridSpan w:val="2"/>
            <w:shd w:val="clear" w:color="auto" w:fill="CFF0FC"/>
          </w:tcPr>
          <w:p>
            <w:pPr>
              <w:jc w:val="right"/>
              <w:ind w:right="360"/>
              <w:spacing w:after="0"/>
              <w:rPr>
                <w:sz w:val="20"/>
                <w:szCs w:val="20"/>
                <w:color w:val="auto"/>
              </w:rPr>
            </w:pPr>
            <w:r>
              <w:rPr>
                <w:rFonts w:ascii="Arial" w:cs="Arial" w:eastAsia="Arial" w:hAnsi="Arial"/>
                <w:sz w:val="12"/>
                <w:szCs w:val="12"/>
                <w:color w:val="auto"/>
              </w:rPr>
              <w:t>$</w:t>
            </w:r>
          </w:p>
        </w:tc>
        <w:tc>
          <w:tcPr>
            <w:tcW w:w="20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(0.01)</w:t>
            </w:r>
          </w:p>
        </w:tc>
      </w:tr>
    </w:tbl>
    <w:p>
      <w:pPr>
        <w:spacing w:after="0" w:line="99"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2016 Transactions</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Tower Cloud, Inc.</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color w:val="auto"/>
        </w:rPr>
        <w:t>On August 31, 2016, we acquired 100% of the outstanding equity of Tower Cloud, Inc. (“Tower Cloud”) for $187.5 million in cash and 1.9 million shares of our common stock with an acquisition date fair value of $58.5</w:t>
      </w:r>
    </w:p>
    <w:p>
      <w:pPr>
        <w:spacing w:after="0" w:line="15" w:lineRule="exact"/>
        <w:rPr>
          <w:sz w:val="20"/>
          <w:szCs w:val="20"/>
          <w:color w:val="auto"/>
        </w:rPr>
      </w:pPr>
    </w:p>
    <w:p>
      <w:pPr>
        <w:ind w:right="260"/>
        <w:spacing w:after="0" w:line="284" w:lineRule="auto"/>
        <w:rPr>
          <w:sz w:val="20"/>
          <w:szCs w:val="20"/>
          <w:color w:val="auto"/>
        </w:rPr>
      </w:pPr>
      <w:r>
        <w:rPr>
          <w:rFonts w:ascii="Arial" w:cs="Arial" w:eastAsia="Arial" w:hAnsi="Arial"/>
          <w:sz w:val="11"/>
          <w:szCs w:val="11"/>
          <w:color w:val="auto"/>
        </w:rPr>
        <w:t>million. Additional contingent consideration of up to $130 million, with an acquisition date fair value of $98.6 million, may be paid upon the achievement of certain defined operational and financial milestones. At the Company’s discretion, a combination of cash and Uniti common shares may be used to satisfy the contingent consideration payments, provided that at least 50% of the aggregate amount of payments is satisfied in cash. Tower Cloud provides data transport services, with particular focus on providing infrastructure solutions to the wireless and enterprise sectors, including fiber-to-the-tower backhaul, small cell networks, and dark fiber deployments. Following the close of the transaction, the Tower Cloud business and the previously acquired PEG Bandwidth business were combined into a unified fiber infrastructure organization, Uniti Fiber. The operating results from this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19" w:right="199" w:bottom="1440" w:gutter="0" w:footer="0" w:header="0"/>
        </w:sectPr>
      </w:pPr>
    </w:p>
    <w:bookmarkStart w:id="68" w:name="page69"/>
    <w:bookmarkEnd w:id="68"/>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Uniti Group Inc.</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Notes to the Consolidated Financial Statements – Continued</w:t>
      </w:r>
    </w:p>
    <w:p>
      <w:pPr>
        <w:spacing w:after="0" w:line="159" w:lineRule="exact"/>
        <w:rPr>
          <w:sz w:val="20"/>
          <w:szCs w:val="20"/>
          <w:color w:val="auto"/>
        </w:rPr>
      </w:pPr>
    </w:p>
    <w:p>
      <w:pPr>
        <w:jc w:val="both"/>
        <w:ind w:right="60"/>
        <w:spacing w:after="0" w:line="263" w:lineRule="auto"/>
        <w:rPr>
          <w:sz w:val="20"/>
          <w:szCs w:val="20"/>
          <w:color w:val="auto"/>
        </w:rPr>
      </w:pPr>
      <w:r>
        <w:rPr>
          <w:rFonts w:ascii="Arial" w:cs="Arial" w:eastAsia="Arial" w:hAnsi="Arial"/>
          <w:sz w:val="12"/>
          <w:szCs w:val="12"/>
          <w:color w:val="auto"/>
        </w:rPr>
        <w:t>acquisition are included in the consolidated financial statements from the acquisition date. The acquisition was recorded by allocating the costs of the assets acquired based on their estimated fair values at the acquisition date. The excess of the cost of the acquisition over the fair value of the assets acquired is recorded as goodwill within our Fiber Infrastructure segment. See Note 13. During the first quarter of 2017, certain contractual working capital adjustments resulted in a $0.2 million reduction of the purchase price and goodwill. The following is a summary of the estimated fair values of the assets acquired and liabilities assumed: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720" w:type="dxa"/>
            <w:vAlign w:val="bottom"/>
            <w:tcBorders>
              <w:bottom w:val="single" w:sz="8" w:color="auto"/>
            </w:tcBorders>
          </w:tcPr>
          <w:p>
            <w:pPr>
              <w:spacing w:after="0"/>
              <w:rPr>
                <w:sz w:val="10"/>
                <w:szCs w:val="10"/>
                <w:color w:val="auto"/>
              </w:rPr>
            </w:pPr>
          </w:p>
        </w:tc>
        <w:tc>
          <w:tcPr>
            <w:tcW w:w="240" w:type="dxa"/>
            <w:vAlign w:val="bottom"/>
            <w:tcBorders>
              <w:bottom w:val="single" w:sz="8" w:color="CFF0FC"/>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tcPr>
          <w:p>
            <w:pPr>
              <w:jc w:val="right"/>
              <w:ind w:right="901"/>
              <w:spacing w:after="0"/>
              <w:rPr>
                <w:sz w:val="20"/>
                <w:szCs w:val="20"/>
                <w:color w:val="auto"/>
              </w:rPr>
            </w:pPr>
            <w:r>
              <w:rPr>
                <w:rFonts w:ascii="Arial" w:cs="Arial" w:eastAsia="Arial" w:hAnsi="Arial"/>
                <w:sz w:val="10"/>
                <w:szCs w:val="10"/>
                <w:b w:val="1"/>
                <w:bCs w:val="1"/>
                <w:color w:val="auto"/>
              </w:rPr>
              <w:t>(thousands)</w:t>
            </w:r>
          </w:p>
        </w:tc>
        <w:tc>
          <w:tcPr>
            <w:tcW w:w="120" w:type="dxa"/>
            <w:vAlign w:val="bottom"/>
            <w:tcBorders>
              <w:bottom w:val="single" w:sz="8" w:color="CFF0FC"/>
            </w:tcBorders>
          </w:tcPr>
          <w:p>
            <w:pPr>
              <w:spacing w:after="0"/>
              <w:rPr>
                <w:sz w:val="10"/>
                <w:szCs w:val="10"/>
                <w:color w:val="auto"/>
              </w:rPr>
            </w:pPr>
          </w:p>
        </w:tc>
      </w:tr>
      <w:tr>
        <w:trPr>
          <w:trHeight w:val="160"/>
        </w:trPr>
        <w:tc>
          <w:tcPr>
            <w:tcW w:w="896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Property, plant and equipment</w:t>
            </w:r>
          </w:p>
        </w:tc>
        <w:tc>
          <w:tcPr>
            <w:tcW w:w="520" w:type="dxa"/>
            <w:vAlign w:val="bottom"/>
            <w:shd w:val="clear" w:color="auto" w:fill="CFF0FC"/>
          </w:tcPr>
          <w:p>
            <w:pPr>
              <w:jc w:val="right"/>
              <w:ind w:right="410"/>
              <w:spacing w:after="0"/>
              <w:rPr>
                <w:sz w:val="20"/>
                <w:szCs w:val="20"/>
                <w:color w:val="auto"/>
              </w:rPr>
            </w:pPr>
            <w:r>
              <w:rPr>
                <w:rFonts w:ascii="Arial" w:cs="Arial" w:eastAsia="Arial" w:hAnsi="Arial"/>
                <w:sz w:val="10"/>
                <w:szCs w:val="10"/>
                <w:color w:val="auto"/>
                <w:w w:val="71"/>
              </w:rPr>
              <w:t>$</w:t>
            </w:r>
          </w:p>
        </w:tc>
        <w:tc>
          <w:tcPr>
            <w:tcW w:w="1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163,680</w:t>
            </w:r>
          </w:p>
        </w:tc>
        <w:tc>
          <w:tcPr>
            <w:tcW w:w="120" w:type="dxa"/>
            <w:vAlign w:val="bottom"/>
            <w:shd w:val="clear" w:color="auto" w:fill="CFF0FC"/>
          </w:tcPr>
          <w:p>
            <w:pPr>
              <w:spacing w:after="0"/>
              <w:rPr>
                <w:sz w:val="13"/>
                <w:szCs w:val="13"/>
                <w:color w:val="auto"/>
              </w:rPr>
            </w:pPr>
          </w:p>
        </w:tc>
      </w:tr>
      <w:tr>
        <w:trPr>
          <w:trHeight w:val="153"/>
        </w:trPr>
        <w:tc>
          <w:tcPr>
            <w:tcW w:w="8960" w:type="dxa"/>
            <w:vAlign w:val="bottom"/>
            <w:gridSpan w:val="2"/>
          </w:tcPr>
          <w:p>
            <w:pPr>
              <w:spacing w:after="0"/>
              <w:rPr>
                <w:sz w:val="20"/>
                <w:szCs w:val="20"/>
                <w:color w:val="auto"/>
              </w:rPr>
            </w:pPr>
            <w:r>
              <w:rPr>
                <w:rFonts w:ascii="Arial" w:cs="Arial" w:eastAsia="Arial" w:hAnsi="Arial"/>
                <w:sz w:val="12"/>
                <w:szCs w:val="12"/>
                <w:color w:val="auto"/>
              </w:rPr>
              <w:t>Cash and cash equivalents</w:t>
            </w:r>
          </w:p>
        </w:tc>
        <w:tc>
          <w:tcPr>
            <w:tcW w:w="520" w:type="dxa"/>
            <w:vAlign w:val="bottom"/>
          </w:tcPr>
          <w:p>
            <w:pPr>
              <w:spacing w:after="0"/>
              <w:rPr>
                <w:sz w:val="13"/>
                <w:szCs w:val="13"/>
                <w:color w:val="auto"/>
              </w:rPr>
            </w:pPr>
          </w:p>
        </w:tc>
        <w:tc>
          <w:tcPr>
            <w:tcW w:w="1880" w:type="dxa"/>
            <w:vAlign w:val="bottom"/>
          </w:tcPr>
          <w:p>
            <w:pPr>
              <w:jc w:val="right"/>
              <w:spacing w:after="0"/>
              <w:rPr>
                <w:sz w:val="20"/>
                <w:szCs w:val="20"/>
                <w:color w:val="auto"/>
              </w:rPr>
            </w:pPr>
            <w:r>
              <w:rPr>
                <w:rFonts w:ascii="Arial" w:cs="Arial" w:eastAsia="Arial" w:hAnsi="Arial"/>
                <w:sz w:val="12"/>
                <w:szCs w:val="12"/>
                <w:color w:val="auto"/>
              </w:rPr>
              <w:t>14,346</w:t>
            </w:r>
          </w:p>
        </w:tc>
        <w:tc>
          <w:tcPr>
            <w:tcW w:w="120" w:type="dxa"/>
            <w:vAlign w:val="bottom"/>
          </w:tcPr>
          <w:p>
            <w:pPr>
              <w:spacing w:after="0"/>
              <w:rPr>
                <w:sz w:val="13"/>
                <w:szCs w:val="13"/>
                <w:color w:val="auto"/>
              </w:rPr>
            </w:pPr>
          </w:p>
        </w:tc>
      </w:tr>
      <w:tr>
        <w:trPr>
          <w:trHeight w:val="153"/>
        </w:trPr>
        <w:tc>
          <w:tcPr>
            <w:tcW w:w="896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Accounts receivable</w:t>
            </w:r>
          </w:p>
        </w:tc>
        <w:tc>
          <w:tcPr>
            <w:tcW w:w="520" w:type="dxa"/>
            <w:vAlign w:val="bottom"/>
            <w:shd w:val="clear" w:color="auto" w:fill="CFF0FC"/>
          </w:tcPr>
          <w:p>
            <w:pPr>
              <w:spacing w:after="0"/>
              <w:rPr>
                <w:sz w:val="13"/>
                <w:szCs w:val="13"/>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3,043</w:t>
            </w:r>
          </w:p>
        </w:tc>
        <w:tc>
          <w:tcPr>
            <w:tcW w:w="120" w:type="dxa"/>
            <w:vAlign w:val="bottom"/>
            <w:shd w:val="clear" w:color="auto" w:fill="CFF0FC"/>
          </w:tcPr>
          <w:p>
            <w:pPr>
              <w:spacing w:after="0"/>
              <w:rPr>
                <w:sz w:val="13"/>
                <w:szCs w:val="13"/>
                <w:color w:val="auto"/>
              </w:rPr>
            </w:pPr>
          </w:p>
        </w:tc>
      </w:tr>
      <w:tr>
        <w:trPr>
          <w:trHeight w:val="153"/>
        </w:trPr>
        <w:tc>
          <w:tcPr>
            <w:tcW w:w="8960" w:type="dxa"/>
            <w:vAlign w:val="bottom"/>
            <w:gridSpan w:val="2"/>
          </w:tcPr>
          <w:p>
            <w:pPr>
              <w:spacing w:after="0"/>
              <w:rPr>
                <w:sz w:val="20"/>
                <w:szCs w:val="20"/>
                <w:color w:val="auto"/>
              </w:rPr>
            </w:pPr>
            <w:r>
              <w:rPr>
                <w:rFonts w:ascii="Arial" w:cs="Arial" w:eastAsia="Arial" w:hAnsi="Arial"/>
                <w:sz w:val="12"/>
                <w:szCs w:val="12"/>
                <w:color w:val="auto"/>
              </w:rPr>
              <w:t>Other assets</w:t>
            </w:r>
          </w:p>
        </w:tc>
        <w:tc>
          <w:tcPr>
            <w:tcW w:w="520" w:type="dxa"/>
            <w:vAlign w:val="bottom"/>
          </w:tcPr>
          <w:p>
            <w:pPr>
              <w:spacing w:after="0"/>
              <w:rPr>
                <w:sz w:val="13"/>
                <w:szCs w:val="13"/>
                <w:color w:val="auto"/>
              </w:rPr>
            </w:pPr>
          </w:p>
        </w:tc>
        <w:tc>
          <w:tcPr>
            <w:tcW w:w="1880" w:type="dxa"/>
            <w:vAlign w:val="bottom"/>
          </w:tcPr>
          <w:p>
            <w:pPr>
              <w:jc w:val="right"/>
              <w:spacing w:after="0"/>
              <w:rPr>
                <w:sz w:val="20"/>
                <w:szCs w:val="20"/>
                <w:color w:val="auto"/>
              </w:rPr>
            </w:pPr>
            <w:r>
              <w:rPr>
                <w:rFonts w:ascii="Arial" w:cs="Arial" w:eastAsia="Arial" w:hAnsi="Arial"/>
                <w:sz w:val="12"/>
                <w:szCs w:val="12"/>
                <w:color w:val="auto"/>
              </w:rPr>
              <w:t>2,595</w:t>
            </w:r>
          </w:p>
        </w:tc>
        <w:tc>
          <w:tcPr>
            <w:tcW w:w="120" w:type="dxa"/>
            <w:vAlign w:val="bottom"/>
          </w:tcPr>
          <w:p>
            <w:pPr>
              <w:spacing w:after="0"/>
              <w:rPr>
                <w:sz w:val="13"/>
                <w:szCs w:val="13"/>
                <w:color w:val="auto"/>
              </w:rPr>
            </w:pPr>
          </w:p>
        </w:tc>
      </w:tr>
      <w:tr>
        <w:trPr>
          <w:trHeight w:val="153"/>
        </w:trPr>
        <w:tc>
          <w:tcPr>
            <w:tcW w:w="896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Goodwill</w:t>
            </w:r>
          </w:p>
        </w:tc>
        <w:tc>
          <w:tcPr>
            <w:tcW w:w="520" w:type="dxa"/>
            <w:vAlign w:val="bottom"/>
            <w:shd w:val="clear" w:color="auto" w:fill="CFF0FC"/>
          </w:tcPr>
          <w:p>
            <w:pPr>
              <w:spacing w:after="0"/>
              <w:rPr>
                <w:sz w:val="13"/>
                <w:szCs w:val="13"/>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117,032</w:t>
            </w:r>
          </w:p>
        </w:tc>
        <w:tc>
          <w:tcPr>
            <w:tcW w:w="120" w:type="dxa"/>
            <w:vAlign w:val="bottom"/>
            <w:shd w:val="clear" w:color="auto" w:fill="CFF0FC"/>
          </w:tcPr>
          <w:p>
            <w:pPr>
              <w:spacing w:after="0"/>
              <w:rPr>
                <w:sz w:val="13"/>
                <w:szCs w:val="13"/>
                <w:color w:val="auto"/>
              </w:rPr>
            </w:pPr>
          </w:p>
        </w:tc>
      </w:tr>
      <w:tr>
        <w:trPr>
          <w:trHeight w:val="153"/>
        </w:trPr>
        <w:tc>
          <w:tcPr>
            <w:tcW w:w="8960" w:type="dxa"/>
            <w:vAlign w:val="bottom"/>
            <w:gridSpan w:val="2"/>
          </w:tcPr>
          <w:p>
            <w:pPr>
              <w:spacing w:after="0"/>
              <w:rPr>
                <w:sz w:val="20"/>
                <w:szCs w:val="20"/>
                <w:color w:val="auto"/>
              </w:rPr>
            </w:pPr>
            <w:r>
              <w:rPr>
                <w:rFonts w:ascii="Arial" w:cs="Arial" w:eastAsia="Arial" w:hAnsi="Arial"/>
                <w:sz w:val="12"/>
                <w:szCs w:val="12"/>
                <w:color w:val="auto"/>
              </w:rPr>
              <w:t>Intangible assets</w:t>
            </w:r>
          </w:p>
        </w:tc>
        <w:tc>
          <w:tcPr>
            <w:tcW w:w="520" w:type="dxa"/>
            <w:vAlign w:val="bottom"/>
          </w:tcPr>
          <w:p>
            <w:pPr>
              <w:spacing w:after="0"/>
              <w:rPr>
                <w:sz w:val="13"/>
                <w:szCs w:val="13"/>
                <w:color w:val="auto"/>
              </w:rPr>
            </w:pPr>
          </w:p>
        </w:tc>
        <w:tc>
          <w:tcPr>
            <w:tcW w:w="1880" w:type="dxa"/>
            <w:vAlign w:val="bottom"/>
          </w:tcPr>
          <w:p>
            <w:pPr>
              <w:jc w:val="right"/>
              <w:spacing w:after="0"/>
              <w:rPr>
                <w:sz w:val="20"/>
                <w:szCs w:val="20"/>
                <w:color w:val="auto"/>
              </w:rPr>
            </w:pPr>
            <w:r>
              <w:rPr>
                <w:rFonts w:ascii="Arial" w:cs="Arial" w:eastAsia="Arial" w:hAnsi="Arial"/>
                <w:sz w:val="12"/>
                <w:szCs w:val="12"/>
                <w:color w:val="auto"/>
              </w:rPr>
              <w:t>116,218</w:t>
            </w:r>
          </w:p>
        </w:tc>
        <w:tc>
          <w:tcPr>
            <w:tcW w:w="120" w:type="dxa"/>
            <w:vAlign w:val="bottom"/>
          </w:tcPr>
          <w:p>
            <w:pPr>
              <w:spacing w:after="0"/>
              <w:rPr>
                <w:sz w:val="13"/>
                <w:szCs w:val="13"/>
                <w:color w:val="auto"/>
              </w:rPr>
            </w:pPr>
          </w:p>
        </w:tc>
      </w:tr>
      <w:tr>
        <w:trPr>
          <w:trHeight w:val="153"/>
        </w:trPr>
        <w:tc>
          <w:tcPr>
            <w:tcW w:w="896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Accounts payable, accrued expenses and other liabilities</w:t>
            </w:r>
          </w:p>
        </w:tc>
        <w:tc>
          <w:tcPr>
            <w:tcW w:w="520" w:type="dxa"/>
            <w:vAlign w:val="bottom"/>
            <w:shd w:val="clear" w:color="auto" w:fill="CFF0FC"/>
          </w:tcPr>
          <w:p>
            <w:pPr>
              <w:spacing w:after="0"/>
              <w:rPr>
                <w:sz w:val="13"/>
                <w:szCs w:val="13"/>
                <w:color w:val="auto"/>
              </w:rPr>
            </w:pPr>
          </w:p>
        </w:tc>
        <w:tc>
          <w:tcPr>
            <w:tcW w:w="200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(16,782)</w:t>
            </w:r>
          </w:p>
        </w:tc>
      </w:tr>
      <w:tr>
        <w:trPr>
          <w:trHeight w:val="153"/>
        </w:trPr>
        <w:tc>
          <w:tcPr>
            <w:tcW w:w="8960" w:type="dxa"/>
            <w:vAlign w:val="bottom"/>
            <w:gridSpan w:val="2"/>
          </w:tcPr>
          <w:p>
            <w:pPr>
              <w:spacing w:after="0"/>
              <w:rPr>
                <w:sz w:val="20"/>
                <w:szCs w:val="20"/>
                <w:color w:val="auto"/>
              </w:rPr>
            </w:pPr>
            <w:r>
              <w:rPr>
                <w:rFonts w:ascii="Arial" w:cs="Arial" w:eastAsia="Arial" w:hAnsi="Arial"/>
                <w:sz w:val="12"/>
                <w:szCs w:val="12"/>
                <w:color w:val="auto"/>
              </w:rPr>
              <w:t>Deferred revenue</w:t>
            </w:r>
          </w:p>
        </w:tc>
        <w:tc>
          <w:tcPr>
            <w:tcW w:w="520" w:type="dxa"/>
            <w:vAlign w:val="bottom"/>
          </w:tcPr>
          <w:p>
            <w:pPr>
              <w:spacing w:after="0"/>
              <w:rPr>
                <w:sz w:val="13"/>
                <w:szCs w:val="13"/>
                <w:color w:val="auto"/>
              </w:rPr>
            </w:pPr>
          </w:p>
        </w:tc>
        <w:tc>
          <w:tcPr>
            <w:tcW w:w="2000" w:type="dxa"/>
            <w:vAlign w:val="bottom"/>
            <w:gridSpan w:val="2"/>
          </w:tcPr>
          <w:p>
            <w:pPr>
              <w:jc w:val="right"/>
              <w:ind w:right="80"/>
              <w:spacing w:after="0"/>
              <w:rPr>
                <w:sz w:val="20"/>
                <w:szCs w:val="20"/>
                <w:color w:val="auto"/>
              </w:rPr>
            </w:pPr>
            <w:r>
              <w:rPr>
                <w:rFonts w:ascii="Arial" w:cs="Arial" w:eastAsia="Arial" w:hAnsi="Arial"/>
                <w:sz w:val="12"/>
                <w:szCs w:val="12"/>
                <w:color w:val="auto"/>
              </w:rPr>
              <w:t>(23,900)</w:t>
            </w:r>
          </w:p>
        </w:tc>
      </w:tr>
      <w:tr>
        <w:trPr>
          <w:trHeight w:val="153"/>
        </w:trPr>
        <w:tc>
          <w:tcPr>
            <w:tcW w:w="896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Deferred income taxes</w:t>
            </w:r>
          </w:p>
        </w:tc>
        <w:tc>
          <w:tcPr>
            <w:tcW w:w="520" w:type="dxa"/>
            <w:vAlign w:val="bottom"/>
            <w:shd w:val="clear" w:color="auto" w:fill="CFF0FC"/>
          </w:tcPr>
          <w:p>
            <w:pPr>
              <w:spacing w:after="0"/>
              <w:rPr>
                <w:sz w:val="13"/>
                <w:szCs w:val="13"/>
                <w:color w:val="auto"/>
              </w:rPr>
            </w:pPr>
          </w:p>
        </w:tc>
        <w:tc>
          <w:tcPr>
            <w:tcW w:w="200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(24,866)</w:t>
            </w:r>
          </w:p>
        </w:tc>
      </w:tr>
      <w:tr>
        <w:trPr>
          <w:trHeight w:val="153"/>
        </w:trPr>
        <w:tc>
          <w:tcPr>
            <w:tcW w:w="8960" w:type="dxa"/>
            <w:vAlign w:val="bottom"/>
            <w:gridSpan w:val="2"/>
          </w:tcPr>
          <w:p>
            <w:pPr>
              <w:spacing w:after="0"/>
              <w:rPr>
                <w:sz w:val="20"/>
                <w:szCs w:val="20"/>
                <w:color w:val="auto"/>
              </w:rPr>
            </w:pPr>
            <w:r>
              <w:rPr>
                <w:rFonts w:ascii="Arial" w:cs="Arial" w:eastAsia="Arial" w:hAnsi="Arial"/>
                <w:sz w:val="12"/>
                <w:szCs w:val="12"/>
                <w:color w:val="auto"/>
              </w:rPr>
              <w:t>Capital lease obligations</w:t>
            </w:r>
          </w:p>
        </w:tc>
        <w:tc>
          <w:tcPr>
            <w:tcW w:w="520" w:type="dxa"/>
            <w:vAlign w:val="bottom"/>
          </w:tcPr>
          <w:p>
            <w:pPr>
              <w:spacing w:after="0"/>
              <w:rPr>
                <w:sz w:val="13"/>
                <w:szCs w:val="13"/>
                <w:color w:val="auto"/>
              </w:rPr>
            </w:pPr>
          </w:p>
        </w:tc>
        <w:tc>
          <w:tcPr>
            <w:tcW w:w="2000" w:type="dxa"/>
            <w:vAlign w:val="bottom"/>
            <w:gridSpan w:val="2"/>
          </w:tcPr>
          <w:p>
            <w:pPr>
              <w:jc w:val="right"/>
              <w:ind w:right="80"/>
              <w:spacing w:after="0"/>
              <w:rPr>
                <w:sz w:val="20"/>
                <w:szCs w:val="20"/>
                <w:color w:val="auto"/>
              </w:rPr>
            </w:pPr>
            <w:r>
              <w:rPr>
                <w:rFonts w:ascii="Arial" w:cs="Arial" w:eastAsia="Arial" w:hAnsi="Arial"/>
                <w:sz w:val="12"/>
                <w:szCs w:val="12"/>
                <w:color w:val="auto"/>
              </w:rPr>
              <w:t>(6,750)</w:t>
            </w:r>
          </w:p>
        </w:tc>
      </w:tr>
      <w:tr>
        <w:trPr>
          <w:trHeight w:val="149"/>
        </w:trPr>
        <w:tc>
          <w:tcPr>
            <w:tcW w:w="896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2"/>
                <w:szCs w:val="12"/>
                <w:color w:val="auto"/>
              </w:rPr>
              <w:t>Total purchase consideration</w:t>
            </w:r>
          </w:p>
        </w:tc>
        <w:tc>
          <w:tcPr>
            <w:tcW w:w="520" w:type="dxa"/>
            <w:vAlign w:val="bottom"/>
            <w:tcBorders>
              <w:top w:val="single" w:sz="8" w:color="auto"/>
              <w:bottom w:val="single" w:sz="8" w:color="auto"/>
            </w:tcBorders>
            <w:shd w:val="clear" w:color="auto" w:fill="CFF0FC"/>
          </w:tcPr>
          <w:p>
            <w:pPr>
              <w:jc w:val="right"/>
              <w:ind w:right="410"/>
              <w:spacing w:after="0"/>
              <w:rPr>
                <w:sz w:val="20"/>
                <w:szCs w:val="20"/>
                <w:color w:val="auto"/>
              </w:rPr>
            </w:pPr>
            <w:r>
              <w:rPr>
                <w:rFonts w:ascii="Arial" w:cs="Arial" w:eastAsia="Arial" w:hAnsi="Arial"/>
                <w:sz w:val="10"/>
                <w:szCs w:val="10"/>
                <w:color w:val="auto"/>
                <w:w w:val="71"/>
              </w:rPr>
              <w:t>$</w:t>
            </w:r>
          </w:p>
        </w:tc>
        <w:tc>
          <w:tcPr>
            <w:tcW w:w="1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344,616</w:t>
            </w: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r>
    </w:tbl>
    <w:p>
      <w:pPr>
        <w:spacing w:after="0" w:line="243"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The goodwill is primarily attributable to strategic opportunities that arose from the acquisition of Tower Cloud. The acquisition was treated as a taxable acquisition of the outstanding stock of Tower Cloud, Inc. Thus, none of the goodwill is expected to be deductible for tax purposes.</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color w:val="auto"/>
        </w:rPr>
        <w:t>We acquired an intangible asset that was assigned to customer relationships of $116.2 million (30 year life).</w:t>
      </w:r>
    </w:p>
    <w:p>
      <w:pPr>
        <w:spacing w:after="0" w:line="114" w:lineRule="exact"/>
        <w:rPr>
          <w:sz w:val="20"/>
          <w:szCs w:val="20"/>
          <w:color w:val="auto"/>
        </w:rPr>
      </w:pPr>
    </w:p>
    <w:p>
      <w:pPr>
        <w:ind w:right="40"/>
        <w:spacing w:after="0" w:line="259" w:lineRule="auto"/>
        <w:rPr>
          <w:sz w:val="20"/>
          <w:szCs w:val="20"/>
          <w:color w:val="auto"/>
        </w:rPr>
      </w:pPr>
      <w:r>
        <w:rPr>
          <w:rFonts w:ascii="Arial" w:cs="Arial" w:eastAsia="Arial" w:hAnsi="Arial"/>
          <w:sz w:val="12"/>
          <w:szCs w:val="12"/>
          <w:color w:val="auto"/>
        </w:rPr>
        <w:t>Tower Cloud had federal net operating loss (“NOL”) carryforwards of approximately $81.2 million at the date of the acquisition, which will expire between 2026 and 2036. As a result of the change in ownership, the utilization of NOL carryforwards is subject to limitations imposed by the Internal Revenue Code. The gross deferred tax assets associated with the NOL and other temporary differences as of August 31, 2016 were approximately $37.0 million, with respect to which we have determined that a valuation allowance is not required. A net deferred tax liability of $24.8 million was recorded in connection with the acquisition, which is primarily related to the excess of the recorded amounts for Property, Plant and Equipment and Intangible Assets over their respective historical tax bases.</w:t>
      </w:r>
    </w:p>
    <w:p>
      <w:pPr>
        <w:spacing w:after="0" w:line="89" w:lineRule="exact"/>
        <w:rPr>
          <w:sz w:val="20"/>
          <w:szCs w:val="20"/>
          <w:color w:val="auto"/>
        </w:rPr>
      </w:pPr>
    </w:p>
    <w:p>
      <w:pPr>
        <w:ind w:right="260"/>
        <w:spacing w:after="0" w:line="323" w:lineRule="auto"/>
        <w:rPr>
          <w:sz w:val="20"/>
          <w:szCs w:val="20"/>
          <w:color w:val="auto"/>
        </w:rPr>
      </w:pPr>
      <w:r>
        <w:rPr>
          <w:rFonts w:ascii="Arial" w:cs="Arial" w:eastAsia="Arial" w:hAnsi="Arial"/>
          <w:sz w:val="11"/>
          <w:szCs w:val="11"/>
          <w:color w:val="auto"/>
        </w:rPr>
        <w:t>The acquired business contributed revenue of $13.5 million and an operating loss of $2.1 million, which excludes transaction and transition costs, to our consolidated results from the date of acquisition through December 31, 2016. We recorded transaction related costs related to the acquisition of Tower Cloud for the year ended December 31, 2016 of $9.1 million within transaction related costs on the Consolidated Statement of Income.</w:t>
      </w:r>
    </w:p>
    <w:p>
      <w:pPr>
        <w:spacing w:after="0" w:line="56" w:lineRule="exact"/>
        <w:rPr>
          <w:sz w:val="20"/>
          <w:szCs w:val="20"/>
          <w:color w:val="auto"/>
        </w:rPr>
      </w:pPr>
    </w:p>
    <w:p>
      <w:pPr>
        <w:jc w:val="both"/>
        <w:ind w:right="180"/>
        <w:spacing w:after="0" w:line="298" w:lineRule="auto"/>
        <w:rPr>
          <w:sz w:val="20"/>
          <w:szCs w:val="20"/>
          <w:color w:val="auto"/>
        </w:rPr>
      </w:pPr>
      <w:r>
        <w:rPr>
          <w:rFonts w:ascii="Arial" w:cs="Arial" w:eastAsia="Arial" w:hAnsi="Arial"/>
          <w:sz w:val="11"/>
          <w:szCs w:val="11"/>
          <w:color w:val="auto"/>
        </w:rPr>
        <w:t>The following table presents the unaudited pro forma summary of our financial results as if the business combination had occurred as of the Spin-Off. The pro forma results include additional depreciation and amortization resulting from purchase accounting adjustments, adjustments to amortized deferred revenue, and interest expense associated with debt used to fund the acquisition. The pro forma results do not include any synergies or other benefits of the acquisition. The pro forma results are not indicative of future results of operations, or results that might have been achieved had the acquisition been consummated as of the Spin-Off.</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374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720" w:type="dxa"/>
            <w:vAlign w:val="bottom"/>
          </w:tcPr>
          <w:p>
            <w:pPr>
              <w:jc w:val="right"/>
              <w:ind w:right="292"/>
              <w:spacing w:after="0"/>
              <w:rPr>
                <w:sz w:val="20"/>
                <w:szCs w:val="20"/>
                <w:color w:val="auto"/>
              </w:rPr>
            </w:pPr>
            <w:r>
              <w:rPr>
                <w:rFonts w:ascii="Arial" w:cs="Arial" w:eastAsia="Arial" w:hAnsi="Arial"/>
                <w:sz w:val="10"/>
                <w:szCs w:val="10"/>
                <w:b w:val="1"/>
                <w:bCs w:val="1"/>
                <w:color w:val="auto"/>
              </w:rPr>
              <w:t>Year Ended</w:t>
            </w: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120" w:type="dxa"/>
            <w:vAlign w:val="bottom"/>
            <w:gridSpan w:val="2"/>
          </w:tcPr>
          <w:p>
            <w:pPr>
              <w:ind w:left="580"/>
              <w:spacing w:after="0"/>
              <w:rPr>
                <w:sz w:val="20"/>
                <w:szCs w:val="20"/>
                <w:color w:val="auto"/>
              </w:rPr>
            </w:pPr>
            <w:r>
              <w:rPr>
                <w:rFonts w:ascii="Arial" w:cs="Arial" w:eastAsia="Arial" w:hAnsi="Arial"/>
                <w:sz w:val="10"/>
                <w:szCs w:val="10"/>
                <w:b w:val="1"/>
                <w:bCs w:val="1"/>
                <w:color w:val="auto"/>
              </w:rPr>
              <w:t>Period from</w:t>
            </w:r>
          </w:p>
        </w:tc>
        <w:tc>
          <w:tcPr>
            <w:tcW w:w="20" w:type="dxa"/>
            <w:vAlign w:val="bottom"/>
          </w:tcPr>
          <w:p>
            <w:pPr>
              <w:spacing w:after="0"/>
              <w:rPr>
                <w:sz w:val="10"/>
                <w:szCs w:val="10"/>
                <w:color w:val="auto"/>
              </w:rPr>
            </w:pPr>
          </w:p>
        </w:tc>
      </w:tr>
      <w:tr>
        <w:trPr>
          <w:trHeight w:val="152"/>
        </w:trPr>
        <w:tc>
          <w:tcPr>
            <w:tcW w:w="374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(Thousands, except per share data)</w:t>
            </w:r>
          </w:p>
        </w:tc>
        <w:tc>
          <w:tcPr>
            <w:tcW w:w="254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172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b w:val="1"/>
                <w:bCs w:val="1"/>
                <w:color w:val="auto"/>
              </w:rPr>
              <w:t>December 31, 2016</w:t>
            </w:r>
          </w:p>
        </w:tc>
        <w:tc>
          <w:tcPr>
            <w:tcW w:w="58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tcPr>
          <w:p>
            <w:pPr>
              <w:jc w:val="right"/>
              <w:ind w:right="505"/>
              <w:spacing w:after="0"/>
              <w:rPr>
                <w:sz w:val="20"/>
                <w:szCs w:val="20"/>
                <w:color w:val="auto"/>
              </w:rPr>
            </w:pPr>
            <w:r>
              <w:rPr>
                <w:rFonts w:ascii="Arial" w:cs="Arial" w:eastAsia="Arial" w:hAnsi="Arial"/>
                <w:sz w:val="10"/>
                <w:szCs w:val="10"/>
                <w:b w:val="1"/>
                <w:bCs w:val="1"/>
                <w:color w:val="auto"/>
              </w:rPr>
              <w:t>April 24 - December 31, 2015</w:t>
            </w:r>
          </w:p>
        </w:tc>
        <w:tc>
          <w:tcPr>
            <w:tcW w:w="12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r>
      <w:tr>
        <w:trPr>
          <w:trHeight w:val="142"/>
        </w:trPr>
        <w:tc>
          <w:tcPr>
            <w:tcW w:w="3740" w:type="dxa"/>
            <w:vAlign w:val="bottom"/>
            <w:shd w:val="clear" w:color="auto" w:fill="CFF0FC"/>
          </w:tcPr>
          <w:p>
            <w:pPr>
              <w:spacing w:after="0"/>
              <w:rPr>
                <w:sz w:val="20"/>
                <w:szCs w:val="20"/>
                <w:color w:val="auto"/>
              </w:rPr>
            </w:pPr>
            <w:r>
              <w:rPr>
                <w:rFonts w:ascii="Arial" w:cs="Arial" w:eastAsia="Arial" w:hAnsi="Arial"/>
                <w:sz w:val="12"/>
                <w:szCs w:val="12"/>
                <w:color w:val="auto"/>
              </w:rPr>
              <w:t>Pro forma revenue</w:t>
            </w:r>
          </w:p>
        </w:tc>
        <w:tc>
          <w:tcPr>
            <w:tcW w:w="4440" w:type="dxa"/>
            <w:vAlign w:val="bottom"/>
            <w:gridSpan w:val="3"/>
            <w:shd w:val="clear" w:color="auto" w:fill="CFF0FC"/>
          </w:tcPr>
          <w:p>
            <w:pPr>
              <w:jc w:val="right"/>
              <w:ind w:right="1612"/>
              <w:spacing w:after="0"/>
              <w:rPr>
                <w:sz w:val="20"/>
                <w:szCs w:val="20"/>
                <w:color w:val="auto"/>
              </w:rPr>
            </w:pPr>
            <w:r>
              <w:rPr>
                <w:rFonts w:ascii="Arial" w:cs="Arial" w:eastAsia="Arial" w:hAnsi="Arial"/>
                <w:sz w:val="12"/>
                <w:szCs w:val="12"/>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798,054</w:t>
            </w:r>
          </w:p>
        </w:tc>
        <w:tc>
          <w:tcPr>
            <w:tcW w:w="160" w:type="dxa"/>
            <w:vAlign w:val="bottom"/>
            <w:shd w:val="clear" w:color="auto" w:fill="CFF0FC"/>
          </w:tcPr>
          <w:p>
            <w:pPr>
              <w:spacing w:after="0"/>
              <w:rPr>
                <w:sz w:val="12"/>
                <w:szCs w:val="12"/>
                <w:color w:val="auto"/>
              </w:rPr>
            </w:pPr>
          </w:p>
        </w:tc>
        <w:tc>
          <w:tcPr>
            <w:tcW w:w="44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20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505,764</w:t>
            </w:r>
          </w:p>
        </w:tc>
        <w:tc>
          <w:tcPr>
            <w:tcW w:w="12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r>
      <w:tr>
        <w:trPr>
          <w:trHeight w:val="153"/>
        </w:trPr>
        <w:tc>
          <w:tcPr>
            <w:tcW w:w="3740" w:type="dxa"/>
            <w:vAlign w:val="bottom"/>
          </w:tcPr>
          <w:p>
            <w:pPr>
              <w:spacing w:after="0"/>
              <w:rPr>
                <w:sz w:val="20"/>
                <w:szCs w:val="20"/>
                <w:color w:val="auto"/>
              </w:rPr>
            </w:pPr>
            <w:r>
              <w:rPr>
                <w:rFonts w:ascii="Arial" w:cs="Arial" w:eastAsia="Arial" w:hAnsi="Arial"/>
                <w:sz w:val="12"/>
                <w:szCs w:val="12"/>
                <w:color w:val="auto"/>
              </w:rPr>
              <w:t>Pro forma net (loss) income</w:t>
            </w:r>
          </w:p>
        </w:tc>
        <w:tc>
          <w:tcPr>
            <w:tcW w:w="2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(3,581)</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0" w:type="dxa"/>
            <w:vAlign w:val="bottom"/>
          </w:tcPr>
          <w:p>
            <w:pPr>
              <w:jc w:val="right"/>
              <w:spacing w:after="0"/>
              <w:rPr>
                <w:sz w:val="20"/>
                <w:szCs w:val="20"/>
                <w:color w:val="auto"/>
              </w:rPr>
            </w:pPr>
            <w:r>
              <w:rPr>
                <w:rFonts w:ascii="Arial" w:cs="Arial" w:eastAsia="Arial" w:hAnsi="Arial"/>
                <w:sz w:val="12"/>
                <w:szCs w:val="12"/>
                <w:color w:val="auto"/>
              </w:rPr>
              <w:t>17,609</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3740" w:type="dxa"/>
            <w:vAlign w:val="bottom"/>
            <w:shd w:val="clear" w:color="auto" w:fill="CFF0FC"/>
          </w:tcPr>
          <w:p>
            <w:pPr>
              <w:spacing w:after="0"/>
              <w:rPr>
                <w:sz w:val="20"/>
                <w:szCs w:val="20"/>
                <w:color w:val="auto"/>
              </w:rPr>
            </w:pPr>
            <w:r>
              <w:rPr>
                <w:rFonts w:ascii="Arial" w:cs="Arial" w:eastAsia="Arial" w:hAnsi="Arial"/>
                <w:sz w:val="12"/>
                <w:szCs w:val="12"/>
                <w:color w:val="auto"/>
              </w:rPr>
              <w:t>Pro forma net (loss) income per share</w:t>
            </w:r>
          </w:p>
        </w:tc>
        <w:tc>
          <w:tcPr>
            <w:tcW w:w="4440" w:type="dxa"/>
            <w:vAlign w:val="bottom"/>
            <w:gridSpan w:val="3"/>
            <w:shd w:val="clear" w:color="auto" w:fill="CFF0FC"/>
          </w:tcPr>
          <w:p>
            <w:pPr>
              <w:jc w:val="right"/>
              <w:ind w:right="1612"/>
              <w:spacing w:after="0"/>
              <w:rPr>
                <w:sz w:val="20"/>
                <w:szCs w:val="20"/>
                <w:color w:val="auto"/>
              </w:rPr>
            </w:pPr>
            <w:r>
              <w:rPr>
                <w:rFonts w:ascii="Arial" w:cs="Arial" w:eastAsia="Arial" w:hAnsi="Arial"/>
                <w:sz w:val="12"/>
                <w:szCs w:val="12"/>
                <w:color w:val="auto"/>
              </w:rPr>
              <w:t>$</w:t>
            </w: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(0.02)</w:t>
            </w:r>
          </w:p>
        </w:tc>
        <w:tc>
          <w:tcPr>
            <w:tcW w:w="44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20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0.12</w:t>
            </w:r>
          </w:p>
        </w:tc>
        <w:tc>
          <w:tcPr>
            <w:tcW w:w="12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r>
      <w:tr>
        <w:trPr>
          <w:trHeight w:val="288"/>
        </w:trPr>
        <w:tc>
          <w:tcPr>
            <w:tcW w:w="3740" w:type="dxa"/>
            <w:vAlign w:val="bottom"/>
          </w:tcPr>
          <w:p>
            <w:pPr>
              <w:spacing w:after="0"/>
              <w:rPr>
                <w:sz w:val="24"/>
                <w:szCs w:val="24"/>
                <w:color w:val="auto"/>
              </w:rPr>
            </w:pPr>
          </w:p>
        </w:tc>
        <w:tc>
          <w:tcPr>
            <w:tcW w:w="2540" w:type="dxa"/>
            <w:vAlign w:val="bottom"/>
          </w:tcPr>
          <w:p>
            <w:pPr>
              <w:jc w:val="right"/>
              <w:ind w:right="420"/>
              <w:spacing w:after="0"/>
              <w:rPr>
                <w:sz w:val="20"/>
                <w:szCs w:val="20"/>
                <w:color w:val="auto"/>
              </w:rPr>
            </w:pPr>
            <w:r>
              <w:rPr>
                <w:rFonts w:ascii="Arial" w:cs="Arial" w:eastAsia="Arial" w:hAnsi="Arial"/>
                <w:sz w:val="12"/>
                <w:szCs w:val="12"/>
                <w:color w:val="auto"/>
              </w:rPr>
              <w:t>69</w:t>
            </w:r>
          </w:p>
        </w:tc>
        <w:tc>
          <w:tcPr>
            <w:tcW w:w="1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2"/>
        </w:trPr>
        <w:tc>
          <w:tcPr>
            <w:tcW w:w="3740" w:type="dxa"/>
            <w:vAlign w:val="bottom"/>
            <w:tcBorders>
              <w:bottom w:val="single" w:sz="8" w:color="9A9A9A"/>
            </w:tcBorders>
          </w:tcPr>
          <w:p>
            <w:pPr>
              <w:spacing w:after="0"/>
              <w:rPr>
                <w:sz w:val="6"/>
                <w:szCs w:val="6"/>
                <w:color w:val="auto"/>
              </w:rPr>
            </w:pPr>
          </w:p>
        </w:tc>
        <w:tc>
          <w:tcPr>
            <w:tcW w:w="254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172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200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7280275</wp:posOffset>
            </wp:positionH>
            <wp:positionV relativeFrom="paragraph">
              <wp:posOffset>-23495</wp:posOffset>
            </wp:positionV>
            <wp:extent cx="31115" cy="368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0"/>
          </w:cols>
          <w:pgMar w:left="220" w:top="131" w:right="179" w:bottom="1440" w:gutter="0" w:footer="0" w:header="0"/>
        </w:sectPr>
      </w:pPr>
    </w:p>
    <w:bookmarkStart w:id="69" w:name="page70"/>
    <w:bookmarkEnd w:id="69"/>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Uniti Group Inc.</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the Consolidated Financial Statements – Continued</w:t>
      </w:r>
    </w:p>
    <w:p>
      <w:pPr>
        <w:spacing w:after="0" w:line="26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PEG Bandwidth, LLC</w:t>
      </w:r>
    </w:p>
    <w:p>
      <w:pPr>
        <w:spacing w:after="0" w:line="114" w:lineRule="exact"/>
        <w:rPr>
          <w:sz w:val="20"/>
          <w:szCs w:val="20"/>
          <w:color w:val="auto"/>
        </w:rPr>
      </w:pPr>
    </w:p>
    <w:p>
      <w:pPr>
        <w:ind w:right="20"/>
        <w:spacing w:after="0" w:line="257" w:lineRule="auto"/>
        <w:rPr>
          <w:rFonts w:ascii="Arial" w:cs="Arial" w:eastAsia="Arial" w:hAnsi="Arial"/>
          <w:sz w:val="12"/>
          <w:szCs w:val="12"/>
          <w:color w:val="auto"/>
        </w:rPr>
      </w:pPr>
      <w:r>
        <w:rPr>
          <w:rFonts w:ascii="Arial" w:cs="Arial" w:eastAsia="Arial" w:hAnsi="Arial"/>
          <w:sz w:val="12"/>
          <w:szCs w:val="12"/>
          <w:color w:val="auto"/>
        </w:rPr>
        <w:t xml:space="preserve">On May 2, 2016, we acquired 100% of the outstanding equity of PEG Bandwidth for $322.5 million in cash, the issuance of 87,500 shares of our 3.00% Series A Convertible Preferred Stock with a fair value of $78.6 million and 1 million shares of our common stock with an acquisition date fair value of $23.2 million. PEG Bandwidth is a leading provider of infrastructure solutions, including cell site backhaul and dark fiber, to the telecommunications industry. The operating results from this acquisition are included in the consolidated financial statements from the acquisition date. The acquisition was recorded by allocating the costs of the assets acquired based on their estimated fair values at the acquisition date. The excess of the cost of the acquisition over the fair value of the assets acquired is recorded as goodwill within our Fiber Infrastructure segment. </w:t>
      </w:r>
      <w:hyperlink r:id="rId88">
        <w:r>
          <w:rPr>
            <w:rFonts w:ascii="Arial" w:cs="Arial" w:eastAsia="Arial" w:hAnsi="Arial"/>
            <w:sz w:val="12"/>
            <w:szCs w:val="12"/>
            <w:u w:val="single" w:color="auto"/>
            <w:color w:val="0000EE"/>
          </w:rPr>
          <w:t>See Note</w:t>
        </w:r>
        <w:r>
          <w:rPr>
            <w:rFonts w:ascii="Arial" w:cs="Arial" w:eastAsia="Arial" w:hAnsi="Arial"/>
            <w:sz w:val="12"/>
            <w:szCs w:val="12"/>
            <w:u w:val="single" w:color="auto"/>
            <w:color w:val="auto"/>
          </w:rPr>
          <w:t xml:space="preserve"> </w:t>
        </w:r>
      </w:hyperlink>
      <w:r>
        <w:rPr>
          <w:rFonts w:ascii="Arial" w:cs="Arial" w:eastAsia="Arial" w:hAnsi="Arial"/>
          <w:sz w:val="12"/>
          <w:szCs w:val="12"/>
          <w:color w:val="auto"/>
        </w:rPr>
        <w:t>13. The following is a summary of the estimated fair values of the assets acquired and liabilities assumed: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720" w:type="dxa"/>
            <w:vAlign w:val="bottom"/>
            <w:tcBorders>
              <w:bottom w:val="single" w:sz="8" w:color="auto"/>
            </w:tcBorders>
          </w:tcPr>
          <w:p>
            <w:pPr>
              <w:spacing w:after="0"/>
              <w:rPr>
                <w:sz w:val="10"/>
                <w:szCs w:val="10"/>
                <w:color w:val="auto"/>
              </w:rPr>
            </w:pPr>
          </w:p>
        </w:tc>
        <w:tc>
          <w:tcPr>
            <w:tcW w:w="240" w:type="dxa"/>
            <w:vAlign w:val="bottom"/>
            <w:tcBorders>
              <w:bottom w:val="single" w:sz="8" w:color="CFF0FC"/>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tcPr>
          <w:p>
            <w:pPr>
              <w:jc w:val="right"/>
              <w:ind w:right="901"/>
              <w:spacing w:after="0"/>
              <w:rPr>
                <w:sz w:val="20"/>
                <w:szCs w:val="20"/>
                <w:color w:val="auto"/>
              </w:rPr>
            </w:pPr>
            <w:r>
              <w:rPr>
                <w:rFonts w:ascii="Arial" w:cs="Arial" w:eastAsia="Arial" w:hAnsi="Arial"/>
                <w:sz w:val="10"/>
                <w:szCs w:val="10"/>
                <w:b w:val="1"/>
                <w:bCs w:val="1"/>
                <w:color w:val="auto"/>
              </w:rPr>
              <w:t>(thousands)</w:t>
            </w:r>
          </w:p>
        </w:tc>
        <w:tc>
          <w:tcPr>
            <w:tcW w:w="120" w:type="dxa"/>
            <w:vAlign w:val="bottom"/>
            <w:tcBorders>
              <w:bottom w:val="single" w:sz="8" w:color="CFF0FC"/>
            </w:tcBorders>
          </w:tcPr>
          <w:p>
            <w:pPr>
              <w:spacing w:after="0"/>
              <w:rPr>
                <w:sz w:val="10"/>
                <w:szCs w:val="10"/>
                <w:color w:val="auto"/>
              </w:rPr>
            </w:pPr>
          </w:p>
        </w:tc>
      </w:tr>
      <w:tr>
        <w:trPr>
          <w:trHeight w:val="160"/>
        </w:trPr>
        <w:tc>
          <w:tcPr>
            <w:tcW w:w="896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Property, plant and equipment</w:t>
            </w:r>
          </w:p>
        </w:tc>
        <w:tc>
          <w:tcPr>
            <w:tcW w:w="520" w:type="dxa"/>
            <w:vAlign w:val="bottom"/>
            <w:shd w:val="clear" w:color="auto" w:fill="CFF0FC"/>
          </w:tcPr>
          <w:p>
            <w:pPr>
              <w:jc w:val="right"/>
              <w:ind w:right="410"/>
              <w:spacing w:after="0"/>
              <w:rPr>
                <w:sz w:val="20"/>
                <w:szCs w:val="20"/>
                <w:color w:val="auto"/>
              </w:rPr>
            </w:pPr>
            <w:r>
              <w:rPr>
                <w:rFonts w:ascii="Arial" w:cs="Arial" w:eastAsia="Arial" w:hAnsi="Arial"/>
                <w:sz w:val="10"/>
                <w:szCs w:val="10"/>
                <w:color w:val="auto"/>
                <w:w w:val="71"/>
              </w:rPr>
              <w:t>$</w:t>
            </w:r>
          </w:p>
        </w:tc>
        <w:tc>
          <w:tcPr>
            <w:tcW w:w="1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293,030</w:t>
            </w:r>
          </w:p>
        </w:tc>
        <w:tc>
          <w:tcPr>
            <w:tcW w:w="120" w:type="dxa"/>
            <w:vAlign w:val="bottom"/>
            <w:shd w:val="clear" w:color="auto" w:fill="CFF0FC"/>
          </w:tcPr>
          <w:p>
            <w:pPr>
              <w:spacing w:after="0"/>
              <w:rPr>
                <w:sz w:val="13"/>
                <w:szCs w:val="13"/>
                <w:color w:val="auto"/>
              </w:rPr>
            </w:pPr>
          </w:p>
        </w:tc>
      </w:tr>
      <w:tr>
        <w:trPr>
          <w:trHeight w:val="153"/>
        </w:trPr>
        <w:tc>
          <w:tcPr>
            <w:tcW w:w="8960" w:type="dxa"/>
            <w:vAlign w:val="bottom"/>
            <w:gridSpan w:val="2"/>
          </w:tcPr>
          <w:p>
            <w:pPr>
              <w:spacing w:after="0"/>
              <w:rPr>
                <w:sz w:val="20"/>
                <w:szCs w:val="20"/>
                <w:color w:val="auto"/>
              </w:rPr>
            </w:pPr>
            <w:r>
              <w:rPr>
                <w:rFonts w:ascii="Arial" w:cs="Arial" w:eastAsia="Arial" w:hAnsi="Arial"/>
                <w:sz w:val="12"/>
                <w:szCs w:val="12"/>
                <w:color w:val="auto"/>
              </w:rPr>
              <w:t>Cash and cash equivalents</w:t>
            </w:r>
          </w:p>
        </w:tc>
        <w:tc>
          <w:tcPr>
            <w:tcW w:w="520" w:type="dxa"/>
            <w:vAlign w:val="bottom"/>
          </w:tcPr>
          <w:p>
            <w:pPr>
              <w:spacing w:after="0"/>
              <w:rPr>
                <w:sz w:val="13"/>
                <w:szCs w:val="13"/>
                <w:color w:val="auto"/>
              </w:rPr>
            </w:pPr>
          </w:p>
        </w:tc>
        <w:tc>
          <w:tcPr>
            <w:tcW w:w="1880" w:type="dxa"/>
            <w:vAlign w:val="bottom"/>
          </w:tcPr>
          <w:p>
            <w:pPr>
              <w:jc w:val="right"/>
              <w:spacing w:after="0"/>
              <w:rPr>
                <w:sz w:val="20"/>
                <w:szCs w:val="20"/>
                <w:color w:val="auto"/>
              </w:rPr>
            </w:pPr>
            <w:r>
              <w:rPr>
                <w:rFonts w:ascii="Arial" w:cs="Arial" w:eastAsia="Arial" w:hAnsi="Arial"/>
                <w:sz w:val="12"/>
                <w:szCs w:val="12"/>
                <w:color w:val="auto"/>
              </w:rPr>
              <w:t>7,003</w:t>
            </w:r>
          </w:p>
        </w:tc>
        <w:tc>
          <w:tcPr>
            <w:tcW w:w="120" w:type="dxa"/>
            <w:vAlign w:val="bottom"/>
          </w:tcPr>
          <w:p>
            <w:pPr>
              <w:spacing w:after="0"/>
              <w:rPr>
                <w:sz w:val="13"/>
                <w:szCs w:val="13"/>
                <w:color w:val="auto"/>
              </w:rPr>
            </w:pPr>
          </w:p>
        </w:tc>
      </w:tr>
      <w:tr>
        <w:trPr>
          <w:trHeight w:val="153"/>
        </w:trPr>
        <w:tc>
          <w:tcPr>
            <w:tcW w:w="896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Accounts receivable</w:t>
            </w:r>
          </w:p>
        </w:tc>
        <w:tc>
          <w:tcPr>
            <w:tcW w:w="520" w:type="dxa"/>
            <w:vAlign w:val="bottom"/>
            <w:shd w:val="clear" w:color="auto" w:fill="CFF0FC"/>
          </w:tcPr>
          <w:p>
            <w:pPr>
              <w:spacing w:after="0"/>
              <w:rPr>
                <w:sz w:val="13"/>
                <w:szCs w:val="13"/>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6,584</w:t>
            </w:r>
          </w:p>
        </w:tc>
        <w:tc>
          <w:tcPr>
            <w:tcW w:w="120" w:type="dxa"/>
            <w:vAlign w:val="bottom"/>
            <w:shd w:val="clear" w:color="auto" w:fill="CFF0FC"/>
          </w:tcPr>
          <w:p>
            <w:pPr>
              <w:spacing w:after="0"/>
              <w:rPr>
                <w:sz w:val="13"/>
                <w:szCs w:val="13"/>
                <w:color w:val="auto"/>
              </w:rPr>
            </w:pPr>
          </w:p>
        </w:tc>
      </w:tr>
      <w:tr>
        <w:trPr>
          <w:trHeight w:val="153"/>
        </w:trPr>
        <w:tc>
          <w:tcPr>
            <w:tcW w:w="8960" w:type="dxa"/>
            <w:vAlign w:val="bottom"/>
            <w:gridSpan w:val="2"/>
          </w:tcPr>
          <w:p>
            <w:pPr>
              <w:spacing w:after="0"/>
              <w:rPr>
                <w:sz w:val="20"/>
                <w:szCs w:val="20"/>
                <w:color w:val="auto"/>
              </w:rPr>
            </w:pPr>
            <w:r>
              <w:rPr>
                <w:rFonts w:ascii="Arial" w:cs="Arial" w:eastAsia="Arial" w:hAnsi="Arial"/>
                <w:sz w:val="12"/>
                <w:szCs w:val="12"/>
                <w:color w:val="auto"/>
              </w:rPr>
              <w:t>Other assets</w:t>
            </w:r>
          </w:p>
        </w:tc>
        <w:tc>
          <w:tcPr>
            <w:tcW w:w="520" w:type="dxa"/>
            <w:vAlign w:val="bottom"/>
          </w:tcPr>
          <w:p>
            <w:pPr>
              <w:spacing w:after="0"/>
              <w:rPr>
                <w:sz w:val="13"/>
                <w:szCs w:val="13"/>
                <w:color w:val="auto"/>
              </w:rPr>
            </w:pPr>
          </w:p>
        </w:tc>
        <w:tc>
          <w:tcPr>
            <w:tcW w:w="1880" w:type="dxa"/>
            <w:vAlign w:val="bottom"/>
          </w:tcPr>
          <w:p>
            <w:pPr>
              <w:jc w:val="right"/>
              <w:spacing w:after="0"/>
              <w:rPr>
                <w:sz w:val="20"/>
                <w:szCs w:val="20"/>
                <w:color w:val="auto"/>
              </w:rPr>
            </w:pPr>
            <w:r>
              <w:rPr>
                <w:rFonts w:ascii="Arial" w:cs="Arial" w:eastAsia="Arial" w:hAnsi="Arial"/>
                <w:sz w:val="12"/>
                <w:szCs w:val="12"/>
                <w:color w:val="auto"/>
              </w:rPr>
              <w:t>5,161</w:t>
            </w:r>
          </w:p>
        </w:tc>
        <w:tc>
          <w:tcPr>
            <w:tcW w:w="120" w:type="dxa"/>
            <w:vAlign w:val="bottom"/>
          </w:tcPr>
          <w:p>
            <w:pPr>
              <w:spacing w:after="0"/>
              <w:rPr>
                <w:sz w:val="13"/>
                <w:szCs w:val="13"/>
                <w:color w:val="auto"/>
              </w:rPr>
            </w:pPr>
          </w:p>
        </w:tc>
      </w:tr>
      <w:tr>
        <w:trPr>
          <w:trHeight w:val="153"/>
        </w:trPr>
        <w:tc>
          <w:tcPr>
            <w:tcW w:w="896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Goodwill</w:t>
            </w:r>
          </w:p>
        </w:tc>
        <w:tc>
          <w:tcPr>
            <w:tcW w:w="520" w:type="dxa"/>
            <w:vAlign w:val="bottom"/>
            <w:shd w:val="clear" w:color="auto" w:fill="CFF0FC"/>
          </w:tcPr>
          <w:p>
            <w:pPr>
              <w:spacing w:after="0"/>
              <w:rPr>
                <w:sz w:val="13"/>
                <w:szCs w:val="13"/>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145,054</w:t>
            </w:r>
          </w:p>
        </w:tc>
        <w:tc>
          <w:tcPr>
            <w:tcW w:w="120" w:type="dxa"/>
            <w:vAlign w:val="bottom"/>
            <w:shd w:val="clear" w:color="auto" w:fill="CFF0FC"/>
          </w:tcPr>
          <w:p>
            <w:pPr>
              <w:spacing w:after="0"/>
              <w:rPr>
                <w:sz w:val="13"/>
                <w:szCs w:val="13"/>
                <w:color w:val="auto"/>
              </w:rPr>
            </w:pPr>
          </w:p>
        </w:tc>
      </w:tr>
      <w:tr>
        <w:trPr>
          <w:trHeight w:val="153"/>
        </w:trPr>
        <w:tc>
          <w:tcPr>
            <w:tcW w:w="8960" w:type="dxa"/>
            <w:vAlign w:val="bottom"/>
            <w:gridSpan w:val="2"/>
          </w:tcPr>
          <w:p>
            <w:pPr>
              <w:spacing w:after="0"/>
              <w:rPr>
                <w:sz w:val="20"/>
                <w:szCs w:val="20"/>
                <w:color w:val="auto"/>
              </w:rPr>
            </w:pPr>
            <w:r>
              <w:rPr>
                <w:rFonts w:ascii="Arial" w:cs="Arial" w:eastAsia="Arial" w:hAnsi="Arial"/>
                <w:sz w:val="12"/>
                <w:szCs w:val="12"/>
                <w:color w:val="auto"/>
              </w:rPr>
              <w:t>Intangible assets</w:t>
            </w:r>
          </w:p>
        </w:tc>
        <w:tc>
          <w:tcPr>
            <w:tcW w:w="520" w:type="dxa"/>
            <w:vAlign w:val="bottom"/>
          </w:tcPr>
          <w:p>
            <w:pPr>
              <w:spacing w:after="0"/>
              <w:rPr>
                <w:sz w:val="13"/>
                <w:szCs w:val="13"/>
                <w:color w:val="auto"/>
              </w:rPr>
            </w:pPr>
          </w:p>
        </w:tc>
        <w:tc>
          <w:tcPr>
            <w:tcW w:w="1880" w:type="dxa"/>
            <w:vAlign w:val="bottom"/>
          </w:tcPr>
          <w:p>
            <w:pPr>
              <w:jc w:val="right"/>
              <w:spacing w:after="0"/>
              <w:rPr>
                <w:sz w:val="20"/>
                <w:szCs w:val="20"/>
                <w:color w:val="auto"/>
              </w:rPr>
            </w:pPr>
            <w:r>
              <w:rPr>
                <w:rFonts w:ascii="Arial" w:cs="Arial" w:eastAsia="Arial" w:hAnsi="Arial"/>
                <w:sz w:val="12"/>
                <w:szCs w:val="12"/>
                <w:color w:val="auto"/>
              </w:rPr>
              <w:t>38,000</w:t>
            </w:r>
          </w:p>
        </w:tc>
        <w:tc>
          <w:tcPr>
            <w:tcW w:w="120" w:type="dxa"/>
            <w:vAlign w:val="bottom"/>
          </w:tcPr>
          <w:p>
            <w:pPr>
              <w:spacing w:after="0"/>
              <w:rPr>
                <w:sz w:val="13"/>
                <w:szCs w:val="13"/>
                <w:color w:val="auto"/>
              </w:rPr>
            </w:pPr>
          </w:p>
        </w:tc>
      </w:tr>
      <w:tr>
        <w:trPr>
          <w:trHeight w:val="153"/>
        </w:trPr>
        <w:tc>
          <w:tcPr>
            <w:tcW w:w="896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Accounts payable, accrued expenses and other liabilities</w:t>
            </w:r>
          </w:p>
        </w:tc>
        <w:tc>
          <w:tcPr>
            <w:tcW w:w="520" w:type="dxa"/>
            <w:vAlign w:val="bottom"/>
            <w:shd w:val="clear" w:color="auto" w:fill="CFF0FC"/>
          </w:tcPr>
          <w:p>
            <w:pPr>
              <w:spacing w:after="0"/>
              <w:rPr>
                <w:sz w:val="13"/>
                <w:szCs w:val="13"/>
                <w:color w:val="auto"/>
              </w:rPr>
            </w:pPr>
          </w:p>
        </w:tc>
        <w:tc>
          <w:tcPr>
            <w:tcW w:w="200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(8,643)</w:t>
            </w:r>
          </w:p>
        </w:tc>
      </w:tr>
      <w:tr>
        <w:trPr>
          <w:trHeight w:val="153"/>
        </w:trPr>
        <w:tc>
          <w:tcPr>
            <w:tcW w:w="8960" w:type="dxa"/>
            <w:vAlign w:val="bottom"/>
            <w:gridSpan w:val="2"/>
          </w:tcPr>
          <w:p>
            <w:pPr>
              <w:spacing w:after="0"/>
              <w:rPr>
                <w:sz w:val="20"/>
                <w:szCs w:val="20"/>
                <w:color w:val="auto"/>
              </w:rPr>
            </w:pPr>
            <w:r>
              <w:rPr>
                <w:rFonts w:ascii="Arial" w:cs="Arial" w:eastAsia="Arial" w:hAnsi="Arial"/>
                <w:sz w:val="12"/>
                <w:szCs w:val="12"/>
                <w:color w:val="auto"/>
              </w:rPr>
              <w:t>Deferred revenue</w:t>
            </w:r>
          </w:p>
        </w:tc>
        <w:tc>
          <w:tcPr>
            <w:tcW w:w="520" w:type="dxa"/>
            <w:vAlign w:val="bottom"/>
          </w:tcPr>
          <w:p>
            <w:pPr>
              <w:spacing w:after="0"/>
              <w:rPr>
                <w:sz w:val="13"/>
                <w:szCs w:val="13"/>
                <w:color w:val="auto"/>
              </w:rPr>
            </w:pPr>
          </w:p>
        </w:tc>
        <w:tc>
          <w:tcPr>
            <w:tcW w:w="2000" w:type="dxa"/>
            <w:vAlign w:val="bottom"/>
            <w:gridSpan w:val="2"/>
          </w:tcPr>
          <w:p>
            <w:pPr>
              <w:jc w:val="right"/>
              <w:ind w:right="80"/>
              <w:spacing w:after="0"/>
              <w:rPr>
                <w:sz w:val="20"/>
                <w:szCs w:val="20"/>
                <w:color w:val="auto"/>
              </w:rPr>
            </w:pPr>
            <w:r>
              <w:rPr>
                <w:rFonts w:ascii="Arial" w:cs="Arial" w:eastAsia="Arial" w:hAnsi="Arial"/>
                <w:sz w:val="12"/>
                <w:szCs w:val="12"/>
                <w:color w:val="auto"/>
              </w:rPr>
              <w:t>(12,700)</w:t>
            </w:r>
          </w:p>
        </w:tc>
      </w:tr>
      <w:tr>
        <w:trPr>
          <w:trHeight w:val="153"/>
        </w:trPr>
        <w:tc>
          <w:tcPr>
            <w:tcW w:w="896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Capital lease obligations</w:t>
            </w:r>
          </w:p>
        </w:tc>
        <w:tc>
          <w:tcPr>
            <w:tcW w:w="520" w:type="dxa"/>
            <w:vAlign w:val="bottom"/>
            <w:shd w:val="clear" w:color="auto" w:fill="CFF0FC"/>
          </w:tcPr>
          <w:p>
            <w:pPr>
              <w:spacing w:after="0"/>
              <w:rPr>
                <w:sz w:val="13"/>
                <w:szCs w:val="13"/>
                <w:color w:val="auto"/>
              </w:rPr>
            </w:pPr>
          </w:p>
        </w:tc>
        <w:tc>
          <w:tcPr>
            <w:tcW w:w="200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(49,195)</w:t>
            </w:r>
          </w:p>
        </w:tc>
      </w:tr>
      <w:tr>
        <w:trPr>
          <w:trHeight w:val="149"/>
        </w:trPr>
        <w:tc>
          <w:tcPr>
            <w:tcW w:w="8960" w:type="dxa"/>
            <w:vAlign w:val="bottom"/>
            <w:gridSpan w:val="2"/>
          </w:tcPr>
          <w:p>
            <w:pPr>
              <w:spacing w:after="0"/>
              <w:rPr>
                <w:sz w:val="20"/>
                <w:szCs w:val="20"/>
                <w:color w:val="auto"/>
              </w:rPr>
            </w:pPr>
            <w:r>
              <w:rPr>
                <w:rFonts w:ascii="Arial" w:cs="Arial" w:eastAsia="Arial" w:hAnsi="Arial"/>
                <w:sz w:val="12"/>
                <w:szCs w:val="12"/>
                <w:color w:val="auto"/>
              </w:rPr>
              <w:t>Total purchase consideration</w:t>
            </w:r>
          </w:p>
        </w:tc>
        <w:tc>
          <w:tcPr>
            <w:tcW w:w="5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0"/>
                <w:szCs w:val="10"/>
                <w:color w:val="auto"/>
                <w:w w:val="71"/>
              </w:rPr>
              <w:t>$</w:t>
            </w:r>
          </w:p>
        </w:tc>
        <w:tc>
          <w:tcPr>
            <w:tcW w:w="1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424,294</w:t>
            </w:r>
          </w:p>
        </w:tc>
        <w:tc>
          <w:tcPr>
            <w:tcW w:w="120" w:type="dxa"/>
            <w:vAlign w:val="bottom"/>
          </w:tcPr>
          <w:p>
            <w:pPr>
              <w:spacing w:after="0"/>
              <w:rPr>
                <w:sz w:val="12"/>
                <w:szCs w:val="12"/>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2"/>
          <w:szCs w:val="12"/>
          <w:color w:val="auto"/>
        </w:rPr>
        <w:t>The goodwill is primarily attributable to strategic opportunities that arose from the acquisition of PEG Bandwidth. The goodwill is expected to be deductible for tax purposes.</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Of the $38 million of acquired intangible assets, $36 million was assigned to customer relationships (weighted average 17 year life) and $2 million was assigned to trademarks (indefinite life).</w:t>
      </w:r>
    </w:p>
    <w:p>
      <w:pPr>
        <w:spacing w:after="0" w:line="114" w:lineRule="exact"/>
        <w:rPr>
          <w:sz w:val="20"/>
          <w:szCs w:val="20"/>
          <w:color w:val="auto"/>
        </w:rPr>
      </w:pPr>
    </w:p>
    <w:p>
      <w:pPr>
        <w:ind w:right="240"/>
        <w:spacing w:after="0" w:line="323" w:lineRule="auto"/>
        <w:rPr>
          <w:sz w:val="20"/>
          <w:szCs w:val="20"/>
          <w:color w:val="auto"/>
        </w:rPr>
      </w:pPr>
      <w:r>
        <w:rPr>
          <w:rFonts w:ascii="Arial" w:cs="Arial" w:eastAsia="Arial" w:hAnsi="Arial"/>
          <w:sz w:val="11"/>
          <w:szCs w:val="11"/>
          <w:color w:val="auto"/>
        </w:rPr>
        <w:t>The acquired business contributed revenue of $57.0 million and an operating loss of $8.8 million, which excludes transaction and transition costs, to our consolidated results from the date of acquisition through December 31, 2016. We recorded transaction related costs related to the acquisition of PEG Bandwidth for the year ended December 31, 2016 of $11.2 million within transaction related costs on the Consolidated Statement of Income.</w:t>
      </w:r>
    </w:p>
    <w:p>
      <w:pPr>
        <w:spacing w:after="0" w:line="56" w:lineRule="exact"/>
        <w:rPr>
          <w:sz w:val="20"/>
          <w:szCs w:val="20"/>
          <w:color w:val="auto"/>
        </w:rPr>
      </w:pPr>
    </w:p>
    <w:p>
      <w:pPr>
        <w:jc w:val="both"/>
        <w:ind w:right="160"/>
        <w:spacing w:after="0" w:line="298" w:lineRule="auto"/>
        <w:rPr>
          <w:sz w:val="20"/>
          <w:szCs w:val="20"/>
          <w:color w:val="auto"/>
        </w:rPr>
      </w:pPr>
      <w:r>
        <w:rPr>
          <w:rFonts w:ascii="Arial" w:cs="Arial" w:eastAsia="Arial" w:hAnsi="Arial"/>
          <w:sz w:val="11"/>
          <w:szCs w:val="11"/>
          <w:color w:val="auto"/>
        </w:rPr>
        <w:t>The following table presents the unaudited pro forma summary of our financial results as if the business combination had occurred as of the Spin-Off. The pro forma results include additional depreciation and amortization resulting from purchase accounting adjustments, adjustments to amortized deferred revenue, and interest expense associated with debt used to fund the acquisition. The pro forma results do not include any synergies or other benefits of the acquisition. The pro forma results are not indicative of future results of operations, or results that might have been achieved had the acquisition been consummated as of the Spin-Off.</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6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720" w:type="dxa"/>
            <w:vAlign w:val="bottom"/>
          </w:tcPr>
          <w:p>
            <w:pPr>
              <w:jc w:val="right"/>
              <w:ind w:right="292"/>
              <w:spacing w:after="0"/>
              <w:rPr>
                <w:sz w:val="20"/>
                <w:szCs w:val="20"/>
                <w:color w:val="auto"/>
              </w:rPr>
            </w:pPr>
            <w:r>
              <w:rPr>
                <w:rFonts w:ascii="Arial" w:cs="Arial" w:eastAsia="Arial" w:hAnsi="Arial"/>
                <w:sz w:val="10"/>
                <w:szCs w:val="10"/>
                <w:b w:val="1"/>
                <w:bCs w:val="1"/>
                <w:color w:val="auto"/>
              </w:rPr>
              <w:t>Year Ended</w:t>
            </w: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120" w:type="dxa"/>
            <w:vAlign w:val="bottom"/>
            <w:gridSpan w:val="2"/>
          </w:tcPr>
          <w:p>
            <w:pPr>
              <w:ind w:left="580"/>
              <w:spacing w:after="0"/>
              <w:rPr>
                <w:sz w:val="20"/>
                <w:szCs w:val="20"/>
                <w:color w:val="auto"/>
              </w:rPr>
            </w:pPr>
            <w:r>
              <w:rPr>
                <w:rFonts w:ascii="Arial" w:cs="Arial" w:eastAsia="Arial" w:hAnsi="Arial"/>
                <w:sz w:val="10"/>
                <w:szCs w:val="10"/>
                <w:b w:val="1"/>
                <w:bCs w:val="1"/>
                <w:color w:val="auto"/>
              </w:rPr>
              <w:t>Period from</w:t>
            </w:r>
          </w:p>
        </w:tc>
      </w:tr>
      <w:tr>
        <w:trPr>
          <w:trHeight w:val="152"/>
        </w:trPr>
        <w:tc>
          <w:tcPr>
            <w:tcW w:w="62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(Thousands, except per share data)</w:t>
            </w:r>
          </w:p>
        </w:tc>
        <w:tc>
          <w:tcPr>
            <w:tcW w:w="180" w:type="dxa"/>
            <w:vAlign w:val="bottom"/>
            <w:tcBorders>
              <w:bottom w:val="single" w:sz="8" w:color="CFF0FC"/>
            </w:tcBorders>
          </w:tcPr>
          <w:p>
            <w:pPr>
              <w:spacing w:after="0"/>
              <w:rPr>
                <w:sz w:val="13"/>
                <w:szCs w:val="13"/>
                <w:color w:val="auto"/>
              </w:rPr>
            </w:pPr>
          </w:p>
        </w:tc>
        <w:tc>
          <w:tcPr>
            <w:tcW w:w="172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b w:val="1"/>
                <w:bCs w:val="1"/>
                <w:color w:val="auto"/>
              </w:rPr>
              <w:t>December 31, 2016</w:t>
            </w:r>
          </w:p>
        </w:tc>
        <w:tc>
          <w:tcPr>
            <w:tcW w:w="58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tcPr>
          <w:p>
            <w:pPr>
              <w:jc w:val="right"/>
              <w:ind w:right="505"/>
              <w:spacing w:after="0"/>
              <w:rPr>
                <w:sz w:val="20"/>
                <w:szCs w:val="20"/>
                <w:color w:val="auto"/>
              </w:rPr>
            </w:pPr>
            <w:r>
              <w:rPr>
                <w:rFonts w:ascii="Arial" w:cs="Arial" w:eastAsia="Arial" w:hAnsi="Arial"/>
                <w:sz w:val="10"/>
                <w:szCs w:val="10"/>
                <w:b w:val="1"/>
                <w:bCs w:val="1"/>
                <w:color w:val="auto"/>
              </w:rPr>
              <w:t>April 24 - December 31, 2015</w:t>
            </w:r>
          </w:p>
        </w:tc>
        <w:tc>
          <w:tcPr>
            <w:tcW w:w="120" w:type="dxa"/>
            <w:vAlign w:val="bottom"/>
            <w:tcBorders>
              <w:bottom w:val="single" w:sz="8" w:color="CFF0FC"/>
            </w:tcBorders>
          </w:tcPr>
          <w:p>
            <w:pPr>
              <w:spacing w:after="0"/>
              <w:rPr>
                <w:sz w:val="13"/>
                <w:szCs w:val="13"/>
                <w:color w:val="auto"/>
              </w:rPr>
            </w:pPr>
          </w:p>
        </w:tc>
      </w:tr>
      <w:tr>
        <w:trPr>
          <w:trHeight w:val="142"/>
        </w:trPr>
        <w:tc>
          <w:tcPr>
            <w:tcW w:w="6280" w:type="dxa"/>
            <w:vAlign w:val="bottom"/>
            <w:shd w:val="clear" w:color="auto" w:fill="CFF0FC"/>
          </w:tcPr>
          <w:p>
            <w:pPr>
              <w:spacing w:after="0"/>
              <w:rPr>
                <w:sz w:val="20"/>
                <w:szCs w:val="20"/>
                <w:color w:val="auto"/>
              </w:rPr>
            </w:pPr>
            <w:r>
              <w:rPr>
                <w:rFonts w:ascii="Arial" w:cs="Arial" w:eastAsia="Arial" w:hAnsi="Arial"/>
                <w:sz w:val="12"/>
                <w:szCs w:val="12"/>
                <w:color w:val="auto"/>
              </w:rPr>
              <w:t>Pro forma revenue</w:t>
            </w:r>
          </w:p>
        </w:tc>
        <w:tc>
          <w:tcPr>
            <w:tcW w:w="1900" w:type="dxa"/>
            <w:vAlign w:val="bottom"/>
            <w:gridSpan w:val="2"/>
            <w:shd w:val="clear" w:color="auto" w:fill="CFF0FC"/>
          </w:tcPr>
          <w:p>
            <w:pPr>
              <w:jc w:val="right"/>
              <w:ind w:right="1612"/>
              <w:spacing w:after="0"/>
              <w:rPr>
                <w:sz w:val="20"/>
                <w:szCs w:val="20"/>
                <w:color w:val="auto"/>
              </w:rPr>
            </w:pPr>
            <w:r>
              <w:rPr>
                <w:rFonts w:ascii="Arial" w:cs="Arial" w:eastAsia="Arial" w:hAnsi="Arial"/>
                <w:sz w:val="12"/>
                <w:szCs w:val="12"/>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797,637</w:t>
            </w:r>
          </w:p>
        </w:tc>
        <w:tc>
          <w:tcPr>
            <w:tcW w:w="60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20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529,911</w:t>
            </w:r>
          </w:p>
        </w:tc>
        <w:tc>
          <w:tcPr>
            <w:tcW w:w="120" w:type="dxa"/>
            <w:vAlign w:val="bottom"/>
            <w:shd w:val="clear" w:color="auto" w:fill="CFF0FC"/>
          </w:tcPr>
          <w:p>
            <w:pPr>
              <w:spacing w:after="0"/>
              <w:rPr>
                <w:sz w:val="12"/>
                <w:szCs w:val="12"/>
                <w:color w:val="auto"/>
              </w:rPr>
            </w:pPr>
          </w:p>
        </w:tc>
      </w:tr>
      <w:tr>
        <w:trPr>
          <w:trHeight w:val="153"/>
        </w:trPr>
        <w:tc>
          <w:tcPr>
            <w:tcW w:w="6280" w:type="dxa"/>
            <w:vAlign w:val="bottom"/>
          </w:tcPr>
          <w:p>
            <w:pPr>
              <w:spacing w:after="0"/>
              <w:rPr>
                <w:sz w:val="20"/>
                <w:szCs w:val="20"/>
                <w:color w:val="auto"/>
              </w:rPr>
            </w:pPr>
            <w:r>
              <w:rPr>
                <w:rFonts w:ascii="Arial" w:cs="Arial" w:eastAsia="Arial" w:hAnsi="Arial"/>
                <w:sz w:val="12"/>
                <w:szCs w:val="12"/>
                <w:color w:val="auto"/>
              </w:rPr>
              <w:t>Pro forma net income</w:t>
            </w:r>
          </w:p>
        </w:tc>
        <w:tc>
          <w:tcPr>
            <w:tcW w:w="1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6,264</w:t>
            </w: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0" w:type="dxa"/>
            <w:vAlign w:val="bottom"/>
          </w:tcPr>
          <w:p>
            <w:pPr>
              <w:jc w:val="right"/>
              <w:spacing w:after="0"/>
              <w:rPr>
                <w:sz w:val="20"/>
                <w:szCs w:val="20"/>
                <w:color w:val="auto"/>
              </w:rPr>
            </w:pPr>
            <w:r>
              <w:rPr>
                <w:rFonts w:ascii="Arial" w:cs="Arial" w:eastAsia="Arial" w:hAnsi="Arial"/>
                <w:sz w:val="12"/>
                <w:szCs w:val="12"/>
                <w:color w:val="auto"/>
              </w:rPr>
              <w:t>19,809</w:t>
            </w:r>
          </w:p>
        </w:tc>
        <w:tc>
          <w:tcPr>
            <w:tcW w:w="120" w:type="dxa"/>
            <w:vAlign w:val="bottom"/>
          </w:tcPr>
          <w:p>
            <w:pPr>
              <w:spacing w:after="0"/>
              <w:rPr>
                <w:sz w:val="13"/>
                <w:szCs w:val="13"/>
                <w:color w:val="auto"/>
              </w:rPr>
            </w:pPr>
          </w:p>
        </w:tc>
      </w:tr>
      <w:tr>
        <w:trPr>
          <w:trHeight w:val="162"/>
        </w:trPr>
        <w:tc>
          <w:tcPr>
            <w:tcW w:w="6280" w:type="dxa"/>
            <w:vAlign w:val="bottom"/>
            <w:shd w:val="clear" w:color="auto" w:fill="CFF0FC"/>
          </w:tcPr>
          <w:p>
            <w:pPr>
              <w:spacing w:after="0"/>
              <w:rPr>
                <w:sz w:val="20"/>
                <w:szCs w:val="20"/>
                <w:color w:val="auto"/>
              </w:rPr>
            </w:pPr>
            <w:r>
              <w:rPr>
                <w:rFonts w:ascii="Arial" w:cs="Arial" w:eastAsia="Arial" w:hAnsi="Arial"/>
                <w:sz w:val="12"/>
                <w:szCs w:val="12"/>
                <w:color w:val="auto"/>
              </w:rPr>
              <w:t>Pro forma net income per share</w:t>
            </w:r>
          </w:p>
        </w:tc>
        <w:tc>
          <w:tcPr>
            <w:tcW w:w="1900" w:type="dxa"/>
            <w:vAlign w:val="bottom"/>
            <w:gridSpan w:val="2"/>
            <w:shd w:val="clear" w:color="auto" w:fill="CFF0FC"/>
          </w:tcPr>
          <w:p>
            <w:pPr>
              <w:jc w:val="right"/>
              <w:ind w:right="1612"/>
              <w:spacing w:after="0"/>
              <w:rPr>
                <w:sz w:val="20"/>
                <w:szCs w:val="20"/>
                <w:color w:val="auto"/>
              </w:rPr>
            </w:pPr>
            <w:r>
              <w:rPr>
                <w:rFonts w:ascii="Arial" w:cs="Arial" w:eastAsia="Arial" w:hAnsi="Arial"/>
                <w:sz w:val="12"/>
                <w:szCs w:val="12"/>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0.04</w:t>
            </w:r>
          </w:p>
        </w:tc>
        <w:tc>
          <w:tcPr>
            <w:tcW w:w="60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20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0.13</w:t>
            </w:r>
          </w:p>
        </w:tc>
        <w:tc>
          <w:tcPr>
            <w:tcW w:w="120" w:type="dxa"/>
            <w:vAlign w:val="bottom"/>
            <w:shd w:val="clear" w:color="auto" w:fill="CFF0FC"/>
          </w:tcPr>
          <w:p>
            <w:pPr>
              <w:spacing w:after="0"/>
              <w:rPr>
                <w:sz w:val="14"/>
                <w:szCs w:val="14"/>
                <w:color w:val="auto"/>
              </w:rPr>
            </w:pPr>
          </w:p>
        </w:tc>
      </w:tr>
    </w:tbl>
    <w:p>
      <w:pPr>
        <w:spacing w:after="0" w:line="13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Summit Wireless Infrastructure, LLC</w:t>
      </w:r>
    </w:p>
    <w:p>
      <w:pPr>
        <w:spacing w:after="0" w:line="114" w:lineRule="exact"/>
        <w:rPr>
          <w:sz w:val="20"/>
          <w:szCs w:val="20"/>
          <w:color w:val="auto"/>
        </w:rPr>
      </w:pPr>
    </w:p>
    <w:p>
      <w:pPr>
        <w:jc w:val="both"/>
        <w:ind w:right="700"/>
        <w:spacing w:after="0" w:line="323" w:lineRule="auto"/>
        <w:rPr>
          <w:sz w:val="20"/>
          <w:szCs w:val="20"/>
          <w:color w:val="auto"/>
        </w:rPr>
      </w:pPr>
      <w:r>
        <w:rPr>
          <w:rFonts w:ascii="Arial" w:cs="Arial" w:eastAsia="Arial" w:hAnsi="Arial"/>
          <w:sz w:val="11"/>
          <w:szCs w:val="11"/>
          <w:color w:val="auto"/>
        </w:rPr>
        <w:t>On January 22, 2016, we acquired 100% of the outstanding equity of Summit Wireless Infrastructure LLC (“Summit”). Summit builds, owns and operates telecommunication infrastructure serving wireless carriers in Mexico. Consideration given to acquire Summit included performance-based shares of common equity valued at $1.1 million, which will vest in full on the third anniversary of the closing date, subject to Summit meeting certain</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70" w:name="page71"/>
    <w:bookmarkEnd w:id="70"/>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Uniti Group Inc.</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Notes to the Consolidated Financial Statements – Continued</w:t>
      </w:r>
    </w:p>
    <w:p>
      <w:pPr>
        <w:spacing w:after="0" w:line="267" w:lineRule="exact"/>
        <w:rPr>
          <w:sz w:val="20"/>
          <w:szCs w:val="20"/>
          <w:color w:val="auto"/>
        </w:rPr>
      </w:pPr>
    </w:p>
    <w:p>
      <w:pPr>
        <w:ind w:right="180"/>
        <w:spacing w:after="0" w:line="276" w:lineRule="auto"/>
        <w:rPr>
          <w:sz w:val="20"/>
          <w:szCs w:val="20"/>
          <w:color w:val="auto"/>
        </w:rPr>
      </w:pPr>
      <w:r>
        <w:rPr>
          <w:rFonts w:ascii="Arial" w:cs="Arial" w:eastAsia="Arial" w:hAnsi="Arial"/>
          <w:sz w:val="12"/>
          <w:szCs w:val="12"/>
          <w:color w:val="auto"/>
        </w:rPr>
        <w:t>performance targets, and the assumption of Summit’s existing debt. The financial results of Summit are included in the Towers segment from the date of acquisition and were not material, individually or in the aggregate, to our results of operations and therefore, pro forma financial information has not been presented.</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5. Fair Value of Financial Instruments</w:t>
      </w:r>
    </w:p>
    <w:p>
      <w:pPr>
        <w:spacing w:after="0" w:line="82" w:lineRule="exact"/>
        <w:rPr>
          <w:sz w:val="20"/>
          <w:szCs w:val="20"/>
          <w:color w:val="auto"/>
        </w:rPr>
      </w:pPr>
    </w:p>
    <w:p>
      <w:pPr>
        <w:ind w:right="60"/>
        <w:spacing w:after="0" w:line="276" w:lineRule="auto"/>
        <w:rPr>
          <w:sz w:val="20"/>
          <w:szCs w:val="20"/>
          <w:color w:val="auto"/>
        </w:rPr>
      </w:pPr>
      <w:r>
        <w:rPr>
          <w:rFonts w:ascii="Arial" w:cs="Arial" w:eastAsia="Arial" w:hAnsi="Arial"/>
          <w:sz w:val="12"/>
          <w:szCs w:val="12"/>
          <w:color w:val="auto"/>
        </w:rPr>
        <w:t xml:space="preserve">FASB ASC 820, </w:t>
      </w:r>
      <w:r>
        <w:rPr>
          <w:rFonts w:ascii="Arial" w:cs="Arial" w:eastAsia="Arial" w:hAnsi="Arial"/>
          <w:sz w:val="12"/>
          <w:szCs w:val="12"/>
          <w:i w:val="1"/>
          <w:iCs w:val="1"/>
          <w:color w:val="auto"/>
        </w:rPr>
        <w:t>Fair Value Measurements</w:t>
      </w:r>
      <w:r>
        <w:rPr>
          <w:rFonts w:ascii="Arial" w:cs="Arial" w:eastAsia="Arial" w:hAnsi="Arial"/>
          <w:sz w:val="12"/>
          <w:szCs w:val="12"/>
          <w:color w:val="auto"/>
        </w:rPr>
        <w:t>, establishes a hierarchy of valuation techniques based on the observability of inputs utilized in measuring assets and liabilities at fair values. This hierarchy establishes market-based or observable inputs as the preferred source of values, followed by valuation models using management assumptions in the absence of market inputs. The three levels of the hierarchy are as follows:</w:t>
      </w:r>
    </w:p>
    <w:p>
      <w:pPr>
        <w:spacing w:after="0" w:line="4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 xml:space="preserve">Level 1 </w:t>
      </w:r>
      <w:r>
        <w:rPr>
          <w:rFonts w:ascii="Arial" w:cs="Arial" w:eastAsia="Arial" w:hAnsi="Arial"/>
          <w:sz w:val="12"/>
          <w:szCs w:val="12"/>
          <w:color w:val="auto"/>
        </w:rPr>
        <w:t>– Quoted prices (unadjusted) in active markets for identical assets or liabilities that the reporting entity can access at the assessment date</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 xml:space="preserve">Level 2 </w:t>
      </w:r>
      <w:r>
        <w:rPr>
          <w:rFonts w:ascii="Arial" w:cs="Arial" w:eastAsia="Arial" w:hAnsi="Arial"/>
          <w:sz w:val="12"/>
          <w:szCs w:val="12"/>
          <w:color w:val="auto"/>
        </w:rPr>
        <w:t>– Inputs other than quoted prices included within Level 1 that are observable for the asset or liability, either directly or indirectly</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 xml:space="preserve">Level 3 </w:t>
      </w:r>
      <w:r>
        <w:rPr>
          <w:rFonts w:ascii="Arial" w:cs="Arial" w:eastAsia="Arial" w:hAnsi="Arial"/>
          <w:sz w:val="12"/>
          <w:szCs w:val="12"/>
          <w:color w:val="auto"/>
        </w:rPr>
        <w:t>– Unobservable inputs for the asset or liability</w:t>
      </w:r>
    </w:p>
    <w:p>
      <w:pPr>
        <w:spacing w:after="0" w:line="150" w:lineRule="exact"/>
        <w:rPr>
          <w:sz w:val="20"/>
          <w:szCs w:val="20"/>
          <w:color w:val="auto"/>
        </w:rPr>
      </w:pPr>
    </w:p>
    <w:p>
      <w:pPr>
        <w:spacing w:after="0"/>
        <w:rPr>
          <w:sz w:val="20"/>
          <w:szCs w:val="20"/>
          <w:color w:val="auto"/>
        </w:rPr>
      </w:pPr>
      <w:r>
        <w:rPr>
          <w:rFonts w:ascii="Arial" w:cs="Arial" w:eastAsia="Arial" w:hAnsi="Arial"/>
          <w:sz w:val="11"/>
          <w:szCs w:val="11"/>
          <w:color w:val="auto"/>
        </w:rPr>
        <w:t>Our financial instruments consist of cash and cash equivalents, accounts and other receivables, derivative instruments, contingent consideration, our outstanding notes and other debt, and accounts, interest and dividends payable.</w:t>
      </w:r>
    </w:p>
    <w:p>
      <w:pPr>
        <w:spacing w:after="0" w:line="162"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summarizes the fair value of our financial instruments at December 31, 2017 and 2016:</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6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jc w:val="center"/>
              <w:ind w:left="131"/>
              <w:spacing w:after="0"/>
              <w:rPr>
                <w:sz w:val="20"/>
                <w:szCs w:val="20"/>
                <w:color w:val="auto"/>
              </w:rPr>
            </w:pPr>
            <w:r>
              <w:rPr>
                <w:rFonts w:ascii="Arial" w:cs="Arial" w:eastAsia="Arial" w:hAnsi="Arial"/>
                <w:sz w:val="10"/>
                <w:szCs w:val="10"/>
                <w:b w:val="1"/>
                <w:bCs w:val="1"/>
                <w:color w:val="auto"/>
                <w:w w:val="85"/>
              </w:rPr>
              <w:t>Quoted Prices in</w:t>
            </w: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tcPr>
          <w:p>
            <w:pPr>
              <w:jc w:val="center"/>
              <w:ind w:right="83"/>
              <w:spacing w:after="0"/>
              <w:rPr>
                <w:sz w:val="20"/>
                <w:szCs w:val="20"/>
                <w:color w:val="auto"/>
              </w:rPr>
            </w:pPr>
            <w:r>
              <w:rPr>
                <w:rFonts w:ascii="Arial" w:cs="Arial" w:eastAsia="Arial" w:hAnsi="Arial"/>
                <w:sz w:val="10"/>
                <w:szCs w:val="10"/>
                <w:b w:val="1"/>
                <w:bCs w:val="1"/>
                <w:color w:val="auto"/>
                <w:w w:val="87"/>
              </w:rPr>
              <w:t>Prices with Other</w:t>
            </w: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46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980" w:type="dxa"/>
            <w:vAlign w:val="bottom"/>
          </w:tcPr>
          <w:p>
            <w:pPr>
              <w:jc w:val="center"/>
              <w:ind w:left="131"/>
              <w:spacing w:after="0" w:line="99" w:lineRule="exact"/>
              <w:rPr>
                <w:sz w:val="20"/>
                <w:szCs w:val="20"/>
                <w:color w:val="auto"/>
              </w:rPr>
            </w:pPr>
            <w:r>
              <w:rPr>
                <w:rFonts w:ascii="Arial" w:cs="Arial" w:eastAsia="Arial" w:hAnsi="Arial"/>
                <w:sz w:val="10"/>
                <w:szCs w:val="10"/>
                <w:b w:val="1"/>
                <w:bCs w:val="1"/>
                <w:color w:val="auto"/>
                <w:w w:val="90"/>
              </w:rPr>
              <w:t>Active Markets</w:t>
            </w: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jc w:val="center"/>
              <w:ind w:right="83"/>
              <w:spacing w:after="0" w:line="99" w:lineRule="exact"/>
              <w:rPr>
                <w:sz w:val="20"/>
                <w:szCs w:val="20"/>
                <w:color w:val="auto"/>
              </w:rPr>
            </w:pPr>
            <w:r>
              <w:rPr>
                <w:rFonts w:ascii="Arial" w:cs="Arial" w:eastAsia="Arial" w:hAnsi="Arial"/>
                <w:sz w:val="10"/>
                <w:szCs w:val="10"/>
                <w:b w:val="1"/>
                <w:bCs w:val="1"/>
                <w:color w:val="auto"/>
                <w:w w:val="87"/>
              </w:rPr>
              <w:t>Observable Inputs</w:t>
            </w:r>
          </w:p>
        </w:tc>
        <w:tc>
          <w:tcPr>
            <w:tcW w:w="1440" w:type="dxa"/>
            <w:vAlign w:val="bottom"/>
            <w:gridSpan w:val="4"/>
          </w:tcPr>
          <w:p>
            <w:pPr>
              <w:ind w:left="260"/>
              <w:spacing w:after="0" w:line="99" w:lineRule="exact"/>
              <w:rPr>
                <w:sz w:val="20"/>
                <w:szCs w:val="20"/>
                <w:color w:val="auto"/>
              </w:rPr>
            </w:pPr>
            <w:r>
              <w:rPr>
                <w:rFonts w:ascii="Arial" w:cs="Arial" w:eastAsia="Arial" w:hAnsi="Arial"/>
                <w:sz w:val="10"/>
                <w:szCs w:val="10"/>
                <w:b w:val="1"/>
                <w:bCs w:val="1"/>
                <w:color w:val="auto"/>
                <w:w w:val="95"/>
              </w:rPr>
              <w:t>Prices with Unobservable</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4660" w:type="dxa"/>
            <w:vAlign w:val="bottom"/>
          </w:tcPr>
          <w:p>
            <w:pPr>
              <w:spacing w:after="0" w:line="114" w:lineRule="exact"/>
              <w:rPr>
                <w:sz w:val="20"/>
                <w:szCs w:val="20"/>
                <w:color w:val="auto"/>
              </w:rPr>
            </w:pPr>
            <w:r>
              <w:rPr>
                <w:rFonts w:ascii="Arial" w:cs="Arial" w:eastAsia="Arial" w:hAnsi="Arial"/>
                <w:sz w:val="10"/>
                <w:szCs w:val="10"/>
                <w:color w:val="auto"/>
              </w:rPr>
              <w:t>(Thousands)</w:t>
            </w:r>
          </w:p>
        </w:tc>
        <w:tc>
          <w:tcPr>
            <w:tcW w:w="1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jc w:val="right"/>
              <w:spacing w:after="0" w:line="114" w:lineRule="exact"/>
              <w:rPr>
                <w:sz w:val="20"/>
                <w:szCs w:val="20"/>
                <w:color w:val="auto"/>
              </w:rPr>
            </w:pPr>
            <w:r>
              <w:rPr>
                <w:rFonts w:ascii="Arial" w:cs="Arial" w:eastAsia="Arial" w:hAnsi="Arial"/>
                <w:sz w:val="10"/>
                <w:szCs w:val="10"/>
                <w:b w:val="1"/>
                <w:bCs w:val="1"/>
                <w:color w:val="auto"/>
              </w:rPr>
              <w:t>Total</w:t>
            </w: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80" w:type="dxa"/>
            <w:vAlign w:val="bottom"/>
          </w:tcPr>
          <w:p>
            <w:pPr>
              <w:jc w:val="center"/>
              <w:ind w:left="131"/>
              <w:spacing w:after="0" w:line="114" w:lineRule="exact"/>
              <w:rPr>
                <w:sz w:val="20"/>
                <w:szCs w:val="20"/>
                <w:color w:val="auto"/>
              </w:rPr>
            </w:pPr>
            <w:r>
              <w:rPr>
                <w:rFonts w:ascii="Arial" w:cs="Arial" w:eastAsia="Arial" w:hAnsi="Arial"/>
                <w:sz w:val="10"/>
                <w:szCs w:val="10"/>
                <w:b w:val="1"/>
                <w:bCs w:val="1"/>
                <w:color w:val="auto"/>
                <w:w w:val="88"/>
              </w:rPr>
              <w:t>(Level 1)</w:t>
            </w: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jc w:val="center"/>
              <w:ind w:right="83"/>
              <w:spacing w:after="0" w:line="114" w:lineRule="exact"/>
              <w:rPr>
                <w:sz w:val="20"/>
                <w:szCs w:val="20"/>
                <w:color w:val="auto"/>
              </w:rPr>
            </w:pPr>
            <w:r>
              <w:rPr>
                <w:rFonts w:ascii="Arial" w:cs="Arial" w:eastAsia="Arial" w:hAnsi="Arial"/>
                <w:sz w:val="10"/>
                <w:szCs w:val="10"/>
                <w:b w:val="1"/>
                <w:bCs w:val="1"/>
                <w:color w:val="auto"/>
                <w:w w:val="88"/>
              </w:rPr>
              <w:t>(Level 2)</w:t>
            </w: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gridSpan w:val="2"/>
          </w:tcPr>
          <w:p>
            <w:pPr>
              <w:ind w:left="60"/>
              <w:spacing w:after="0" w:line="114" w:lineRule="exact"/>
              <w:rPr>
                <w:sz w:val="20"/>
                <w:szCs w:val="20"/>
                <w:color w:val="auto"/>
              </w:rPr>
            </w:pPr>
            <w:r>
              <w:rPr>
                <w:rFonts w:ascii="Arial" w:cs="Arial" w:eastAsia="Arial" w:hAnsi="Arial"/>
                <w:sz w:val="10"/>
                <w:szCs w:val="10"/>
                <w:b w:val="1"/>
                <w:bCs w:val="1"/>
                <w:color w:val="auto"/>
              </w:rPr>
              <w:t>Inputs (Level 3)</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46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2"/>
                <w:szCs w:val="12"/>
                <w:color w:val="auto"/>
              </w:rPr>
              <w:t>At December 31, 2017</w:t>
            </w:r>
          </w:p>
        </w:tc>
        <w:tc>
          <w:tcPr>
            <w:tcW w:w="104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760" w:type="dxa"/>
            <w:vAlign w:val="bottom"/>
            <w:tcBorders>
              <w:top w:val="single" w:sz="8" w:color="auto"/>
            </w:tcBorders>
            <w:shd w:val="clear" w:color="auto" w:fill="CFF0FC"/>
          </w:tcPr>
          <w:p>
            <w:pPr>
              <w:spacing w:after="0"/>
              <w:rPr>
                <w:sz w:val="12"/>
                <w:szCs w:val="12"/>
                <w:color w:val="auto"/>
              </w:rPr>
            </w:pPr>
          </w:p>
        </w:tc>
        <w:tc>
          <w:tcPr>
            <w:tcW w:w="500" w:type="dxa"/>
            <w:vAlign w:val="bottom"/>
            <w:tcBorders>
              <w:top w:val="single" w:sz="8" w:color="auto"/>
            </w:tcBorders>
            <w:shd w:val="clear" w:color="auto" w:fill="CFF0FC"/>
          </w:tcPr>
          <w:p>
            <w:pPr>
              <w:spacing w:after="0"/>
              <w:rPr>
                <w:sz w:val="12"/>
                <w:szCs w:val="12"/>
                <w:color w:val="auto"/>
              </w:rPr>
            </w:pPr>
          </w:p>
        </w:tc>
        <w:tc>
          <w:tcPr>
            <w:tcW w:w="260" w:type="dxa"/>
            <w:vAlign w:val="bottom"/>
            <w:tcBorders>
              <w:top w:val="single" w:sz="8" w:color="CFF0FC"/>
            </w:tcBorders>
            <w:shd w:val="clear" w:color="auto" w:fill="CFF0FC"/>
          </w:tcPr>
          <w:p>
            <w:pPr>
              <w:spacing w:after="0"/>
              <w:rPr>
                <w:sz w:val="12"/>
                <w:szCs w:val="12"/>
                <w:color w:val="auto"/>
              </w:rPr>
            </w:pPr>
          </w:p>
        </w:tc>
        <w:tc>
          <w:tcPr>
            <w:tcW w:w="98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26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1100" w:type="dxa"/>
            <w:vAlign w:val="bottom"/>
            <w:tcBorders>
              <w:top w:val="single" w:sz="8" w:color="auto"/>
            </w:tcBorders>
            <w:shd w:val="clear" w:color="auto" w:fill="CFF0FC"/>
          </w:tcPr>
          <w:p>
            <w:pPr>
              <w:spacing w:after="0"/>
              <w:rPr>
                <w:sz w:val="12"/>
                <w:szCs w:val="12"/>
                <w:color w:val="auto"/>
              </w:rPr>
            </w:pPr>
          </w:p>
        </w:tc>
        <w:tc>
          <w:tcPr>
            <w:tcW w:w="26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92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660" w:type="dxa"/>
            <w:vAlign w:val="bottom"/>
          </w:tcPr>
          <w:p>
            <w:pPr>
              <w:spacing w:after="0"/>
              <w:rPr>
                <w:sz w:val="20"/>
                <w:szCs w:val="20"/>
                <w:color w:val="auto"/>
              </w:rPr>
            </w:pPr>
            <w:r>
              <w:rPr>
                <w:rFonts w:ascii="Arial" w:cs="Arial" w:eastAsia="Arial" w:hAnsi="Arial"/>
                <w:sz w:val="12"/>
                <w:szCs w:val="12"/>
                <w:color w:val="auto"/>
              </w:rPr>
              <w:t>Assets</w:t>
            </w: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6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Derivative asset</w:t>
            </w:r>
          </w:p>
        </w:tc>
        <w:tc>
          <w:tcPr>
            <w:tcW w:w="1960" w:type="dxa"/>
            <w:vAlign w:val="bottom"/>
            <w:gridSpan w:val="3"/>
            <w:shd w:val="clear" w:color="auto" w:fill="CFF0FC"/>
          </w:tcPr>
          <w:p>
            <w:pPr>
              <w:jc w:val="right"/>
              <w:ind w:right="652"/>
              <w:spacing w:after="0"/>
              <w:rPr>
                <w:sz w:val="20"/>
                <w:szCs w:val="20"/>
                <w:color w:val="auto"/>
              </w:rPr>
            </w:pPr>
            <w:r>
              <w:rPr>
                <w:rFonts w:ascii="Arial" w:cs="Arial" w:eastAsia="Arial" w:hAnsi="Arial"/>
                <w:sz w:val="12"/>
                <w:szCs w:val="12"/>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6,793</w:t>
            </w:r>
          </w:p>
        </w:tc>
        <w:tc>
          <w:tcPr>
            <w:tcW w:w="260" w:type="dxa"/>
            <w:vAlign w:val="bottom"/>
            <w:shd w:val="clear" w:color="auto" w:fill="CFF0FC"/>
          </w:tcPr>
          <w:p>
            <w:pPr>
              <w:spacing w:after="0"/>
              <w:rPr>
                <w:sz w:val="13"/>
                <w:szCs w:val="13"/>
                <w:color w:val="auto"/>
              </w:rPr>
            </w:pPr>
          </w:p>
        </w:tc>
        <w:tc>
          <w:tcPr>
            <w:tcW w:w="980" w:type="dxa"/>
            <w:vAlign w:val="bottom"/>
            <w:shd w:val="clear" w:color="auto" w:fill="CFF0FC"/>
          </w:tcPr>
          <w:p>
            <w:pPr>
              <w:jc w:val="right"/>
              <w:ind w:right="871"/>
              <w:spacing w:after="0"/>
              <w:rPr>
                <w:sz w:val="20"/>
                <w:szCs w:val="20"/>
                <w:color w:val="auto"/>
              </w:rPr>
            </w:pPr>
            <w:r>
              <w:rPr>
                <w:rFonts w:ascii="Arial" w:cs="Arial" w:eastAsia="Arial" w:hAnsi="Arial"/>
                <w:sz w:val="10"/>
                <w:szCs w:val="10"/>
                <w:color w:val="auto"/>
                <w:w w:val="71"/>
              </w:rPr>
              <w:t>$</w:t>
            </w:r>
          </w:p>
        </w:tc>
        <w:tc>
          <w:tcPr>
            <w:tcW w:w="180" w:type="dxa"/>
            <w:vAlign w:val="bottom"/>
            <w:shd w:val="clear" w:color="auto" w:fill="CFF0FC"/>
          </w:tcPr>
          <w:p>
            <w:pPr>
              <w:ind w:left="60"/>
              <w:spacing w:after="0"/>
              <w:rPr>
                <w:sz w:val="20"/>
                <w:szCs w:val="20"/>
                <w:color w:val="auto"/>
              </w:rPr>
            </w:pPr>
            <w:r>
              <w:rPr>
                <w:rFonts w:ascii="Arial" w:cs="Arial" w:eastAsia="Arial" w:hAnsi="Arial"/>
                <w:sz w:val="12"/>
                <w:szCs w:val="12"/>
                <w:color w:val="auto"/>
                <w:w w:val="82"/>
              </w:rPr>
              <w:t>—</w:t>
            </w:r>
          </w:p>
        </w:tc>
        <w:tc>
          <w:tcPr>
            <w:tcW w:w="40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6,793</w:t>
            </w:r>
          </w:p>
        </w:tc>
        <w:tc>
          <w:tcPr>
            <w:tcW w:w="400" w:type="dxa"/>
            <w:vAlign w:val="bottom"/>
            <w:gridSpan w:val="2"/>
            <w:shd w:val="clear" w:color="auto" w:fill="CFF0FC"/>
          </w:tcPr>
          <w:p>
            <w:pPr>
              <w:ind w:left="260"/>
              <w:spacing w:after="0"/>
              <w:rPr>
                <w:sz w:val="20"/>
                <w:szCs w:val="20"/>
                <w:color w:val="auto"/>
              </w:rPr>
            </w:pPr>
            <w:r>
              <w:rPr>
                <w:rFonts w:ascii="Arial" w:cs="Arial" w:eastAsia="Arial" w:hAnsi="Arial"/>
                <w:sz w:val="12"/>
                <w:szCs w:val="12"/>
                <w:color w:val="auto"/>
              </w:rPr>
              <w:t>$</w:t>
            </w: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60" w:type="dxa"/>
            <w:vAlign w:val="bottom"/>
            <w:vMerge w:val="restart"/>
          </w:tcPr>
          <w:p>
            <w:pPr>
              <w:spacing w:after="0"/>
              <w:rPr>
                <w:sz w:val="20"/>
                <w:szCs w:val="20"/>
                <w:color w:val="auto"/>
              </w:rPr>
            </w:pPr>
            <w:r>
              <w:rPr>
                <w:rFonts w:ascii="Arial" w:cs="Arial" w:eastAsia="Arial" w:hAnsi="Arial"/>
                <w:sz w:val="12"/>
                <w:szCs w:val="12"/>
                <w:color w:val="auto"/>
              </w:rPr>
              <w:t>Total</w:t>
            </w: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660" w:type="dxa"/>
            <w:vAlign w:val="bottom"/>
            <w:vMerge w:val="continue"/>
          </w:tcPr>
          <w:p>
            <w:pPr>
              <w:spacing w:after="0"/>
              <w:rPr>
                <w:sz w:val="12"/>
                <w:szCs w:val="12"/>
                <w:color w:val="auto"/>
              </w:rPr>
            </w:pPr>
          </w:p>
        </w:tc>
        <w:tc>
          <w:tcPr>
            <w:tcW w:w="1960" w:type="dxa"/>
            <w:vAlign w:val="bottom"/>
            <w:gridSpan w:val="3"/>
          </w:tcPr>
          <w:p>
            <w:pPr>
              <w:jc w:val="right"/>
              <w:ind w:right="652"/>
              <w:spacing w:after="0"/>
              <w:rPr>
                <w:sz w:val="20"/>
                <w:szCs w:val="20"/>
                <w:color w:val="auto"/>
              </w:rPr>
            </w:pPr>
            <w:r>
              <w:rPr>
                <w:rFonts w:ascii="Arial" w:cs="Arial" w:eastAsia="Arial" w:hAnsi="Arial"/>
                <w:sz w:val="12"/>
                <w:szCs w:val="12"/>
                <w:color w:val="auto"/>
              </w:rPr>
              <w:t>$</w:t>
            </w:r>
          </w:p>
        </w:tc>
        <w:tc>
          <w:tcPr>
            <w:tcW w:w="500" w:type="dxa"/>
            <w:vAlign w:val="bottom"/>
          </w:tcPr>
          <w:p>
            <w:pPr>
              <w:jc w:val="right"/>
              <w:spacing w:after="0"/>
              <w:rPr>
                <w:sz w:val="20"/>
                <w:szCs w:val="20"/>
                <w:color w:val="auto"/>
              </w:rPr>
            </w:pPr>
            <w:r>
              <w:rPr>
                <w:rFonts w:ascii="Arial" w:cs="Arial" w:eastAsia="Arial" w:hAnsi="Arial"/>
                <w:sz w:val="12"/>
                <w:szCs w:val="12"/>
                <w:color w:val="auto"/>
              </w:rPr>
              <w:t>6,793</w:t>
            </w:r>
          </w:p>
        </w:tc>
        <w:tc>
          <w:tcPr>
            <w:tcW w:w="260" w:type="dxa"/>
            <w:vAlign w:val="bottom"/>
          </w:tcPr>
          <w:p>
            <w:pPr>
              <w:spacing w:after="0"/>
              <w:rPr>
                <w:sz w:val="12"/>
                <w:szCs w:val="12"/>
                <w:color w:val="auto"/>
              </w:rPr>
            </w:pPr>
          </w:p>
        </w:tc>
        <w:tc>
          <w:tcPr>
            <w:tcW w:w="980" w:type="dxa"/>
            <w:vAlign w:val="bottom"/>
          </w:tcPr>
          <w:p>
            <w:pPr>
              <w:jc w:val="right"/>
              <w:ind w:right="871"/>
              <w:spacing w:after="0"/>
              <w:rPr>
                <w:sz w:val="20"/>
                <w:szCs w:val="20"/>
                <w:color w:val="auto"/>
              </w:rPr>
            </w:pPr>
            <w:r>
              <w:rPr>
                <w:rFonts w:ascii="Arial" w:cs="Arial" w:eastAsia="Arial" w:hAnsi="Arial"/>
                <w:sz w:val="10"/>
                <w:szCs w:val="10"/>
                <w:color w:val="auto"/>
                <w:w w:val="71"/>
              </w:rPr>
              <w:t>$</w:t>
            </w:r>
          </w:p>
        </w:tc>
        <w:tc>
          <w:tcPr>
            <w:tcW w:w="180" w:type="dxa"/>
            <w:vAlign w:val="bottom"/>
          </w:tcPr>
          <w:p>
            <w:pPr>
              <w:ind w:left="60"/>
              <w:spacing w:after="0"/>
              <w:rPr>
                <w:sz w:val="20"/>
                <w:szCs w:val="20"/>
                <w:color w:val="auto"/>
              </w:rPr>
            </w:pPr>
            <w:r>
              <w:rPr>
                <w:rFonts w:ascii="Arial" w:cs="Arial" w:eastAsia="Arial" w:hAnsi="Arial"/>
                <w:sz w:val="12"/>
                <w:szCs w:val="12"/>
                <w:color w:val="auto"/>
                <w:w w:val="82"/>
              </w:rPr>
              <w:t>—</w:t>
            </w:r>
          </w:p>
        </w:tc>
        <w:tc>
          <w:tcPr>
            <w:tcW w:w="40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1100" w:type="dxa"/>
            <w:vAlign w:val="bottom"/>
          </w:tcPr>
          <w:p>
            <w:pPr>
              <w:jc w:val="right"/>
              <w:spacing w:after="0"/>
              <w:rPr>
                <w:sz w:val="20"/>
                <w:szCs w:val="20"/>
                <w:color w:val="auto"/>
              </w:rPr>
            </w:pPr>
            <w:r>
              <w:rPr>
                <w:rFonts w:ascii="Arial" w:cs="Arial" w:eastAsia="Arial" w:hAnsi="Arial"/>
                <w:sz w:val="12"/>
                <w:szCs w:val="12"/>
                <w:color w:val="auto"/>
              </w:rPr>
              <w:t>6,793</w:t>
            </w:r>
          </w:p>
        </w:tc>
        <w:tc>
          <w:tcPr>
            <w:tcW w:w="40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660" w:type="dxa"/>
            <w:vAlign w:val="bottom"/>
            <w:tcBorders>
              <w:top w:val="single" w:sz="8" w:color="CFF0FC"/>
            </w:tcBorders>
            <w:shd w:val="clear" w:color="auto" w:fill="CFF0FC"/>
          </w:tcPr>
          <w:p>
            <w:pPr>
              <w:spacing w:after="0"/>
              <w:rPr>
                <w:sz w:val="13"/>
                <w:szCs w:val="13"/>
                <w:color w:val="auto"/>
              </w:rPr>
            </w:pPr>
          </w:p>
        </w:tc>
        <w:tc>
          <w:tcPr>
            <w:tcW w:w="104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spacing w:after="0"/>
              <w:rPr>
                <w:sz w:val="13"/>
                <w:szCs w:val="13"/>
                <w:color w:val="auto"/>
              </w:rPr>
            </w:pPr>
          </w:p>
        </w:tc>
        <w:tc>
          <w:tcPr>
            <w:tcW w:w="50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98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110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92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660" w:type="dxa"/>
            <w:vAlign w:val="bottom"/>
            <w:shd w:val="clear" w:color="auto" w:fill="CFF0FC"/>
          </w:tcPr>
          <w:p>
            <w:pPr>
              <w:spacing w:after="0"/>
              <w:rPr>
                <w:sz w:val="20"/>
                <w:szCs w:val="20"/>
                <w:color w:val="auto"/>
              </w:rPr>
            </w:pPr>
            <w:r>
              <w:rPr>
                <w:rFonts w:ascii="Arial" w:cs="Arial" w:eastAsia="Arial" w:hAnsi="Arial"/>
                <w:sz w:val="12"/>
                <w:szCs w:val="12"/>
                <w:color w:val="auto"/>
              </w:rPr>
              <w:t>Liabilities</w:t>
            </w:r>
          </w:p>
        </w:tc>
        <w:tc>
          <w:tcPr>
            <w:tcW w:w="10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660" w:type="dxa"/>
            <w:vAlign w:val="bottom"/>
          </w:tcPr>
          <w:p>
            <w:pPr>
              <w:ind w:left="160"/>
              <w:spacing w:after="0"/>
              <w:rPr>
                <w:sz w:val="20"/>
                <w:szCs w:val="20"/>
                <w:color w:val="auto"/>
              </w:rPr>
            </w:pPr>
            <w:r>
              <w:rPr>
                <w:rFonts w:ascii="Arial" w:cs="Arial" w:eastAsia="Arial" w:hAnsi="Arial"/>
                <w:sz w:val="12"/>
                <w:szCs w:val="12"/>
                <w:color w:val="auto"/>
              </w:rPr>
              <w:t>Senior secured term loan B - variable rate, due October 24, 2022</w:t>
            </w:r>
          </w:p>
        </w:tc>
        <w:tc>
          <w:tcPr>
            <w:tcW w:w="1960" w:type="dxa"/>
            <w:vAlign w:val="bottom"/>
            <w:gridSpan w:val="3"/>
          </w:tcPr>
          <w:p>
            <w:pPr>
              <w:jc w:val="right"/>
              <w:ind w:right="652"/>
              <w:spacing w:after="0"/>
              <w:rPr>
                <w:sz w:val="20"/>
                <w:szCs w:val="20"/>
                <w:color w:val="auto"/>
              </w:rPr>
            </w:pPr>
            <w:r>
              <w:rPr>
                <w:rFonts w:ascii="Arial" w:cs="Arial" w:eastAsia="Arial" w:hAnsi="Arial"/>
                <w:sz w:val="12"/>
                <w:szCs w:val="12"/>
                <w:color w:val="auto"/>
              </w:rPr>
              <w:t>$</w:t>
            </w:r>
          </w:p>
        </w:tc>
        <w:tc>
          <w:tcPr>
            <w:tcW w:w="500" w:type="dxa"/>
            <w:vAlign w:val="bottom"/>
          </w:tcPr>
          <w:p>
            <w:pPr>
              <w:jc w:val="right"/>
              <w:spacing w:after="0"/>
              <w:rPr>
                <w:sz w:val="20"/>
                <w:szCs w:val="20"/>
                <w:color w:val="auto"/>
              </w:rPr>
            </w:pPr>
            <w:r>
              <w:rPr>
                <w:rFonts w:ascii="Arial" w:cs="Arial" w:eastAsia="Arial" w:hAnsi="Arial"/>
                <w:sz w:val="12"/>
                <w:szCs w:val="12"/>
                <w:color w:val="auto"/>
                <w:w w:val="89"/>
              </w:rPr>
              <w:t>2,011,237</w:t>
            </w:r>
          </w:p>
        </w:tc>
        <w:tc>
          <w:tcPr>
            <w:tcW w:w="260" w:type="dxa"/>
            <w:vAlign w:val="bottom"/>
          </w:tcPr>
          <w:p>
            <w:pPr>
              <w:spacing w:after="0"/>
              <w:rPr>
                <w:sz w:val="13"/>
                <w:szCs w:val="13"/>
                <w:color w:val="auto"/>
              </w:rPr>
            </w:pPr>
          </w:p>
        </w:tc>
        <w:tc>
          <w:tcPr>
            <w:tcW w:w="980" w:type="dxa"/>
            <w:vAlign w:val="bottom"/>
          </w:tcPr>
          <w:p>
            <w:pPr>
              <w:jc w:val="right"/>
              <w:ind w:right="871"/>
              <w:spacing w:after="0"/>
              <w:rPr>
                <w:sz w:val="20"/>
                <w:szCs w:val="20"/>
                <w:color w:val="auto"/>
              </w:rPr>
            </w:pPr>
            <w:r>
              <w:rPr>
                <w:rFonts w:ascii="Arial" w:cs="Arial" w:eastAsia="Arial" w:hAnsi="Arial"/>
                <w:sz w:val="10"/>
                <w:szCs w:val="10"/>
                <w:color w:val="auto"/>
                <w:w w:val="71"/>
              </w:rPr>
              <w:t>$</w:t>
            </w:r>
          </w:p>
        </w:tc>
        <w:tc>
          <w:tcPr>
            <w:tcW w:w="180" w:type="dxa"/>
            <w:vAlign w:val="bottom"/>
          </w:tcPr>
          <w:p>
            <w:pPr>
              <w:ind w:left="60"/>
              <w:spacing w:after="0"/>
              <w:rPr>
                <w:sz w:val="20"/>
                <w:szCs w:val="20"/>
                <w:color w:val="auto"/>
              </w:rPr>
            </w:pPr>
            <w:r>
              <w:rPr>
                <w:rFonts w:ascii="Arial" w:cs="Arial" w:eastAsia="Arial" w:hAnsi="Arial"/>
                <w:sz w:val="12"/>
                <w:szCs w:val="12"/>
                <w:color w:val="auto"/>
                <w:w w:val="82"/>
              </w:rPr>
              <w:t>—</w:t>
            </w:r>
          </w:p>
        </w:tc>
        <w:tc>
          <w:tcPr>
            <w:tcW w:w="40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1100" w:type="dxa"/>
            <w:vAlign w:val="bottom"/>
          </w:tcPr>
          <w:p>
            <w:pPr>
              <w:jc w:val="right"/>
              <w:spacing w:after="0"/>
              <w:rPr>
                <w:sz w:val="20"/>
                <w:szCs w:val="20"/>
                <w:color w:val="auto"/>
              </w:rPr>
            </w:pPr>
            <w:r>
              <w:rPr>
                <w:rFonts w:ascii="Arial" w:cs="Arial" w:eastAsia="Arial" w:hAnsi="Arial"/>
                <w:sz w:val="12"/>
                <w:szCs w:val="12"/>
                <w:color w:val="auto"/>
              </w:rPr>
              <w:t>2,011,237</w:t>
            </w:r>
          </w:p>
        </w:tc>
        <w:tc>
          <w:tcPr>
            <w:tcW w:w="40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6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Senior secured notes - 6.00% , due April 15, 2023</w:t>
            </w:r>
          </w:p>
        </w:tc>
        <w:tc>
          <w:tcPr>
            <w:tcW w:w="10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540,375</w:t>
            </w:r>
          </w:p>
        </w:tc>
        <w:tc>
          <w:tcPr>
            <w:tcW w:w="26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180" w:type="dxa"/>
            <w:vAlign w:val="bottom"/>
            <w:shd w:val="clear" w:color="auto" w:fill="CFF0FC"/>
          </w:tcPr>
          <w:p>
            <w:pPr>
              <w:ind w:left="60"/>
              <w:spacing w:after="0"/>
              <w:rPr>
                <w:sz w:val="20"/>
                <w:szCs w:val="20"/>
                <w:color w:val="auto"/>
              </w:rPr>
            </w:pPr>
            <w:r>
              <w:rPr>
                <w:rFonts w:ascii="Arial" w:cs="Arial" w:eastAsia="Arial" w:hAnsi="Arial"/>
                <w:sz w:val="12"/>
                <w:szCs w:val="12"/>
                <w:color w:val="auto"/>
                <w:w w:val="82"/>
              </w:rPr>
              <w:t>—</w:t>
            </w:r>
          </w:p>
        </w:tc>
        <w:tc>
          <w:tcPr>
            <w:tcW w:w="2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540,375</w:t>
            </w:r>
          </w:p>
        </w:tc>
        <w:tc>
          <w:tcPr>
            <w:tcW w:w="2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660" w:type="dxa"/>
            <w:vAlign w:val="bottom"/>
          </w:tcPr>
          <w:p>
            <w:pPr>
              <w:ind w:left="160"/>
              <w:spacing w:after="0"/>
              <w:rPr>
                <w:sz w:val="20"/>
                <w:szCs w:val="20"/>
                <w:color w:val="auto"/>
              </w:rPr>
            </w:pPr>
            <w:r>
              <w:rPr>
                <w:rFonts w:ascii="Arial" w:cs="Arial" w:eastAsia="Arial" w:hAnsi="Arial"/>
                <w:sz w:val="12"/>
                <w:szCs w:val="12"/>
                <w:color w:val="auto"/>
              </w:rPr>
              <w:t>Senior unsecured notes - 8.25%, due October 15, 2023</w:t>
            </w: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w w:val="89"/>
              </w:rPr>
              <w:t>1,073,925</w:t>
            </w: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ind w:left="60"/>
              <w:spacing w:after="0"/>
              <w:rPr>
                <w:sz w:val="20"/>
                <w:szCs w:val="20"/>
                <w:color w:val="auto"/>
              </w:rPr>
            </w:pPr>
            <w:r>
              <w:rPr>
                <w:rFonts w:ascii="Arial" w:cs="Arial" w:eastAsia="Arial" w:hAnsi="Arial"/>
                <w:sz w:val="12"/>
                <w:szCs w:val="12"/>
                <w:color w:val="auto"/>
                <w:w w:val="82"/>
              </w:rPr>
              <w:t>—</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1,073,925</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6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Senior unsecured notes - 7.125%, due December 15, 2024</w:t>
            </w:r>
          </w:p>
        </w:tc>
        <w:tc>
          <w:tcPr>
            <w:tcW w:w="10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542,250</w:t>
            </w:r>
          </w:p>
        </w:tc>
        <w:tc>
          <w:tcPr>
            <w:tcW w:w="26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180" w:type="dxa"/>
            <w:vAlign w:val="bottom"/>
            <w:shd w:val="clear" w:color="auto" w:fill="CFF0FC"/>
          </w:tcPr>
          <w:p>
            <w:pPr>
              <w:ind w:left="60"/>
              <w:spacing w:after="0"/>
              <w:rPr>
                <w:sz w:val="20"/>
                <w:szCs w:val="20"/>
                <w:color w:val="auto"/>
              </w:rPr>
            </w:pPr>
            <w:r>
              <w:rPr>
                <w:rFonts w:ascii="Arial" w:cs="Arial" w:eastAsia="Arial" w:hAnsi="Arial"/>
                <w:sz w:val="12"/>
                <w:szCs w:val="12"/>
                <w:color w:val="auto"/>
                <w:w w:val="82"/>
              </w:rPr>
              <w:t>—</w:t>
            </w:r>
          </w:p>
        </w:tc>
        <w:tc>
          <w:tcPr>
            <w:tcW w:w="2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542,250</w:t>
            </w:r>
          </w:p>
        </w:tc>
        <w:tc>
          <w:tcPr>
            <w:tcW w:w="2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660" w:type="dxa"/>
            <w:vAlign w:val="bottom"/>
          </w:tcPr>
          <w:p>
            <w:pPr>
              <w:ind w:left="160"/>
              <w:spacing w:after="0"/>
              <w:rPr>
                <w:sz w:val="20"/>
                <w:szCs w:val="20"/>
                <w:color w:val="auto"/>
              </w:rPr>
            </w:pPr>
            <w:r>
              <w:rPr>
                <w:rFonts w:ascii="Arial" w:cs="Arial" w:eastAsia="Arial" w:hAnsi="Arial"/>
                <w:sz w:val="12"/>
                <w:szCs w:val="12"/>
                <w:color w:val="auto"/>
              </w:rPr>
              <w:t>Senior secured revolving credit facility, variable rate, due April 24, 2020</w:t>
            </w: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279,972</w:t>
            </w: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ind w:left="60"/>
              <w:spacing w:after="0"/>
              <w:rPr>
                <w:sz w:val="20"/>
                <w:szCs w:val="20"/>
                <w:color w:val="auto"/>
              </w:rPr>
            </w:pPr>
            <w:r>
              <w:rPr>
                <w:rFonts w:ascii="Arial" w:cs="Arial" w:eastAsia="Arial" w:hAnsi="Arial"/>
                <w:sz w:val="12"/>
                <w:szCs w:val="12"/>
                <w:color w:val="auto"/>
                <w:w w:val="82"/>
              </w:rPr>
              <w:t>—</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279,972</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6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Contingent consideration</w:t>
            </w:r>
          </w:p>
        </w:tc>
        <w:tc>
          <w:tcPr>
            <w:tcW w:w="10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60" w:type="dxa"/>
            <w:vAlign w:val="bottom"/>
            <w:tcBorders>
              <w:bottom w:val="single" w:sz="8" w:color="auto"/>
            </w:tcBorders>
            <w:shd w:val="clear" w:color="auto" w:fill="CFF0FC"/>
          </w:tcPr>
          <w:p>
            <w:pPr>
              <w:spacing w:after="0"/>
              <w:rPr>
                <w:sz w:val="13"/>
                <w:szCs w:val="13"/>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105,762</w:t>
            </w:r>
          </w:p>
        </w:tc>
        <w:tc>
          <w:tcPr>
            <w:tcW w:w="260" w:type="dxa"/>
            <w:vAlign w:val="bottom"/>
            <w:shd w:val="clear" w:color="auto" w:fill="CFF0FC"/>
          </w:tcPr>
          <w:p>
            <w:pPr>
              <w:spacing w:after="0"/>
              <w:rPr>
                <w:sz w:val="13"/>
                <w:szCs w:val="13"/>
                <w:color w:val="auto"/>
              </w:rPr>
            </w:pPr>
          </w:p>
        </w:tc>
        <w:tc>
          <w:tcPr>
            <w:tcW w:w="980" w:type="dxa"/>
            <w:vAlign w:val="bottom"/>
            <w:tcBorders>
              <w:bottom w:val="single" w:sz="8" w:color="auto"/>
            </w:tcBorders>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2"/>
                <w:szCs w:val="12"/>
                <w:color w:val="auto"/>
                <w:w w:val="82"/>
              </w:rPr>
              <w:t>—</w:t>
            </w:r>
          </w:p>
        </w:tc>
        <w:tc>
          <w:tcPr>
            <w:tcW w:w="26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6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105,762</w:t>
            </w: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660" w:type="dxa"/>
            <w:vAlign w:val="bottom"/>
          </w:tcPr>
          <w:p>
            <w:pPr>
              <w:spacing w:after="0"/>
              <w:rPr>
                <w:sz w:val="20"/>
                <w:szCs w:val="20"/>
                <w:color w:val="auto"/>
              </w:rPr>
            </w:pPr>
            <w:r>
              <w:rPr>
                <w:rFonts w:ascii="Arial" w:cs="Arial" w:eastAsia="Arial" w:hAnsi="Arial"/>
                <w:sz w:val="12"/>
                <w:szCs w:val="12"/>
                <w:color w:val="auto"/>
              </w:rPr>
              <w:t>Total</w:t>
            </w:r>
          </w:p>
        </w:tc>
        <w:tc>
          <w:tcPr>
            <w:tcW w:w="1960" w:type="dxa"/>
            <w:vAlign w:val="bottom"/>
            <w:gridSpan w:val="3"/>
          </w:tcPr>
          <w:p>
            <w:pPr>
              <w:jc w:val="right"/>
              <w:ind w:right="652"/>
              <w:spacing w:after="0"/>
              <w:rPr>
                <w:sz w:val="20"/>
                <w:szCs w:val="20"/>
                <w:color w:val="auto"/>
              </w:rPr>
            </w:pPr>
            <w:r>
              <w:rPr>
                <w:rFonts w:ascii="Arial" w:cs="Arial" w:eastAsia="Arial" w:hAnsi="Arial"/>
                <w:sz w:val="12"/>
                <w:szCs w:val="12"/>
                <w:color w:val="auto"/>
              </w:rPr>
              <w:t>$</w:t>
            </w:r>
          </w:p>
        </w:tc>
        <w:tc>
          <w:tcPr>
            <w:tcW w:w="500" w:type="dxa"/>
            <w:vAlign w:val="bottom"/>
          </w:tcPr>
          <w:p>
            <w:pPr>
              <w:jc w:val="right"/>
              <w:spacing w:after="0"/>
              <w:rPr>
                <w:sz w:val="20"/>
                <w:szCs w:val="20"/>
                <w:color w:val="auto"/>
              </w:rPr>
            </w:pPr>
            <w:r>
              <w:rPr>
                <w:rFonts w:ascii="Arial" w:cs="Arial" w:eastAsia="Arial" w:hAnsi="Arial"/>
                <w:sz w:val="12"/>
                <w:szCs w:val="12"/>
                <w:color w:val="auto"/>
                <w:w w:val="89"/>
              </w:rPr>
              <w:t>4,553,521</w:t>
            </w:r>
          </w:p>
        </w:tc>
        <w:tc>
          <w:tcPr>
            <w:tcW w:w="260" w:type="dxa"/>
            <w:vAlign w:val="bottom"/>
          </w:tcPr>
          <w:p>
            <w:pPr>
              <w:spacing w:after="0"/>
              <w:rPr>
                <w:sz w:val="12"/>
                <w:szCs w:val="12"/>
                <w:color w:val="auto"/>
              </w:rPr>
            </w:pPr>
          </w:p>
        </w:tc>
        <w:tc>
          <w:tcPr>
            <w:tcW w:w="980" w:type="dxa"/>
            <w:vAlign w:val="bottom"/>
          </w:tcPr>
          <w:p>
            <w:pPr>
              <w:jc w:val="right"/>
              <w:ind w:right="871"/>
              <w:spacing w:after="0"/>
              <w:rPr>
                <w:sz w:val="20"/>
                <w:szCs w:val="20"/>
                <w:color w:val="auto"/>
              </w:rPr>
            </w:pPr>
            <w:r>
              <w:rPr>
                <w:rFonts w:ascii="Arial" w:cs="Arial" w:eastAsia="Arial" w:hAnsi="Arial"/>
                <w:sz w:val="10"/>
                <w:szCs w:val="10"/>
                <w:color w:val="auto"/>
                <w:w w:val="71"/>
              </w:rPr>
              <w:t>$</w:t>
            </w:r>
          </w:p>
        </w:tc>
        <w:tc>
          <w:tcPr>
            <w:tcW w:w="180" w:type="dxa"/>
            <w:vAlign w:val="bottom"/>
          </w:tcPr>
          <w:p>
            <w:pPr>
              <w:ind w:left="60"/>
              <w:spacing w:after="0"/>
              <w:rPr>
                <w:sz w:val="20"/>
                <w:szCs w:val="20"/>
                <w:color w:val="auto"/>
              </w:rPr>
            </w:pPr>
            <w:r>
              <w:rPr>
                <w:rFonts w:ascii="Arial" w:cs="Arial" w:eastAsia="Arial" w:hAnsi="Arial"/>
                <w:sz w:val="12"/>
                <w:szCs w:val="12"/>
                <w:color w:val="auto"/>
                <w:w w:val="82"/>
              </w:rPr>
              <w:t>—</w:t>
            </w:r>
          </w:p>
        </w:tc>
        <w:tc>
          <w:tcPr>
            <w:tcW w:w="40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1100" w:type="dxa"/>
            <w:vAlign w:val="bottom"/>
          </w:tcPr>
          <w:p>
            <w:pPr>
              <w:jc w:val="right"/>
              <w:spacing w:after="0"/>
              <w:rPr>
                <w:sz w:val="20"/>
                <w:szCs w:val="20"/>
                <w:color w:val="auto"/>
              </w:rPr>
            </w:pPr>
            <w:r>
              <w:rPr>
                <w:rFonts w:ascii="Arial" w:cs="Arial" w:eastAsia="Arial" w:hAnsi="Arial"/>
                <w:sz w:val="12"/>
                <w:szCs w:val="12"/>
                <w:color w:val="auto"/>
              </w:rPr>
              <w:t>4,447,759</w:t>
            </w:r>
          </w:p>
        </w:tc>
        <w:tc>
          <w:tcPr>
            <w:tcW w:w="40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105,762</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8"/>
        </w:trPr>
        <w:tc>
          <w:tcPr>
            <w:tcW w:w="4660" w:type="dxa"/>
            <w:vAlign w:val="bottom"/>
          </w:tcPr>
          <w:p>
            <w:pPr>
              <w:spacing w:after="0"/>
              <w:rPr>
                <w:sz w:val="24"/>
                <w:szCs w:val="24"/>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2"/>
                <w:szCs w:val="12"/>
                <w:color w:val="auto"/>
              </w:rPr>
              <w:t>71</w:t>
            </w:r>
          </w:p>
        </w:tc>
        <w:tc>
          <w:tcPr>
            <w:tcW w:w="76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46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760" w:type="dxa"/>
            <w:vAlign w:val="bottom"/>
            <w:tcBorders>
              <w:bottom w:val="single" w:sz="8" w:color="9A9A9A"/>
            </w:tcBorders>
          </w:tcPr>
          <w:p>
            <w:pPr>
              <w:spacing w:after="0"/>
              <w:rPr>
                <w:sz w:val="6"/>
                <w:szCs w:val="6"/>
                <w:color w:val="auto"/>
              </w:rPr>
            </w:pPr>
          </w:p>
        </w:tc>
        <w:tc>
          <w:tcPr>
            <w:tcW w:w="50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92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7280275</wp:posOffset>
            </wp:positionH>
            <wp:positionV relativeFrom="paragraph">
              <wp:posOffset>-23495</wp:posOffset>
            </wp:positionV>
            <wp:extent cx="31115" cy="368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0"/>
          </w:cols>
          <w:pgMar w:left="220" w:top="131" w:right="179" w:bottom="1440" w:gutter="0" w:footer="0" w:header="0"/>
        </w:sectPr>
      </w:pPr>
    </w:p>
    <w:bookmarkStart w:id="71" w:name="page72"/>
    <w:bookmarkEnd w:id="71"/>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Uniti Group Inc.</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the Consolidated Financial Statements – Continued</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jc w:val="center"/>
              <w:ind w:left="131"/>
              <w:spacing w:after="0"/>
              <w:rPr>
                <w:sz w:val="20"/>
                <w:szCs w:val="20"/>
                <w:color w:val="auto"/>
              </w:rPr>
            </w:pPr>
            <w:r>
              <w:rPr>
                <w:rFonts w:ascii="Arial" w:cs="Arial" w:eastAsia="Arial" w:hAnsi="Arial"/>
                <w:sz w:val="10"/>
                <w:szCs w:val="10"/>
                <w:b w:val="1"/>
                <w:bCs w:val="1"/>
                <w:color w:val="auto"/>
                <w:w w:val="85"/>
              </w:rPr>
              <w:t>Quoted Prices in</w:t>
            </w: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tcPr>
          <w:p>
            <w:pPr>
              <w:jc w:val="center"/>
              <w:ind w:right="84"/>
              <w:spacing w:after="0"/>
              <w:rPr>
                <w:sz w:val="20"/>
                <w:szCs w:val="20"/>
                <w:color w:val="auto"/>
              </w:rPr>
            </w:pPr>
            <w:r>
              <w:rPr>
                <w:rFonts w:ascii="Arial" w:cs="Arial" w:eastAsia="Arial" w:hAnsi="Arial"/>
                <w:sz w:val="10"/>
                <w:szCs w:val="10"/>
                <w:b w:val="1"/>
                <w:bCs w:val="1"/>
                <w:color w:val="auto"/>
                <w:w w:val="87"/>
              </w:rPr>
              <w:t>Prices with Other</w:t>
            </w: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99"/>
        </w:trPr>
        <w:tc>
          <w:tcPr>
            <w:tcW w:w="5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980" w:type="dxa"/>
            <w:vAlign w:val="bottom"/>
          </w:tcPr>
          <w:p>
            <w:pPr>
              <w:spacing w:after="0"/>
              <w:rPr>
                <w:sz w:val="8"/>
                <w:szCs w:val="8"/>
                <w:color w:val="auto"/>
              </w:rPr>
            </w:pPr>
          </w:p>
        </w:tc>
        <w:tc>
          <w:tcPr>
            <w:tcW w:w="260" w:type="dxa"/>
            <w:vAlign w:val="bottom"/>
          </w:tcPr>
          <w:p>
            <w:pPr>
              <w:spacing w:after="0"/>
              <w:rPr>
                <w:sz w:val="8"/>
                <w:szCs w:val="8"/>
                <w:color w:val="auto"/>
              </w:rPr>
            </w:pPr>
          </w:p>
        </w:tc>
        <w:tc>
          <w:tcPr>
            <w:tcW w:w="980" w:type="dxa"/>
            <w:vAlign w:val="bottom"/>
          </w:tcPr>
          <w:p>
            <w:pPr>
              <w:jc w:val="center"/>
              <w:ind w:left="131"/>
              <w:spacing w:after="0" w:line="99" w:lineRule="exact"/>
              <w:rPr>
                <w:sz w:val="20"/>
                <w:szCs w:val="20"/>
                <w:color w:val="auto"/>
              </w:rPr>
            </w:pPr>
            <w:r>
              <w:rPr>
                <w:rFonts w:ascii="Arial" w:cs="Arial" w:eastAsia="Arial" w:hAnsi="Arial"/>
                <w:sz w:val="10"/>
                <w:szCs w:val="10"/>
                <w:b w:val="1"/>
                <w:bCs w:val="1"/>
                <w:color w:val="auto"/>
                <w:w w:val="90"/>
              </w:rPr>
              <w:t>Active Markets</w:t>
            </w: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jc w:val="center"/>
              <w:ind w:right="84"/>
              <w:spacing w:after="0" w:line="99" w:lineRule="exact"/>
              <w:rPr>
                <w:sz w:val="20"/>
                <w:szCs w:val="20"/>
                <w:color w:val="auto"/>
              </w:rPr>
            </w:pPr>
            <w:r>
              <w:rPr>
                <w:rFonts w:ascii="Arial" w:cs="Arial" w:eastAsia="Arial" w:hAnsi="Arial"/>
                <w:sz w:val="10"/>
                <w:szCs w:val="10"/>
                <w:b w:val="1"/>
                <w:bCs w:val="1"/>
                <w:color w:val="auto"/>
                <w:w w:val="87"/>
              </w:rPr>
              <w:t>Observable Inputs</w:t>
            </w:r>
          </w:p>
        </w:tc>
        <w:tc>
          <w:tcPr>
            <w:tcW w:w="1440" w:type="dxa"/>
            <w:vAlign w:val="bottom"/>
            <w:gridSpan w:val="4"/>
          </w:tcPr>
          <w:p>
            <w:pPr>
              <w:ind w:left="260"/>
              <w:spacing w:after="0" w:line="99" w:lineRule="exact"/>
              <w:rPr>
                <w:sz w:val="20"/>
                <w:szCs w:val="20"/>
                <w:color w:val="auto"/>
              </w:rPr>
            </w:pPr>
            <w:r>
              <w:rPr>
                <w:rFonts w:ascii="Arial" w:cs="Arial" w:eastAsia="Arial" w:hAnsi="Arial"/>
                <w:sz w:val="10"/>
                <w:szCs w:val="10"/>
                <w:b w:val="1"/>
                <w:bCs w:val="1"/>
                <w:color w:val="auto"/>
                <w:w w:val="95"/>
              </w:rPr>
              <w:t>Prices with Unobservable</w:t>
            </w:r>
          </w:p>
        </w:tc>
      </w:tr>
      <w:tr>
        <w:trPr>
          <w:trHeight w:val="114"/>
        </w:trPr>
        <w:tc>
          <w:tcPr>
            <w:tcW w:w="5700" w:type="dxa"/>
            <w:vAlign w:val="bottom"/>
            <w:tcBorders>
              <w:bottom w:val="single" w:sz="8" w:color="auto"/>
            </w:tcBorders>
          </w:tcPr>
          <w:p>
            <w:pPr>
              <w:spacing w:after="0" w:line="114" w:lineRule="exact"/>
              <w:rPr>
                <w:sz w:val="20"/>
                <w:szCs w:val="20"/>
                <w:color w:val="auto"/>
              </w:rPr>
            </w:pPr>
            <w:r>
              <w:rPr>
                <w:rFonts w:ascii="Arial" w:cs="Arial" w:eastAsia="Arial" w:hAnsi="Arial"/>
                <w:sz w:val="10"/>
                <w:szCs w:val="10"/>
                <w:color w:val="auto"/>
              </w:rPr>
              <w:t>(Thousands)</w:t>
            </w:r>
          </w:p>
        </w:tc>
        <w:tc>
          <w:tcPr>
            <w:tcW w:w="160" w:type="dxa"/>
            <w:vAlign w:val="bottom"/>
            <w:tcBorders>
              <w:bottom w:val="single" w:sz="8" w:color="CFF0FC"/>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jc w:val="right"/>
              <w:ind w:right="461"/>
              <w:spacing w:after="0" w:line="114" w:lineRule="exact"/>
              <w:rPr>
                <w:sz w:val="20"/>
                <w:szCs w:val="20"/>
                <w:color w:val="auto"/>
              </w:rPr>
            </w:pPr>
            <w:r>
              <w:rPr>
                <w:rFonts w:ascii="Arial" w:cs="Arial" w:eastAsia="Arial" w:hAnsi="Arial"/>
                <w:sz w:val="10"/>
                <w:szCs w:val="10"/>
                <w:b w:val="1"/>
                <w:bCs w:val="1"/>
                <w:color w:val="auto"/>
              </w:rPr>
              <w:t>Total</w:t>
            </w:r>
          </w:p>
        </w:tc>
        <w:tc>
          <w:tcPr>
            <w:tcW w:w="260" w:type="dxa"/>
            <w:vAlign w:val="bottom"/>
            <w:tcBorders>
              <w:bottom w:val="single" w:sz="8" w:color="CFF0FC"/>
            </w:tcBorders>
          </w:tcPr>
          <w:p>
            <w:pPr>
              <w:spacing w:after="0"/>
              <w:rPr>
                <w:sz w:val="9"/>
                <w:szCs w:val="9"/>
                <w:color w:val="auto"/>
              </w:rPr>
            </w:pPr>
          </w:p>
        </w:tc>
        <w:tc>
          <w:tcPr>
            <w:tcW w:w="980" w:type="dxa"/>
            <w:vAlign w:val="bottom"/>
            <w:tcBorders>
              <w:bottom w:val="single" w:sz="8" w:color="auto"/>
            </w:tcBorders>
          </w:tcPr>
          <w:p>
            <w:pPr>
              <w:jc w:val="center"/>
              <w:ind w:left="131"/>
              <w:spacing w:after="0" w:line="114" w:lineRule="exact"/>
              <w:rPr>
                <w:sz w:val="20"/>
                <w:szCs w:val="20"/>
                <w:color w:val="auto"/>
              </w:rPr>
            </w:pPr>
            <w:r>
              <w:rPr>
                <w:rFonts w:ascii="Arial" w:cs="Arial" w:eastAsia="Arial" w:hAnsi="Arial"/>
                <w:sz w:val="10"/>
                <w:szCs w:val="10"/>
                <w:b w:val="1"/>
                <w:bCs w:val="1"/>
                <w:color w:val="auto"/>
                <w:w w:val="88"/>
              </w:rPr>
              <w:t>(Level 1)</w:t>
            </w:r>
          </w:p>
        </w:tc>
        <w:tc>
          <w:tcPr>
            <w:tcW w:w="180" w:type="dxa"/>
            <w:vAlign w:val="bottom"/>
            <w:tcBorders>
              <w:bottom w:val="single" w:sz="8" w:color="auto"/>
            </w:tcBorders>
          </w:tcPr>
          <w:p>
            <w:pPr>
              <w:spacing w:after="0"/>
              <w:rPr>
                <w:sz w:val="9"/>
                <w:szCs w:val="9"/>
                <w:color w:val="auto"/>
              </w:rPr>
            </w:pPr>
          </w:p>
        </w:tc>
        <w:tc>
          <w:tcPr>
            <w:tcW w:w="260" w:type="dxa"/>
            <w:vAlign w:val="bottom"/>
            <w:tcBorders>
              <w:bottom w:val="single" w:sz="8" w:color="CFF0FC"/>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jc w:val="center"/>
              <w:ind w:right="84"/>
              <w:spacing w:after="0" w:line="114" w:lineRule="exact"/>
              <w:rPr>
                <w:sz w:val="20"/>
                <w:szCs w:val="20"/>
                <w:color w:val="auto"/>
              </w:rPr>
            </w:pPr>
            <w:r>
              <w:rPr>
                <w:rFonts w:ascii="Arial" w:cs="Arial" w:eastAsia="Arial" w:hAnsi="Arial"/>
                <w:sz w:val="10"/>
                <w:szCs w:val="10"/>
                <w:b w:val="1"/>
                <w:bCs w:val="1"/>
                <w:color w:val="auto"/>
                <w:w w:val="88"/>
              </w:rPr>
              <w:t>(Level 2)</w:t>
            </w:r>
          </w:p>
        </w:tc>
        <w:tc>
          <w:tcPr>
            <w:tcW w:w="260" w:type="dxa"/>
            <w:vAlign w:val="bottom"/>
            <w:tcBorders>
              <w:bottom w:val="single" w:sz="8" w:color="CFF0FC"/>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jc w:val="right"/>
              <w:ind w:right="141"/>
              <w:spacing w:after="0" w:line="114" w:lineRule="exact"/>
              <w:rPr>
                <w:sz w:val="20"/>
                <w:szCs w:val="20"/>
                <w:color w:val="auto"/>
              </w:rPr>
            </w:pPr>
            <w:r>
              <w:rPr>
                <w:rFonts w:ascii="Arial" w:cs="Arial" w:eastAsia="Arial" w:hAnsi="Arial"/>
                <w:sz w:val="10"/>
                <w:szCs w:val="10"/>
                <w:b w:val="1"/>
                <w:bCs w:val="1"/>
                <w:color w:val="auto"/>
                <w:w w:val="95"/>
              </w:rPr>
              <w:t>Inputs (Level 3)</w:t>
            </w:r>
          </w:p>
        </w:tc>
        <w:tc>
          <w:tcPr>
            <w:tcW w:w="120" w:type="dxa"/>
            <w:vAlign w:val="bottom"/>
            <w:tcBorders>
              <w:bottom w:val="single" w:sz="8" w:color="CFF0FC"/>
            </w:tcBorders>
          </w:tcPr>
          <w:p>
            <w:pPr>
              <w:spacing w:after="0"/>
              <w:rPr>
                <w:sz w:val="9"/>
                <w:szCs w:val="9"/>
                <w:color w:val="auto"/>
              </w:rPr>
            </w:pPr>
          </w:p>
        </w:tc>
      </w:tr>
      <w:tr>
        <w:trPr>
          <w:trHeight w:val="142"/>
        </w:trPr>
        <w:tc>
          <w:tcPr>
            <w:tcW w:w="586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At December 31, 2016</w:t>
            </w:r>
          </w:p>
        </w:tc>
        <w:tc>
          <w:tcPr>
            <w:tcW w:w="28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53"/>
        </w:trPr>
        <w:tc>
          <w:tcPr>
            <w:tcW w:w="5860" w:type="dxa"/>
            <w:vAlign w:val="bottom"/>
            <w:gridSpan w:val="2"/>
          </w:tcPr>
          <w:p>
            <w:pPr>
              <w:spacing w:after="0"/>
              <w:rPr>
                <w:sz w:val="20"/>
                <w:szCs w:val="20"/>
                <w:color w:val="auto"/>
              </w:rPr>
            </w:pPr>
            <w:r>
              <w:rPr>
                <w:rFonts w:ascii="Arial" w:cs="Arial" w:eastAsia="Arial" w:hAnsi="Arial"/>
                <w:sz w:val="12"/>
                <w:szCs w:val="12"/>
                <w:color w:val="auto"/>
              </w:rPr>
              <w:t>Liabilities</w:t>
            </w: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3"/>
        </w:trPr>
        <w:tc>
          <w:tcPr>
            <w:tcW w:w="586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Senior secured term loan B - variable rate, due October 24, 2022</w:t>
            </w:r>
          </w:p>
        </w:tc>
        <w:tc>
          <w:tcPr>
            <w:tcW w:w="280" w:type="dxa"/>
            <w:vAlign w:val="bottom"/>
            <w:shd w:val="clear" w:color="auto" w:fill="CFF0FC"/>
          </w:tcPr>
          <w:p>
            <w:pPr>
              <w:jc w:val="right"/>
              <w:ind w:right="170"/>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2,139,586</w:t>
            </w:r>
          </w:p>
        </w:tc>
        <w:tc>
          <w:tcPr>
            <w:tcW w:w="260" w:type="dxa"/>
            <w:vAlign w:val="bottom"/>
            <w:shd w:val="clear" w:color="auto" w:fill="CFF0FC"/>
          </w:tcPr>
          <w:p>
            <w:pPr>
              <w:spacing w:after="0"/>
              <w:rPr>
                <w:sz w:val="13"/>
                <w:szCs w:val="13"/>
                <w:color w:val="auto"/>
              </w:rPr>
            </w:pPr>
          </w:p>
        </w:tc>
        <w:tc>
          <w:tcPr>
            <w:tcW w:w="980" w:type="dxa"/>
            <w:vAlign w:val="bottom"/>
            <w:shd w:val="clear" w:color="auto" w:fill="CFF0FC"/>
          </w:tcPr>
          <w:p>
            <w:pPr>
              <w:jc w:val="right"/>
              <w:ind w:right="871"/>
              <w:spacing w:after="0"/>
              <w:rPr>
                <w:sz w:val="20"/>
                <w:szCs w:val="20"/>
                <w:color w:val="auto"/>
              </w:rPr>
            </w:pPr>
            <w:r>
              <w:rPr>
                <w:rFonts w:ascii="Arial" w:cs="Arial" w:eastAsia="Arial" w:hAnsi="Arial"/>
                <w:sz w:val="10"/>
                <w:szCs w:val="10"/>
                <w:color w:val="auto"/>
                <w:w w:val="71"/>
              </w:rPr>
              <w:t>$</w:t>
            </w:r>
          </w:p>
        </w:tc>
        <w:tc>
          <w:tcPr>
            <w:tcW w:w="180" w:type="dxa"/>
            <w:vAlign w:val="bottom"/>
            <w:shd w:val="clear" w:color="auto" w:fill="CFF0FC"/>
          </w:tcPr>
          <w:p>
            <w:pPr>
              <w:ind w:left="60"/>
              <w:spacing w:after="0"/>
              <w:rPr>
                <w:sz w:val="20"/>
                <w:szCs w:val="20"/>
                <w:color w:val="auto"/>
              </w:rPr>
            </w:pPr>
            <w:r>
              <w:rPr>
                <w:rFonts w:ascii="Arial" w:cs="Arial" w:eastAsia="Arial" w:hAnsi="Arial"/>
                <w:sz w:val="12"/>
                <w:szCs w:val="12"/>
                <w:color w:val="auto"/>
                <w:w w:val="82"/>
              </w:rPr>
              <w:t>—</w:t>
            </w:r>
          </w:p>
        </w:tc>
        <w:tc>
          <w:tcPr>
            <w:tcW w:w="400" w:type="dxa"/>
            <w:vAlign w:val="bottom"/>
            <w:gridSpan w:val="2"/>
            <w:shd w:val="clear" w:color="auto" w:fill="CFF0FC"/>
          </w:tcPr>
          <w:p>
            <w:pPr>
              <w:jc w:val="right"/>
              <w:ind w:right="30"/>
              <w:spacing w:after="0"/>
              <w:rPr>
                <w:sz w:val="20"/>
                <w:szCs w:val="20"/>
                <w:color w:val="auto"/>
              </w:rPr>
            </w:pPr>
            <w:r>
              <w:rPr>
                <w:rFonts w:ascii="Arial" w:cs="Arial" w:eastAsia="Arial" w:hAnsi="Arial"/>
                <w:sz w:val="12"/>
                <w:szCs w:val="12"/>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2,139,586</w:t>
            </w:r>
          </w:p>
        </w:tc>
        <w:tc>
          <w:tcPr>
            <w:tcW w:w="400" w:type="dxa"/>
            <w:vAlign w:val="bottom"/>
            <w:gridSpan w:val="2"/>
            <w:shd w:val="clear" w:color="auto" w:fill="CFF0FC"/>
          </w:tcPr>
          <w:p>
            <w:pPr>
              <w:ind w:left="260"/>
              <w:spacing w:after="0"/>
              <w:rPr>
                <w:sz w:val="20"/>
                <w:szCs w:val="20"/>
                <w:color w:val="auto"/>
              </w:rPr>
            </w:pPr>
            <w:r>
              <w:rPr>
                <w:rFonts w:ascii="Arial" w:cs="Arial" w:eastAsia="Arial" w:hAnsi="Arial"/>
                <w:sz w:val="12"/>
                <w:szCs w:val="12"/>
                <w:color w:val="auto"/>
              </w:rPr>
              <w:t>$</w:t>
            </w: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r>
      <w:tr>
        <w:trPr>
          <w:trHeight w:val="153"/>
        </w:trPr>
        <w:tc>
          <w:tcPr>
            <w:tcW w:w="5860" w:type="dxa"/>
            <w:vAlign w:val="bottom"/>
            <w:gridSpan w:val="2"/>
          </w:tcPr>
          <w:p>
            <w:pPr>
              <w:ind w:left="160"/>
              <w:spacing w:after="0"/>
              <w:rPr>
                <w:sz w:val="20"/>
                <w:szCs w:val="20"/>
                <w:color w:val="auto"/>
              </w:rPr>
            </w:pPr>
            <w:r>
              <w:rPr>
                <w:rFonts w:ascii="Arial" w:cs="Arial" w:eastAsia="Arial" w:hAnsi="Arial"/>
                <w:sz w:val="12"/>
                <w:szCs w:val="12"/>
                <w:color w:val="auto"/>
              </w:rPr>
              <w:t>Senior secured notes - 6.00% , due April 15, 2023</w:t>
            </w:r>
          </w:p>
        </w:tc>
        <w:tc>
          <w:tcPr>
            <w:tcW w:w="2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569,250</w:t>
            </w: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ind w:left="60"/>
              <w:spacing w:after="0"/>
              <w:rPr>
                <w:sz w:val="20"/>
                <w:szCs w:val="20"/>
                <w:color w:val="auto"/>
              </w:rPr>
            </w:pPr>
            <w:r>
              <w:rPr>
                <w:rFonts w:ascii="Arial" w:cs="Arial" w:eastAsia="Arial" w:hAnsi="Arial"/>
                <w:sz w:val="12"/>
                <w:szCs w:val="12"/>
                <w:color w:val="auto"/>
                <w:w w:val="82"/>
              </w:rPr>
              <w:t>—</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569,250</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r>
      <w:tr>
        <w:trPr>
          <w:trHeight w:val="153"/>
        </w:trPr>
        <w:tc>
          <w:tcPr>
            <w:tcW w:w="586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Senior unsecured notes - 8.25%, due October 15, 2023</w:t>
            </w:r>
          </w:p>
        </w:tc>
        <w:tc>
          <w:tcPr>
            <w:tcW w:w="28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1,176,600</w:t>
            </w:r>
          </w:p>
        </w:tc>
        <w:tc>
          <w:tcPr>
            <w:tcW w:w="26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180" w:type="dxa"/>
            <w:vAlign w:val="bottom"/>
            <w:shd w:val="clear" w:color="auto" w:fill="CFF0FC"/>
          </w:tcPr>
          <w:p>
            <w:pPr>
              <w:ind w:left="60"/>
              <w:spacing w:after="0"/>
              <w:rPr>
                <w:sz w:val="20"/>
                <w:szCs w:val="20"/>
                <w:color w:val="auto"/>
              </w:rPr>
            </w:pPr>
            <w:r>
              <w:rPr>
                <w:rFonts w:ascii="Arial" w:cs="Arial" w:eastAsia="Arial" w:hAnsi="Arial"/>
                <w:sz w:val="12"/>
                <w:szCs w:val="12"/>
                <w:color w:val="auto"/>
                <w:w w:val="82"/>
              </w:rPr>
              <w:t>—</w:t>
            </w:r>
          </w:p>
        </w:tc>
        <w:tc>
          <w:tcPr>
            <w:tcW w:w="2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1,176,600</w:t>
            </w:r>
          </w:p>
        </w:tc>
        <w:tc>
          <w:tcPr>
            <w:tcW w:w="2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r>
      <w:tr>
        <w:trPr>
          <w:trHeight w:val="153"/>
        </w:trPr>
        <w:tc>
          <w:tcPr>
            <w:tcW w:w="5860" w:type="dxa"/>
            <w:vAlign w:val="bottom"/>
            <w:gridSpan w:val="2"/>
          </w:tcPr>
          <w:p>
            <w:pPr>
              <w:ind w:left="160"/>
              <w:spacing w:after="0"/>
              <w:rPr>
                <w:sz w:val="20"/>
                <w:szCs w:val="20"/>
                <w:color w:val="auto"/>
              </w:rPr>
            </w:pPr>
            <w:r>
              <w:rPr>
                <w:rFonts w:ascii="Arial" w:cs="Arial" w:eastAsia="Arial" w:hAnsi="Arial"/>
                <w:sz w:val="12"/>
                <w:szCs w:val="12"/>
                <w:color w:val="auto"/>
              </w:rPr>
              <w:t>Senior unsecured notes - 7.125%, due December 15, 2024</w:t>
            </w:r>
          </w:p>
        </w:tc>
        <w:tc>
          <w:tcPr>
            <w:tcW w:w="2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404,000</w:t>
            </w: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ind w:left="60"/>
              <w:spacing w:after="0"/>
              <w:rPr>
                <w:sz w:val="20"/>
                <w:szCs w:val="20"/>
                <w:color w:val="auto"/>
              </w:rPr>
            </w:pPr>
            <w:r>
              <w:rPr>
                <w:rFonts w:ascii="Arial" w:cs="Arial" w:eastAsia="Arial" w:hAnsi="Arial"/>
                <w:sz w:val="12"/>
                <w:szCs w:val="12"/>
                <w:color w:val="auto"/>
                <w:w w:val="82"/>
              </w:rPr>
              <w:t>—</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404,000</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r>
      <w:tr>
        <w:trPr>
          <w:trHeight w:val="153"/>
        </w:trPr>
        <w:tc>
          <w:tcPr>
            <w:tcW w:w="586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Derivative liability</w:t>
            </w:r>
          </w:p>
        </w:tc>
        <w:tc>
          <w:tcPr>
            <w:tcW w:w="28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6,102</w:t>
            </w:r>
          </w:p>
        </w:tc>
        <w:tc>
          <w:tcPr>
            <w:tcW w:w="26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180" w:type="dxa"/>
            <w:vAlign w:val="bottom"/>
            <w:shd w:val="clear" w:color="auto" w:fill="CFF0FC"/>
          </w:tcPr>
          <w:p>
            <w:pPr>
              <w:ind w:left="60"/>
              <w:spacing w:after="0"/>
              <w:rPr>
                <w:sz w:val="20"/>
                <w:szCs w:val="20"/>
                <w:color w:val="auto"/>
              </w:rPr>
            </w:pPr>
            <w:r>
              <w:rPr>
                <w:rFonts w:ascii="Arial" w:cs="Arial" w:eastAsia="Arial" w:hAnsi="Arial"/>
                <w:sz w:val="12"/>
                <w:szCs w:val="12"/>
                <w:color w:val="auto"/>
                <w:w w:val="82"/>
              </w:rPr>
              <w:t>—</w:t>
            </w:r>
          </w:p>
        </w:tc>
        <w:tc>
          <w:tcPr>
            <w:tcW w:w="2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6,102</w:t>
            </w:r>
          </w:p>
        </w:tc>
        <w:tc>
          <w:tcPr>
            <w:tcW w:w="2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r>
      <w:tr>
        <w:trPr>
          <w:trHeight w:val="153"/>
        </w:trPr>
        <w:tc>
          <w:tcPr>
            <w:tcW w:w="5860" w:type="dxa"/>
            <w:vAlign w:val="bottom"/>
            <w:tcBorders>
              <w:bottom w:val="single" w:sz="8" w:color="CFF0FC"/>
            </w:tcBorders>
            <w:gridSpan w:val="2"/>
          </w:tcPr>
          <w:p>
            <w:pPr>
              <w:ind w:left="160"/>
              <w:spacing w:after="0"/>
              <w:rPr>
                <w:sz w:val="20"/>
                <w:szCs w:val="20"/>
                <w:color w:val="auto"/>
              </w:rPr>
            </w:pPr>
            <w:r>
              <w:rPr>
                <w:rFonts w:ascii="Arial" w:cs="Arial" w:eastAsia="Arial" w:hAnsi="Arial"/>
                <w:sz w:val="12"/>
                <w:szCs w:val="12"/>
                <w:color w:val="auto"/>
              </w:rPr>
              <w:t>Contingent consideration</w:t>
            </w: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98,600</w:t>
            </w:r>
          </w:p>
        </w:tc>
        <w:tc>
          <w:tcPr>
            <w:tcW w:w="26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ind w:left="60"/>
              <w:spacing w:after="0"/>
              <w:rPr>
                <w:sz w:val="20"/>
                <w:szCs w:val="20"/>
                <w:color w:val="auto"/>
              </w:rPr>
            </w:pPr>
            <w:r>
              <w:rPr>
                <w:rFonts w:ascii="Arial" w:cs="Arial" w:eastAsia="Arial" w:hAnsi="Arial"/>
                <w:sz w:val="12"/>
                <w:szCs w:val="12"/>
                <w:color w:val="auto"/>
                <w:w w:val="82"/>
              </w:rPr>
              <w:t>—</w:t>
            </w:r>
          </w:p>
        </w:tc>
        <w:tc>
          <w:tcPr>
            <w:tcW w:w="26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98,600</w:t>
            </w:r>
          </w:p>
        </w:tc>
        <w:tc>
          <w:tcPr>
            <w:tcW w:w="120" w:type="dxa"/>
            <w:vAlign w:val="bottom"/>
            <w:tcBorders>
              <w:bottom w:val="single" w:sz="8" w:color="CFF0FC"/>
            </w:tcBorders>
          </w:tcPr>
          <w:p>
            <w:pPr>
              <w:spacing w:after="0"/>
              <w:rPr>
                <w:sz w:val="13"/>
                <w:szCs w:val="13"/>
                <w:color w:val="auto"/>
              </w:rPr>
            </w:pPr>
          </w:p>
        </w:tc>
      </w:tr>
      <w:tr>
        <w:trPr>
          <w:trHeight w:val="149"/>
        </w:trPr>
        <w:tc>
          <w:tcPr>
            <w:tcW w:w="58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2"/>
                <w:szCs w:val="12"/>
                <w:color w:val="auto"/>
              </w:rPr>
              <w:t>Total</w:t>
            </w:r>
          </w:p>
        </w:tc>
        <w:tc>
          <w:tcPr>
            <w:tcW w:w="28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4,394,138</w:t>
            </w:r>
          </w:p>
        </w:tc>
        <w:tc>
          <w:tcPr>
            <w:tcW w:w="260" w:type="dxa"/>
            <w:vAlign w:val="bottom"/>
            <w:tcBorders>
              <w:bottom w:val="single" w:sz="8" w:color="CFF0FC"/>
            </w:tcBorders>
            <w:shd w:val="clear" w:color="auto" w:fill="CFF0FC"/>
          </w:tcPr>
          <w:p>
            <w:pPr>
              <w:spacing w:after="0"/>
              <w:rPr>
                <w:sz w:val="12"/>
                <w:szCs w:val="12"/>
                <w:color w:val="auto"/>
              </w:rPr>
            </w:pPr>
          </w:p>
        </w:tc>
        <w:tc>
          <w:tcPr>
            <w:tcW w:w="980" w:type="dxa"/>
            <w:vAlign w:val="bottom"/>
            <w:tcBorders>
              <w:bottom w:val="single" w:sz="8" w:color="auto"/>
            </w:tcBorders>
            <w:shd w:val="clear" w:color="auto" w:fill="CFF0FC"/>
          </w:tcPr>
          <w:p>
            <w:pPr>
              <w:jc w:val="right"/>
              <w:ind w:right="871"/>
              <w:spacing w:after="0"/>
              <w:rPr>
                <w:sz w:val="20"/>
                <w:szCs w:val="20"/>
                <w:color w:val="auto"/>
              </w:rPr>
            </w:pPr>
            <w:r>
              <w:rPr>
                <w:rFonts w:ascii="Arial" w:cs="Arial" w:eastAsia="Arial" w:hAnsi="Arial"/>
                <w:sz w:val="10"/>
                <w:szCs w:val="10"/>
                <w:color w:val="auto"/>
                <w:w w:val="71"/>
              </w:rPr>
              <w:t>$</w:t>
            </w:r>
          </w:p>
        </w:tc>
        <w:tc>
          <w:tcPr>
            <w:tcW w:w="18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2"/>
                <w:szCs w:val="12"/>
                <w:color w:val="auto"/>
                <w:w w:val="82"/>
              </w:rPr>
              <w:t>—</w:t>
            </w:r>
          </w:p>
        </w:tc>
        <w:tc>
          <w:tcPr>
            <w:tcW w:w="26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4,295,538</w:t>
            </w:r>
          </w:p>
        </w:tc>
        <w:tc>
          <w:tcPr>
            <w:tcW w:w="26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2"/>
                <w:szCs w:val="12"/>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98,600</w:t>
            </w:r>
          </w:p>
        </w:tc>
        <w:tc>
          <w:tcPr>
            <w:tcW w:w="120" w:type="dxa"/>
            <w:vAlign w:val="bottom"/>
            <w:tcBorders>
              <w:bottom w:val="single" w:sz="8" w:color="CFF0FC"/>
            </w:tcBorders>
            <w:shd w:val="clear" w:color="auto" w:fill="CFF0FC"/>
          </w:tcPr>
          <w:p>
            <w:pPr>
              <w:spacing w:after="0"/>
              <w:rPr>
                <w:sz w:val="12"/>
                <w:szCs w:val="12"/>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2"/>
          <w:szCs w:val="12"/>
          <w:color w:val="auto"/>
        </w:rPr>
        <w:t>The carrying value of cash and cash equivalents, accounts and other receivables, and accounts, interest and dividends payable approximate fair values due to the short-term nature of these financial instruments.</w:t>
      </w:r>
    </w:p>
    <w:p>
      <w:pPr>
        <w:spacing w:after="0" w:line="150" w:lineRule="exact"/>
        <w:rPr>
          <w:sz w:val="20"/>
          <w:szCs w:val="20"/>
          <w:color w:val="auto"/>
        </w:rPr>
      </w:pPr>
    </w:p>
    <w:p>
      <w:pPr>
        <w:ind w:right="60"/>
        <w:spacing w:after="0" w:line="281" w:lineRule="auto"/>
        <w:rPr>
          <w:sz w:val="20"/>
          <w:szCs w:val="20"/>
          <w:color w:val="auto"/>
        </w:rPr>
      </w:pPr>
      <w:r>
        <w:rPr>
          <w:rFonts w:ascii="Arial" w:cs="Arial" w:eastAsia="Arial" w:hAnsi="Arial"/>
          <w:sz w:val="11"/>
          <w:szCs w:val="11"/>
          <w:color w:val="auto"/>
        </w:rPr>
        <w:t>The total principal balance of our Notes and other debt was $4.6 billion at December 31, 2017, with a fair value of $4.4 billion. The estimated fair value of the Notes and other debt was based on available external pricing data and current market rates for similar debt instruments, among other factors, which are classified as Level 2 inputs within the fair value hierarchy. Derivative instruments are carried at fair value. See Note 7. The fair value of our interest rate swap is determined based on the present value of expected future cash flows using observable, quoted LIBOR swap rates for the full term of the swap and also incorporate credit valuation adjustments to appropriately reflect both Uniti 's own non-performance risk and non-performance risk of the respective counterparties. The Company has determined that the majority of the inputs used to value its derivative instruments fall within Level 2 of the fair value hierarchy; however the associated credit valuation adjustments utilized Level 3 inputs, such as estimates of credit spreads, to evaluate the likelihood of default by the Company and its counterparties. As of December 31, 2017, the Company has assessed the significance of the impact of the credit valuation adjustments on the overall valuation of its derivative positions and has determined that the credit valuation adjustment is not significant to the overall value of the derivatives. As such, the Company classifies its derivative instruments valuation in Level 2 of the fair value hierarchy.</w:t>
      </w:r>
    </w:p>
    <w:p>
      <w:pPr>
        <w:spacing w:after="0" w:line="116" w:lineRule="exact"/>
        <w:rPr>
          <w:sz w:val="20"/>
          <w:szCs w:val="20"/>
          <w:color w:val="auto"/>
        </w:rPr>
      </w:pPr>
    </w:p>
    <w:p>
      <w:pPr>
        <w:ind w:right="120"/>
        <w:spacing w:after="0" w:line="259" w:lineRule="auto"/>
        <w:rPr>
          <w:rFonts w:ascii="Arial" w:cs="Arial" w:eastAsia="Arial" w:hAnsi="Arial"/>
          <w:sz w:val="12"/>
          <w:szCs w:val="12"/>
          <w:color w:val="auto"/>
        </w:rPr>
      </w:pPr>
      <w:r>
        <w:rPr>
          <w:rFonts w:ascii="Arial" w:cs="Arial" w:eastAsia="Arial" w:hAnsi="Arial"/>
          <w:sz w:val="12"/>
          <w:szCs w:val="12"/>
          <w:color w:val="auto"/>
        </w:rPr>
        <w:t xml:space="preserve">As part of the acquisition of Hunt on July 3, 2017, we may be obligated to pay contingent consideration (the “Hunt Contingent Consideration”) upon the achievement of certain defined revenue milestones; therefore, we have recorded the estimated fair value of contingent consideration of approximately $11.5 million as of December 31, 2017. </w:t>
      </w:r>
      <w:hyperlink r:id="rId80">
        <w:r>
          <w:rPr>
            <w:rFonts w:ascii="Arial" w:cs="Arial" w:eastAsia="Arial" w:hAnsi="Arial"/>
            <w:sz w:val="12"/>
            <w:szCs w:val="12"/>
            <w:u w:val="single" w:color="auto"/>
            <w:color w:val="auto"/>
          </w:rPr>
          <w:t>See Note 4</w:t>
        </w:r>
      </w:hyperlink>
      <w:r>
        <w:rPr>
          <w:rFonts w:ascii="Arial" w:cs="Arial" w:eastAsia="Arial" w:hAnsi="Arial"/>
          <w:sz w:val="12"/>
          <w:szCs w:val="12"/>
          <w:color w:val="auto"/>
        </w:rPr>
        <w:t>. In accordance with the Hunt merger agreement, Uniti common shares will be used to satisfy the contingent consideration payment. The fair value of the Hunt Contingent Consideration at December 31, 2017 was determined using the closing price of our common shares in the active market and probability estimates of future earnings and is classified as Level 3.</w:t>
      </w:r>
    </w:p>
    <w:p>
      <w:pPr>
        <w:spacing w:after="0" w:line="125" w:lineRule="exact"/>
        <w:rPr>
          <w:sz w:val="20"/>
          <w:szCs w:val="20"/>
          <w:color w:val="auto"/>
        </w:rPr>
      </w:pPr>
    </w:p>
    <w:p>
      <w:pPr>
        <w:jc w:val="both"/>
        <w:ind w:right="60"/>
        <w:spacing w:after="0" w:line="298" w:lineRule="auto"/>
        <w:rPr>
          <w:sz w:val="20"/>
          <w:szCs w:val="20"/>
          <w:color w:val="auto"/>
        </w:rPr>
      </w:pPr>
      <w:r>
        <w:rPr>
          <w:rFonts w:ascii="Arial" w:cs="Arial" w:eastAsia="Arial" w:hAnsi="Arial"/>
          <w:sz w:val="11"/>
          <w:szCs w:val="11"/>
          <w:color w:val="auto"/>
        </w:rPr>
        <w:t>As part of the acquisition of Tower Cloud on August 31, 2016, we may be obligated to pay contingent consideration upon achievement of certain defined operational and financial milestones; therefore, we recorded the estimated fair value of future contingent consideration of $94.3 million as of December 31, 2017. The fair value of the contingent consideration as of December 31, 2017, was determined using a discounted cash flow model and probability adjusted estimates of the future earnings and is classified as Level 3. During the year ended December 31, 2017, we paid $20.0 million for the achievement of certain milestones in accordance with the Tower Cloud merger agreement.</w:t>
      </w:r>
    </w:p>
    <w:p>
      <w:pPr>
        <w:spacing w:after="0" w:line="105" w:lineRule="exact"/>
        <w:rPr>
          <w:sz w:val="20"/>
          <w:szCs w:val="20"/>
          <w:color w:val="auto"/>
        </w:rPr>
      </w:pPr>
    </w:p>
    <w:p>
      <w:pPr>
        <w:jc w:val="center"/>
        <w:ind w:right="380"/>
        <w:spacing w:after="0"/>
        <w:rPr>
          <w:sz w:val="20"/>
          <w:szCs w:val="20"/>
          <w:color w:val="auto"/>
        </w:rPr>
      </w:pPr>
      <w:r>
        <w:rPr>
          <w:rFonts w:ascii="Arial" w:cs="Arial" w:eastAsia="Arial" w:hAnsi="Arial"/>
          <w:sz w:val="10"/>
          <w:szCs w:val="10"/>
          <w:color w:val="auto"/>
        </w:rPr>
        <w:t>Changes in the fair value of contingent consideration will be recorded in our Consolidated Statement of Income in the period in which the change occurs. For the year ended December 31, 2017, there was a $10.7 million increase in</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72" w:name="page73"/>
    <w:bookmarkEnd w:id="72"/>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Uniti Group Inc.</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the Consolidated Financial Statements – Continued</w:t>
      </w:r>
    </w:p>
    <w:p>
      <w:pPr>
        <w:spacing w:after="0" w:line="303" w:lineRule="exact"/>
        <w:rPr>
          <w:sz w:val="20"/>
          <w:szCs w:val="20"/>
          <w:color w:val="auto"/>
        </w:rPr>
      </w:pPr>
    </w:p>
    <w:p>
      <w:pPr>
        <w:spacing w:after="0"/>
        <w:rPr>
          <w:sz w:val="20"/>
          <w:szCs w:val="20"/>
          <w:color w:val="auto"/>
        </w:rPr>
      </w:pPr>
      <w:r>
        <w:rPr>
          <w:rFonts w:ascii="Arial" w:cs="Arial" w:eastAsia="Arial" w:hAnsi="Arial"/>
          <w:sz w:val="12"/>
          <w:szCs w:val="12"/>
          <w:color w:val="auto"/>
        </w:rPr>
        <w:t>the fair value of the contingent consideration that was recorded in Other expense on the Consolidated Statements of Income.</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The following is a roll forward of our liability measured at fair value on a recurring basis using unobservable inputs (Level 3):</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0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2"/>
          </w:tcPr>
          <w:p>
            <w:pPr>
              <w:jc w:val="center"/>
              <w:spacing w:after="0"/>
              <w:rPr>
                <w:sz w:val="20"/>
                <w:szCs w:val="20"/>
                <w:color w:val="auto"/>
              </w:rPr>
            </w:pPr>
            <w:r>
              <w:rPr>
                <w:rFonts w:ascii="Arial" w:cs="Arial" w:eastAsia="Arial" w:hAnsi="Arial"/>
                <w:sz w:val="10"/>
                <w:szCs w:val="10"/>
                <w:b w:val="1"/>
                <w:bCs w:val="1"/>
                <w:color w:val="auto"/>
                <w:w w:val="86"/>
              </w:rPr>
              <w:t>(Gain)/Loss included in</w:t>
            </w: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5040" w:type="dxa"/>
            <w:vAlign w:val="bottom"/>
            <w:tcBorders>
              <w:bottom w:val="single" w:sz="8" w:color="auto"/>
            </w:tcBorders>
          </w:tcPr>
          <w:p>
            <w:pPr>
              <w:spacing w:after="0" w:line="114" w:lineRule="exact"/>
              <w:rPr>
                <w:sz w:val="20"/>
                <w:szCs w:val="20"/>
                <w:color w:val="auto"/>
              </w:rPr>
            </w:pPr>
            <w:r>
              <w:rPr>
                <w:rFonts w:ascii="Arial" w:cs="Arial" w:eastAsia="Arial" w:hAnsi="Arial"/>
                <w:sz w:val="10"/>
                <w:szCs w:val="10"/>
                <w:color w:val="auto"/>
              </w:rPr>
              <w:t>(Thousands)</w:t>
            </w:r>
          </w:p>
        </w:tc>
        <w:tc>
          <w:tcPr>
            <w:tcW w:w="140" w:type="dxa"/>
            <w:vAlign w:val="bottom"/>
            <w:tcBorders>
              <w:bottom w:val="single" w:sz="8" w:color="CFF0FC"/>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gridSpan w:val="3"/>
          </w:tcPr>
          <w:p>
            <w:pPr>
              <w:jc w:val="right"/>
              <w:ind w:right="160"/>
              <w:spacing w:after="0" w:line="114" w:lineRule="exact"/>
              <w:rPr>
                <w:sz w:val="20"/>
                <w:szCs w:val="20"/>
                <w:color w:val="auto"/>
              </w:rPr>
            </w:pPr>
            <w:r>
              <w:rPr>
                <w:rFonts w:ascii="Arial" w:cs="Arial" w:eastAsia="Arial" w:hAnsi="Arial"/>
                <w:sz w:val="10"/>
                <w:szCs w:val="10"/>
                <w:b w:val="1"/>
                <w:bCs w:val="1"/>
                <w:color w:val="auto"/>
                <w:w w:val="91"/>
              </w:rPr>
              <w:t>December 31, 2016</w:t>
            </w:r>
          </w:p>
        </w:tc>
        <w:tc>
          <w:tcPr>
            <w:tcW w:w="240" w:type="dxa"/>
            <w:vAlign w:val="bottom"/>
            <w:tcBorders>
              <w:bottom w:val="single" w:sz="8" w:color="CFF0FC"/>
            </w:tcBorders>
          </w:tcPr>
          <w:p>
            <w:pPr>
              <w:spacing w:after="0"/>
              <w:rPr>
                <w:sz w:val="9"/>
                <w:szCs w:val="9"/>
                <w:color w:val="auto"/>
              </w:rPr>
            </w:pPr>
          </w:p>
        </w:tc>
        <w:tc>
          <w:tcPr>
            <w:tcW w:w="1000" w:type="dxa"/>
            <w:vAlign w:val="bottom"/>
            <w:tcBorders>
              <w:bottom w:val="single" w:sz="8" w:color="auto"/>
            </w:tcBorders>
            <w:gridSpan w:val="2"/>
          </w:tcPr>
          <w:p>
            <w:pPr>
              <w:jc w:val="right"/>
              <w:spacing w:after="0" w:line="114" w:lineRule="exact"/>
              <w:rPr>
                <w:sz w:val="20"/>
                <w:szCs w:val="20"/>
                <w:color w:val="auto"/>
              </w:rPr>
            </w:pPr>
            <w:r>
              <w:rPr>
                <w:rFonts w:ascii="Arial" w:cs="Arial" w:eastAsia="Arial" w:hAnsi="Arial"/>
                <w:sz w:val="10"/>
                <w:szCs w:val="10"/>
                <w:b w:val="1"/>
                <w:bCs w:val="1"/>
                <w:color w:val="auto"/>
                <w:w w:val="88"/>
              </w:rPr>
              <w:t>Transfers into Level 3</w:t>
            </w:r>
          </w:p>
        </w:tc>
        <w:tc>
          <w:tcPr>
            <w:tcW w:w="60" w:type="dxa"/>
            <w:vAlign w:val="bottom"/>
            <w:tcBorders>
              <w:bottom w:val="single" w:sz="8" w:color="CFF0FC"/>
            </w:tcBorders>
          </w:tcPr>
          <w:p>
            <w:pPr>
              <w:spacing w:after="0"/>
              <w:rPr>
                <w:sz w:val="9"/>
                <w:szCs w:val="9"/>
                <w:color w:val="auto"/>
              </w:rPr>
            </w:pPr>
          </w:p>
        </w:tc>
        <w:tc>
          <w:tcPr>
            <w:tcW w:w="180" w:type="dxa"/>
            <w:vAlign w:val="bottom"/>
            <w:tcBorders>
              <w:bottom w:val="single" w:sz="8" w:color="CFF0FC"/>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jc w:val="center"/>
              <w:ind w:right="168"/>
              <w:spacing w:after="0" w:line="114" w:lineRule="exact"/>
              <w:rPr>
                <w:sz w:val="20"/>
                <w:szCs w:val="20"/>
                <w:color w:val="auto"/>
              </w:rPr>
            </w:pPr>
            <w:r>
              <w:rPr>
                <w:rFonts w:ascii="Arial" w:cs="Arial" w:eastAsia="Arial" w:hAnsi="Arial"/>
                <w:sz w:val="10"/>
                <w:szCs w:val="10"/>
                <w:b w:val="1"/>
                <w:bCs w:val="1"/>
                <w:color w:val="auto"/>
                <w:w w:val="86"/>
              </w:rPr>
              <w:t>earnings</w:t>
            </w:r>
          </w:p>
        </w:tc>
        <w:tc>
          <w:tcPr>
            <w:tcW w:w="240" w:type="dxa"/>
            <w:vAlign w:val="bottom"/>
            <w:tcBorders>
              <w:bottom w:val="single" w:sz="8" w:color="CFF0FC"/>
            </w:tcBorders>
          </w:tcPr>
          <w:p>
            <w:pPr>
              <w:spacing w:after="0"/>
              <w:rPr>
                <w:sz w:val="9"/>
                <w:szCs w:val="9"/>
                <w:color w:val="auto"/>
              </w:rPr>
            </w:pPr>
          </w:p>
        </w:tc>
        <w:tc>
          <w:tcPr>
            <w:tcW w:w="920" w:type="dxa"/>
            <w:vAlign w:val="bottom"/>
            <w:tcBorders>
              <w:bottom w:val="single" w:sz="8" w:color="auto"/>
            </w:tcBorders>
            <w:gridSpan w:val="4"/>
          </w:tcPr>
          <w:p>
            <w:pPr>
              <w:jc w:val="right"/>
              <w:ind w:right="220"/>
              <w:spacing w:after="0" w:line="114" w:lineRule="exact"/>
              <w:rPr>
                <w:sz w:val="20"/>
                <w:szCs w:val="20"/>
                <w:color w:val="auto"/>
              </w:rPr>
            </w:pPr>
            <w:r>
              <w:rPr>
                <w:rFonts w:ascii="Arial" w:cs="Arial" w:eastAsia="Arial" w:hAnsi="Arial"/>
                <w:sz w:val="10"/>
                <w:szCs w:val="10"/>
                <w:b w:val="1"/>
                <w:bCs w:val="1"/>
                <w:color w:val="auto"/>
              </w:rPr>
              <w:t>Settlements</w:t>
            </w:r>
          </w:p>
        </w:tc>
        <w:tc>
          <w:tcPr>
            <w:tcW w:w="100" w:type="dxa"/>
            <w:vAlign w:val="bottom"/>
            <w:tcBorders>
              <w:bottom w:val="single" w:sz="8" w:color="CFF0FC"/>
            </w:tcBorders>
          </w:tcPr>
          <w:p>
            <w:pPr>
              <w:spacing w:after="0"/>
              <w:rPr>
                <w:sz w:val="9"/>
                <w:szCs w:val="9"/>
                <w:color w:val="auto"/>
              </w:rPr>
            </w:pPr>
          </w:p>
        </w:tc>
        <w:tc>
          <w:tcPr>
            <w:tcW w:w="140" w:type="dxa"/>
            <w:vAlign w:val="bottom"/>
            <w:tcBorders>
              <w:bottom w:val="single" w:sz="8" w:color="CFF0FC"/>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jc w:val="right"/>
              <w:ind w:right="121"/>
              <w:spacing w:after="0" w:line="114" w:lineRule="exact"/>
              <w:rPr>
                <w:sz w:val="20"/>
                <w:szCs w:val="20"/>
                <w:color w:val="auto"/>
              </w:rPr>
            </w:pPr>
            <w:r>
              <w:rPr>
                <w:rFonts w:ascii="Arial" w:cs="Arial" w:eastAsia="Arial" w:hAnsi="Arial"/>
                <w:sz w:val="10"/>
                <w:szCs w:val="10"/>
                <w:b w:val="1"/>
                <w:bCs w:val="1"/>
                <w:color w:val="auto"/>
                <w:w w:val="88"/>
              </w:rPr>
              <w:t>December 31, 2017</w:t>
            </w:r>
          </w:p>
        </w:tc>
        <w:tc>
          <w:tcPr>
            <w:tcW w:w="120" w:type="dxa"/>
            <w:vAlign w:val="bottom"/>
            <w:tcBorders>
              <w:bottom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5040" w:type="dxa"/>
            <w:vAlign w:val="bottom"/>
            <w:shd w:val="clear" w:color="auto" w:fill="CFF0FC"/>
          </w:tcPr>
          <w:p>
            <w:pPr>
              <w:spacing w:after="0"/>
              <w:rPr>
                <w:sz w:val="20"/>
                <w:szCs w:val="20"/>
                <w:color w:val="auto"/>
              </w:rPr>
            </w:pPr>
            <w:r>
              <w:rPr>
                <w:rFonts w:ascii="Arial" w:cs="Arial" w:eastAsia="Arial" w:hAnsi="Arial"/>
                <w:sz w:val="12"/>
                <w:szCs w:val="12"/>
                <w:color w:val="auto"/>
              </w:rPr>
              <w:t>Contingent consideration</w:t>
            </w:r>
          </w:p>
        </w:tc>
        <w:tc>
          <w:tcPr>
            <w:tcW w:w="24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w:t>
            </w:r>
          </w:p>
        </w:tc>
        <w:tc>
          <w:tcPr>
            <w:tcW w:w="1000" w:type="dxa"/>
            <w:vAlign w:val="bottom"/>
            <w:gridSpan w:val="3"/>
            <w:shd w:val="clear" w:color="auto" w:fill="CFF0FC"/>
          </w:tcPr>
          <w:p>
            <w:pPr>
              <w:jc w:val="right"/>
              <w:spacing w:after="0"/>
              <w:rPr>
                <w:sz w:val="20"/>
                <w:szCs w:val="20"/>
                <w:color w:val="auto"/>
              </w:rPr>
            </w:pPr>
            <w:r>
              <w:rPr>
                <w:rFonts w:ascii="Arial" w:cs="Arial" w:eastAsia="Arial" w:hAnsi="Arial"/>
                <w:sz w:val="12"/>
                <w:szCs w:val="12"/>
                <w:color w:val="auto"/>
              </w:rPr>
              <w:t>98,600</w:t>
            </w:r>
          </w:p>
        </w:tc>
        <w:tc>
          <w:tcPr>
            <w:tcW w:w="480" w:type="dxa"/>
            <w:vAlign w:val="bottom"/>
            <w:gridSpan w:val="2"/>
            <w:shd w:val="clear" w:color="auto" w:fill="CFF0FC"/>
          </w:tcPr>
          <w:p>
            <w:pPr>
              <w:jc w:val="right"/>
              <w:ind w:right="132"/>
              <w:spacing w:after="0"/>
              <w:rPr>
                <w:sz w:val="20"/>
                <w:szCs w:val="20"/>
                <w:color w:val="auto"/>
              </w:rPr>
            </w:pPr>
            <w:r>
              <w:rPr>
                <w:rFonts w:ascii="Arial" w:cs="Arial" w:eastAsia="Arial" w:hAnsi="Arial"/>
                <w:sz w:val="12"/>
                <w:szCs w:val="12"/>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16,425</w:t>
            </w:r>
          </w:p>
        </w:tc>
        <w:tc>
          <w:tcPr>
            <w:tcW w:w="60" w:type="dxa"/>
            <w:vAlign w:val="bottom"/>
            <w:shd w:val="clear" w:color="auto" w:fill="CFF0FC"/>
          </w:tcPr>
          <w:p>
            <w:pPr>
              <w:spacing w:after="0"/>
              <w:rPr>
                <w:sz w:val="12"/>
                <w:szCs w:val="12"/>
                <w:color w:val="auto"/>
              </w:rPr>
            </w:pPr>
          </w:p>
        </w:tc>
        <w:tc>
          <w:tcPr>
            <w:tcW w:w="400" w:type="dxa"/>
            <w:vAlign w:val="bottom"/>
            <w:gridSpan w:val="2"/>
            <w:shd w:val="clear" w:color="auto" w:fill="CFF0FC"/>
          </w:tcPr>
          <w:p>
            <w:pPr>
              <w:jc w:val="right"/>
              <w:ind w:right="111"/>
              <w:spacing w:after="0"/>
              <w:rPr>
                <w:sz w:val="20"/>
                <w:szCs w:val="20"/>
                <w:color w:val="auto"/>
              </w:rPr>
            </w:pPr>
            <w:r>
              <w:rPr>
                <w:rFonts w:ascii="Arial" w:cs="Arial" w:eastAsia="Arial" w:hAnsi="Arial"/>
                <w:sz w:val="12"/>
                <w:szCs w:val="12"/>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10,736</w:t>
            </w:r>
          </w:p>
        </w:tc>
        <w:tc>
          <w:tcPr>
            <w:tcW w:w="580" w:type="dxa"/>
            <w:vAlign w:val="bottom"/>
            <w:gridSpan w:val="2"/>
            <w:shd w:val="clear" w:color="auto" w:fill="CFF0FC"/>
          </w:tcPr>
          <w:p>
            <w:pPr>
              <w:jc w:val="right"/>
              <w:ind w:right="232"/>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2"/>
                <w:szCs w:val="12"/>
                <w:color w:val="auto"/>
              </w:rPr>
            </w:pPr>
          </w:p>
        </w:tc>
        <w:tc>
          <w:tcPr>
            <w:tcW w:w="560" w:type="dxa"/>
            <w:vAlign w:val="bottom"/>
            <w:gridSpan w:val="3"/>
            <w:shd w:val="clear" w:color="auto" w:fill="CFF0FC"/>
          </w:tcPr>
          <w:p>
            <w:pPr>
              <w:jc w:val="right"/>
              <w:ind w:right="60"/>
              <w:spacing w:after="0"/>
              <w:rPr>
                <w:sz w:val="20"/>
                <w:szCs w:val="20"/>
                <w:color w:val="auto"/>
              </w:rPr>
            </w:pPr>
            <w:r>
              <w:rPr>
                <w:rFonts w:ascii="Arial" w:cs="Arial" w:eastAsia="Arial" w:hAnsi="Arial"/>
                <w:sz w:val="12"/>
                <w:szCs w:val="12"/>
                <w:color w:val="auto"/>
              </w:rPr>
              <w:t>(19,999)</w:t>
            </w:r>
          </w:p>
        </w:tc>
        <w:tc>
          <w:tcPr>
            <w:tcW w:w="26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105,762</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360"/>
        </w:trPr>
        <w:tc>
          <w:tcPr>
            <w:tcW w:w="5040" w:type="dxa"/>
            <w:vAlign w:val="bottom"/>
          </w:tcPr>
          <w:p>
            <w:pPr>
              <w:spacing w:after="0"/>
              <w:rPr>
                <w:sz w:val="20"/>
                <w:szCs w:val="20"/>
                <w:color w:val="auto"/>
              </w:rPr>
            </w:pPr>
            <w:r>
              <w:rPr>
                <w:rFonts w:ascii="Arial" w:cs="Arial" w:eastAsia="Arial" w:hAnsi="Arial"/>
                <w:sz w:val="12"/>
                <w:szCs w:val="12"/>
                <w:b w:val="1"/>
                <w:bCs w:val="1"/>
                <w:color w:val="auto"/>
              </w:rPr>
              <w:t>Note 6. Property, Plant and Equipment</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2"/>
                <w:szCs w:val="12"/>
                <w:color w:val="auto"/>
              </w:rPr>
              <w:t>The carrying value of property, plant and equipment is as follows: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504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(Thousands)</w:t>
            </w:r>
          </w:p>
        </w:tc>
        <w:tc>
          <w:tcPr>
            <w:tcW w:w="1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80" w:type="dxa"/>
            <w:vAlign w:val="bottom"/>
            <w:tcBorders>
              <w:bottom w:val="single" w:sz="8" w:color="CFF0FC"/>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gridSpan w:val="4"/>
          </w:tcPr>
          <w:p>
            <w:pPr>
              <w:jc w:val="right"/>
              <w:ind w:right="540"/>
              <w:spacing w:after="0"/>
              <w:rPr>
                <w:sz w:val="20"/>
                <w:szCs w:val="20"/>
                <w:color w:val="auto"/>
              </w:rPr>
            </w:pPr>
            <w:r>
              <w:rPr>
                <w:rFonts w:ascii="Arial" w:cs="Arial" w:eastAsia="Arial" w:hAnsi="Arial"/>
                <w:sz w:val="10"/>
                <w:szCs w:val="10"/>
                <w:b w:val="1"/>
                <w:bCs w:val="1"/>
                <w:color w:val="auto"/>
                <w:w w:val="86"/>
              </w:rPr>
              <w:t>Depreciable Lives</w:t>
            </w:r>
          </w:p>
        </w:tc>
        <w:tc>
          <w:tcPr>
            <w:tcW w:w="18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3"/>
          </w:tcPr>
          <w:p>
            <w:pPr>
              <w:jc w:val="right"/>
              <w:ind w:right="392"/>
              <w:spacing w:after="0"/>
              <w:rPr>
                <w:sz w:val="20"/>
                <w:szCs w:val="20"/>
                <w:color w:val="auto"/>
              </w:rPr>
            </w:pPr>
            <w:r>
              <w:rPr>
                <w:rFonts w:ascii="Arial" w:cs="Arial" w:eastAsia="Arial" w:hAnsi="Arial"/>
                <w:sz w:val="10"/>
                <w:szCs w:val="10"/>
                <w:b w:val="1"/>
                <w:bCs w:val="1"/>
                <w:color w:val="auto"/>
              </w:rPr>
              <w:t>December 31, 2017</w:t>
            </w:r>
          </w:p>
        </w:tc>
        <w:tc>
          <w:tcPr>
            <w:tcW w:w="120" w:type="dxa"/>
            <w:vAlign w:val="bottom"/>
            <w:tcBorders>
              <w:bottom w:val="single" w:sz="8" w:color="CFF0FC"/>
            </w:tcBorders>
          </w:tcPr>
          <w:p>
            <w:pPr>
              <w:spacing w:after="0"/>
              <w:rPr>
                <w:sz w:val="21"/>
                <w:szCs w:val="21"/>
                <w:color w:val="auto"/>
              </w:rPr>
            </w:pPr>
          </w:p>
        </w:tc>
        <w:tc>
          <w:tcPr>
            <w:tcW w:w="180" w:type="dxa"/>
            <w:vAlign w:val="bottom"/>
            <w:tcBorders>
              <w:bottom w:val="single" w:sz="8" w:color="CFF0FC"/>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gridSpan w:val="3"/>
          </w:tcPr>
          <w:p>
            <w:pPr>
              <w:jc w:val="right"/>
              <w:ind w:right="381"/>
              <w:spacing w:after="0"/>
              <w:rPr>
                <w:sz w:val="20"/>
                <w:szCs w:val="20"/>
                <w:color w:val="auto"/>
              </w:rPr>
            </w:pPr>
            <w:r>
              <w:rPr>
                <w:rFonts w:ascii="Arial" w:cs="Arial" w:eastAsia="Arial" w:hAnsi="Arial"/>
                <w:sz w:val="10"/>
                <w:szCs w:val="10"/>
                <w:b w:val="1"/>
                <w:bCs w:val="1"/>
                <w:color w:val="auto"/>
                <w:w w:val="88"/>
              </w:rPr>
              <w:t>December 31, 2016</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5040" w:type="dxa"/>
            <w:vAlign w:val="bottom"/>
            <w:shd w:val="clear" w:color="auto" w:fill="CFF0FC"/>
          </w:tcPr>
          <w:p>
            <w:pPr>
              <w:spacing w:after="0"/>
              <w:rPr>
                <w:sz w:val="20"/>
                <w:szCs w:val="20"/>
                <w:color w:val="auto"/>
              </w:rPr>
            </w:pPr>
            <w:r>
              <w:rPr>
                <w:rFonts w:ascii="Arial" w:cs="Arial" w:eastAsia="Arial" w:hAnsi="Arial"/>
                <w:sz w:val="12"/>
                <w:szCs w:val="12"/>
                <w:color w:val="auto"/>
              </w:rPr>
              <w:t>Land</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Indefinite</w:t>
            </w:r>
          </w:p>
        </w:tc>
        <w:tc>
          <w:tcPr>
            <w:tcW w:w="400" w:type="dxa"/>
            <w:vAlign w:val="bottom"/>
            <w:gridSpan w:val="2"/>
            <w:shd w:val="clear" w:color="auto" w:fill="CFF0FC"/>
          </w:tcPr>
          <w:p>
            <w:pPr>
              <w:jc w:val="right"/>
              <w:ind w:right="111"/>
              <w:spacing w:after="0"/>
              <w:rPr>
                <w:sz w:val="20"/>
                <w:szCs w:val="20"/>
                <w:color w:val="auto"/>
              </w:rPr>
            </w:pPr>
            <w:r>
              <w:rPr>
                <w:rFonts w:ascii="Arial" w:cs="Arial" w:eastAsia="Arial" w:hAnsi="Arial"/>
                <w:sz w:val="12"/>
                <w:szCs w:val="12"/>
                <w:color w:val="auto"/>
              </w:rPr>
              <w:t>$</w:t>
            </w:r>
          </w:p>
        </w:tc>
        <w:tc>
          <w:tcPr>
            <w:tcW w:w="860" w:type="dxa"/>
            <w:vAlign w:val="bottom"/>
            <w:shd w:val="clear" w:color="auto" w:fill="CFF0FC"/>
          </w:tcPr>
          <w:p>
            <w:pPr>
              <w:spacing w:after="0"/>
              <w:rPr>
                <w:sz w:val="12"/>
                <w:szCs w:val="12"/>
                <w:color w:val="auto"/>
              </w:rPr>
            </w:pPr>
          </w:p>
        </w:tc>
        <w:tc>
          <w:tcPr>
            <w:tcW w:w="58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28,269</w:t>
            </w:r>
          </w:p>
        </w:tc>
        <w:tc>
          <w:tcPr>
            <w:tcW w:w="120" w:type="dxa"/>
            <w:vAlign w:val="bottom"/>
            <w:shd w:val="clear" w:color="auto" w:fill="CFF0FC"/>
          </w:tcPr>
          <w:p>
            <w:pPr>
              <w:spacing w:after="0"/>
              <w:rPr>
                <w:sz w:val="12"/>
                <w:szCs w:val="12"/>
                <w:color w:val="auto"/>
              </w:rPr>
            </w:pPr>
          </w:p>
        </w:tc>
        <w:tc>
          <w:tcPr>
            <w:tcW w:w="46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26,833</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040" w:type="dxa"/>
            <w:vAlign w:val="bottom"/>
          </w:tcPr>
          <w:p>
            <w:pPr>
              <w:spacing w:after="0"/>
              <w:rPr>
                <w:sz w:val="20"/>
                <w:szCs w:val="20"/>
                <w:color w:val="auto"/>
              </w:rPr>
            </w:pPr>
            <w:r>
              <w:rPr>
                <w:rFonts w:ascii="Arial" w:cs="Arial" w:eastAsia="Arial" w:hAnsi="Arial"/>
                <w:sz w:val="12"/>
                <w:szCs w:val="12"/>
                <w:color w:val="auto"/>
              </w:rPr>
              <w:t>Building and improvements</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2"/>
                <w:szCs w:val="12"/>
                <w:color w:val="auto"/>
              </w:rPr>
              <w:t>3 - 40 years</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80" w:type="dxa"/>
            <w:vAlign w:val="bottom"/>
            <w:gridSpan w:val="2"/>
          </w:tcPr>
          <w:p>
            <w:pPr>
              <w:jc w:val="right"/>
              <w:spacing w:after="0"/>
              <w:rPr>
                <w:sz w:val="20"/>
                <w:szCs w:val="20"/>
                <w:color w:val="auto"/>
              </w:rPr>
            </w:pPr>
            <w:r>
              <w:rPr>
                <w:rFonts w:ascii="Arial" w:cs="Arial" w:eastAsia="Arial" w:hAnsi="Arial"/>
                <w:sz w:val="12"/>
                <w:szCs w:val="12"/>
                <w:color w:val="auto"/>
              </w:rPr>
              <w:t>325,445</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318,967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040" w:type="dxa"/>
            <w:vAlign w:val="bottom"/>
            <w:shd w:val="clear" w:color="auto" w:fill="CFF0FC"/>
          </w:tcPr>
          <w:p>
            <w:pPr>
              <w:spacing w:after="0"/>
              <w:rPr>
                <w:sz w:val="20"/>
                <w:szCs w:val="20"/>
                <w:color w:val="auto"/>
              </w:rPr>
            </w:pPr>
            <w:r>
              <w:rPr>
                <w:rFonts w:ascii="Arial" w:cs="Arial" w:eastAsia="Arial" w:hAnsi="Arial"/>
                <w:sz w:val="12"/>
                <w:szCs w:val="12"/>
                <w:color w:val="auto"/>
              </w:rPr>
              <w:t>Real property interests</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See Note 3</w:t>
            </w:r>
          </w:p>
        </w:tc>
        <w:tc>
          <w:tcPr>
            <w:tcW w:w="1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58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34,580</w:t>
            </w: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12,265</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040" w:type="dxa"/>
            <w:vAlign w:val="bottom"/>
          </w:tcPr>
          <w:p>
            <w:pPr>
              <w:spacing w:after="0"/>
              <w:rPr>
                <w:sz w:val="20"/>
                <w:szCs w:val="20"/>
                <w:color w:val="auto"/>
              </w:rPr>
            </w:pPr>
            <w:r>
              <w:rPr>
                <w:rFonts w:ascii="Arial" w:cs="Arial" w:eastAsia="Arial" w:hAnsi="Arial"/>
                <w:sz w:val="12"/>
                <w:szCs w:val="12"/>
                <w:color w:val="auto"/>
              </w:rPr>
              <w:t>Poles</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2"/>
                <w:szCs w:val="12"/>
                <w:color w:val="auto"/>
              </w:rPr>
              <w:t>30 years</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80" w:type="dxa"/>
            <w:vAlign w:val="bottom"/>
            <w:gridSpan w:val="2"/>
          </w:tcPr>
          <w:p>
            <w:pPr>
              <w:jc w:val="right"/>
              <w:spacing w:after="0"/>
              <w:rPr>
                <w:sz w:val="20"/>
                <w:szCs w:val="20"/>
                <w:color w:val="auto"/>
              </w:rPr>
            </w:pPr>
            <w:r>
              <w:rPr>
                <w:rFonts w:ascii="Arial" w:cs="Arial" w:eastAsia="Arial" w:hAnsi="Arial"/>
                <w:sz w:val="12"/>
                <w:szCs w:val="12"/>
                <w:color w:val="auto"/>
              </w:rPr>
              <w:t>243,710</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234,393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040" w:type="dxa"/>
            <w:vAlign w:val="bottom"/>
            <w:shd w:val="clear" w:color="auto" w:fill="CFF0FC"/>
          </w:tcPr>
          <w:p>
            <w:pPr>
              <w:spacing w:after="0"/>
              <w:rPr>
                <w:sz w:val="20"/>
                <w:szCs w:val="20"/>
                <w:color w:val="auto"/>
              </w:rPr>
            </w:pPr>
            <w:r>
              <w:rPr>
                <w:rFonts w:ascii="Arial" w:cs="Arial" w:eastAsia="Arial" w:hAnsi="Arial"/>
                <w:sz w:val="12"/>
                <w:szCs w:val="12"/>
                <w:color w:val="auto"/>
              </w:rPr>
              <w:t>Fiber</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30 years</w:t>
            </w:r>
          </w:p>
        </w:tc>
        <w:tc>
          <w:tcPr>
            <w:tcW w:w="1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58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2,669,058</w:t>
            </w: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2,243,822</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040" w:type="dxa"/>
            <w:vAlign w:val="bottom"/>
          </w:tcPr>
          <w:p>
            <w:pPr>
              <w:spacing w:after="0"/>
              <w:rPr>
                <w:sz w:val="20"/>
                <w:szCs w:val="20"/>
                <w:color w:val="auto"/>
              </w:rPr>
            </w:pPr>
            <w:r>
              <w:rPr>
                <w:rFonts w:ascii="Arial" w:cs="Arial" w:eastAsia="Arial" w:hAnsi="Arial"/>
                <w:sz w:val="12"/>
                <w:szCs w:val="12"/>
                <w:color w:val="auto"/>
              </w:rPr>
              <w:t>Equipment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2"/>
                <w:szCs w:val="12"/>
                <w:color w:val="auto"/>
              </w:rPr>
              <w:t>5 - 7 years</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80" w:type="dxa"/>
            <w:vAlign w:val="bottom"/>
            <w:gridSpan w:val="2"/>
          </w:tcPr>
          <w:p>
            <w:pPr>
              <w:jc w:val="right"/>
              <w:spacing w:after="0"/>
              <w:rPr>
                <w:sz w:val="20"/>
                <w:szCs w:val="20"/>
                <w:color w:val="auto"/>
              </w:rPr>
            </w:pPr>
            <w:r>
              <w:rPr>
                <w:rFonts w:ascii="Arial" w:cs="Arial" w:eastAsia="Arial" w:hAnsi="Arial"/>
                <w:sz w:val="12"/>
                <w:szCs w:val="12"/>
                <w:color w:val="auto"/>
              </w:rPr>
              <w:t>213,574</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130,945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040" w:type="dxa"/>
            <w:vAlign w:val="bottom"/>
            <w:shd w:val="clear" w:color="auto" w:fill="CFF0FC"/>
          </w:tcPr>
          <w:p>
            <w:pPr>
              <w:spacing w:after="0"/>
              <w:rPr>
                <w:sz w:val="20"/>
                <w:szCs w:val="20"/>
                <w:color w:val="auto"/>
              </w:rPr>
            </w:pPr>
            <w:r>
              <w:rPr>
                <w:rFonts w:ascii="Arial" w:cs="Arial" w:eastAsia="Arial" w:hAnsi="Arial"/>
                <w:sz w:val="12"/>
                <w:szCs w:val="12"/>
                <w:color w:val="auto"/>
              </w:rPr>
              <w:t>Copper</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20 years</w:t>
            </w:r>
          </w:p>
        </w:tc>
        <w:tc>
          <w:tcPr>
            <w:tcW w:w="1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58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3,656,385</w:t>
            </w: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3,538,566</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040" w:type="dxa"/>
            <w:vAlign w:val="bottom"/>
          </w:tcPr>
          <w:p>
            <w:pPr>
              <w:spacing w:after="0"/>
              <w:rPr>
                <w:sz w:val="20"/>
                <w:szCs w:val="20"/>
                <w:color w:val="auto"/>
              </w:rPr>
            </w:pPr>
            <w:r>
              <w:rPr>
                <w:rFonts w:ascii="Arial" w:cs="Arial" w:eastAsia="Arial" w:hAnsi="Arial"/>
                <w:sz w:val="12"/>
                <w:szCs w:val="12"/>
                <w:color w:val="auto"/>
              </w:rPr>
              <w:t>Conduit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2"/>
                <w:szCs w:val="12"/>
                <w:color w:val="auto"/>
              </w:rPr>
              <w:t>30 years</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80" w:type="dxa"/>
            <w:vAlign w:val="bottom"/>
            <w:gridSpan w:val="2"/>
          </w:tcPr>
          <w:p>
            <w:pPr>
              <w:jc w:val="right"/>
              <w:spacing w:after="0"/>
              <w:rPr>
                <w:sz w:val="20"/>
                <w:szCs w:val="20"/>
                <w:color w:val="auto"/>
              </w:rPr>
            </w:pPr>
            <w:r>
              <w:rPr>
                <w:rFonts w:ascii="Arial" w:cs="Arial" w:eastAsia="Arial" w:hAnsi="Arial"/>
                <w:sz w:val="12"/>
                <w:szCs w:val="12"/>
                <w:color w:val="auto"/>
              </w:rPr>
              <w:t>91,210</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90,540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040" w:type="dxa"/>
            <w:vAlign w:val="bottom"/>
            <w:shd w:val="clear" w:color="auto" w:fill="CFF0FC"/>
          </w:tcPr>
          <w:p>
            <w:pPr>
              <w:spacing w:after="0"/>
              <w:rPr>
                <w:sz w:val="20"/>
                <w:szCs w:val="20"/>
                <w:color w:val="auto"/>
              </w:rPr>
            </w:pPr>
            <w:r>
              <w:rPr>
                <w:rFonts w:ascii="Arial" w:cs="Arial" w:eastAsia="Arial" w:hAnsi="Arial"/>
                <w:sz w:val="12"/>
                <w:szCs w:val="12"/>
                <w:color w:val="auto"/>
              </w:rPr>
              <w:t>Tower assets</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20 years</w:t>
            </w:r>
          </w:p>
        </w:tc>
        <w:tc>
          <w:tcPr>
            <w:tcW w:w="1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58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59,327</w:t>
            </w: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4,307</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040" w:type="dxa"/>
            <w:vAlign w:val="bottom"/>
          </w:tcPr>
          <w:p>
            <w:pPr>
              <w:spacing w:after="0"/>
              <w:rPr>
                <w:sz w:val="20"/>
                <w:szCs w:val="20"/>
                <w:color w:val="auto"/>
              </w:rPr>
            </w:pPr>
            <w:r>
              <w:rPr>
                <w:rFonts w:ascii="Arial" w:cs="Arial" w:eastAsia="Arial" w:hAnsi="Arial"/>
                <w:sz w:val="12"/>
                <w:szCs w:val="12"/>
                <w:color w:val="auto"/>
              </w:rPr>
              <w:t>Capital lease assets</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2"/>
                <w:szCs w:val="12"/>
                <w:color w:val="auto"/>
              </w:rPr>
              <w:t>See Note 3</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80" w:type="dxa"/>
            <w:vAlign w:val="bottom"/>
            <w:gridSpan w:val="2"/>
          </w:tcPr>
          <w:p>
            <w:pPr>
              <w:jc w:val="right"/>
              <w:spacing w:after="0"/>
              <w:rPr>
                <w:sz w:val="20"/>
                <w:szCs w:val="20"/>
                <w:color w:val="auto"/>
              </w:rPr>
            </w:pPr>
            <w:r>
              <w:rPr>
                <w:rFonts w:ascii="Arial" w:cs="Arial" w:eastAsia="Arial" w:hAnsi="Arial"/>
                <w:sz w:val="12"/>
                <w:szCs w:val="12"/>
                <w:color w:val="auto"/>
              </w:rPr>
              <w:t>97,592</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89,723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040" w:type="dxa"/>
            <w:vAlign w:val="bottom"/>
            <w:shd w:val="clear" w:color="auto" w:fill="CFF0FC"/>
          </w:tcPr>
          <w:p>
            <w:pPr>
              <w:spacing w:after="0"/>
              <w:rPr>
                <w:sz w:val="20"/>
                <w:szCs w:val="20"/>
                <w:color w:val="auto"/>
              </w:rPr>
            </w:pPr>
            <w:r>
              <w:rPr>
                <w:rFonts w:ascii="Arial" w:cs="Arial" w:eastAsia="Arial" w:hAnsi="Arial"/>
                <w:sz w:val="12"/>
                <w:szCs w:val="12"/>
                <w:color w:val="auto"/>
              </w:rPr>
              <w:t>Construction in progress</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See Note 3</w:t>
            </w:r>
          </w:p>
        </w:tc>
        <w:tc>
          <w:tcPr>
            <w:tcW w:w="1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58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112,489</w:t>
            </w: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52,685</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040" w:type="dxa"/>
            <w:vAlign w:val="bottom"/>
          </w:tcPr>
          <w:p>
            <w:pPr>
              <w:spacing w:after="0"/>
              <w:rPr>
                <w:sz w:val="20"/>
                <w:szCs w:val="20"/>
                <w:color w:val="auto"/>
              </w:rPr>
            </w:pPr>
            <w:r>
              <w:rPr>
                <w:rFonts w:ascii="Arial" w:cs="Arial" w:eastAsia="Arial" w:hAnsi="Arial"/>
                <w:sz w:val="12"/>
                <w:szCs w:val="12"/>
                <w:color w:val="auto"/>
              </w:rPr>
              <w:t>Other assets</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2"/>
                <w:szCs w:val="12"/>
                <w:color w:val="auto"/>
              </w:rPr>
              <w:t>15 - 20 years</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80" w:type="dxa"/>
            <w:vAlign w:val="bottom"/>
            <w:gridSpan w:val="2"/>
          </w:tcPr>
          <w:p>
            <w:pPr>
              <w:jc w:val="right"/>
              <w:spacing w:after="0"/>
              <w:rPr>
                <w:sz w:val="20"/>
                <w:szCs w:val="20"/>
                <w:color w:val="auto"/>
              </w:rPr>
            </w:pPr>
            <w:r>
              <w:rPr>
                <w:rFonts w:ascii="Arial" w:cs="Arial" w:eastAsia="Arial" w:hAnsi="Arial"/>
                <w:sz w:val="12"/>
                <w:szCs w:val="12"/>
                <w:color w:val="auto"/>
              </w:rPr>
              <w:t>8,258</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5,299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040" w:type="dxa"/>
            <w:vAlign w:val="bottom"/>
            <w:shd w:val="clear" w:color="auto" w:fill="CFF0FC"/>
          </w:tcPr>
          <w:p>
            <w:pPr>
              <w:spacing w:after="0"/>
              <w:rPr>
                <w:sz w:val="20"/>
                <w:szCs w:val="20"/>
                <w:color w:val="auto"/>
              </w:rPr>
            </w:pPr>
            <w:r>
              <w:rPr>
                <w:rFonts w:ascii="Arial" w:cs="Arial" w:eastAsia="Arial" w:hAnsi="Arial"/>
                <w:sz w:val="12"/>
                <w:szCs w:val="12"/>
                <w:color w:val="auto"/>
              </w:rPr>
              <w:t>Corporate assets</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3 - 7 years</w:t>
            </w:r>
          </w:p>
        </w:tc>
        <w:tc>
          <w:tcPr>
            <w:tcW w:w="180" w:type="dxa"/>
            <w:vAlign w:val="bottom"/>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860" w:type="dxa"/>
            <w:vAlign w:val="bottom"/>
            <w:tcBorders>
              <w:bottom w:val="single" w:sz="8" w:color="auto"/>
            </w:tcBorders>
            <w:shd w:val="clear" w:color="auto" w:fill="CFF0FC"/>
          </w:tcPr>
          <w:p>
            <w:pPr>
              <w:spacing w:after="0"/>
              <w:rPr>
                <w:sz w:val="13"/>
                <w:szCs w:val="13"/>
                <w:color w:val="auto"/>
              </w:rPr>
            </w:pPr>
          </w:p>
        </w:tc>
        <w:tc>
          <w:tcPr>
            <w:tcW w:w="5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2"/>
                <w:szCs w:val="12"/>
                <w:color w:val="auto"/>
              </w:rPr>
              <w:t>2,690</w:t>
            </w: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80" w:type="dxa"/>
            <w:vAlign w:val="bottom"/>
            <w:tcBorders>
              <w:bottom w:val="single" w:sz="8" w:color="auto"/>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2,731</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80" w:type="dxa"/>
            <w:vAlign w:val="bottom"/>
            <w:gridSpan w:val="2"/>
          </w:tcPr>
          <w:p>
            <w:pPr>
              <w:jc w:val="right"/>
              <w:spacing w:after="0"/>
              <w:rPr>
                <w:sz w:val="20"/>
                <w:szCs w:val="20"/>
                <w:color w:val="auto"/>
              </w:rPr>
            </w:pPr>
            <w:r>
              <w:rPr>
                <w:rFonts w:ascii="Arial" w:cs="Arial" w:eastAsia="Arial" w:hAnsi="Arial"/>
                <w:sz w:val="12"/>
                <w:szCs w:val="12"/>
                <w:color w:val="auto"/>
              </w:rPr>
              <w:t>7,542,587</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6,751,076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040" w:type="dxa"/>
            <w:vAlign w:val="bottom"/>
            <w:shd w:val="clear" w:color="auto" w:fill="CFF0FC"/>
          </w:tcPr>
          <w:p>
            <w:pPr>
              <w:spacing w:after="0"/>
              <w:rPr>
                <w:sz w:val="20"/>
                <w:szCs w:val="20"/>
                <w:color w:val="auto"/>
              </w:rPr>
            </w:pPr>
            <w:r>
              <w:rPr>
                <w:rFonts w:ascii="Arial" w:cs="Arial" w:eastAsia="Arial" w:hAnsi="Arial"/>
                <w:sz w:val="12"/>
                <w:szCs w:val="12"/>
                <w:color w:val="auto"/>
              </w:rPr>
              <w:t>Less accumulated depreciation</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700" w:type="dxa"/>
            <w:vAlign w:val="bottom"/>
            <w:gridSpan w:val="3"/>
            <w:shd w:val="clear" w:color="auto" w:fill="CFF0FC"/>
          </w:tcPr>
          <w:p>
            <w:pPr>
              <w:jc w:val="right"/>
              <w:ind w:right="80"/>
              <w:spacing w:after="0"/>
              <w:rPr>
                <w:sz w:val="20"/>
                <w:szCs w:val="20"/>
                <w:color w:val="auto"/>
              </w:rPr>
            </w:pPr>
            <w:r>
              <w:rPr>
                <w:rFonts w:ascii="Arial" w:cs="Arial" w:eastAsia="Arial" w:hAnsi="Arial"/>
                <w:sz w:val="12"/>
                <w:szCs w:val="12"/>
                <w:color w:val="auto"/>
                <w:w w:val="97"/>
              </w:rPr>
              <w:t>(4,488,698)</w:t>
            </w:r>
          </w:p>
        </w:tc>
        <w:tc>
          <w:tcPr>
            <w:tcW w:w="1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(4,081,039)</w:t>
            </w: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Arial" w:cs="Arial" w:eastAsia="Arial" w:hAnsi="Arial"/>
                <w:sz w:val="12"/>
                <w:szCs w:val="12"/>
                <w:color w:val="auto"/>
              </w:rPr>
              <w:t>Net property, plant and equipment</w:t>
            </w: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0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860" w:type="dxa"/>
            <w:vAlign w:val="bottom"/>
          </w:tcPr>
          <w:p>
            <w:pPr>
              <w:spacing w:after="0"/>
              <w:rPr>
                <w:sz w:val="12"/>
                <w:szCs w:val="12"/>
                <w:color w:val="auto"/>
              </w:rPr>
            </w:pPr>
          </w:p>
        </w:tc>
        <w:tc>
          <w:tcPr>
            <w:tcW w:w="580" w:type="dxa"/>
            <w:vAlign w:val="bottom"/>
            <w:gridSpan w:val="2"/>
          </w:tcPr>
          <w:p>
            <w:pPr>
              <w:jc w:val="right"/>
              <w:spacing w:after="0"/>
              <w:rPr>
                <w:sz w:val="20"/>
                <w:szCs w:val="20"/>
                <w:color w:val="auto"/>
              </w:rPr>
            </w:pPr>
            <w:r>
              <w:rPr>
                <w:rFonts w:ascii="Arial" w:cs="Arial" w:eastAsia="Arial" w:hAnsi="Arial"/>
                <w:sz w:val="12"/>
                <w:szCs w:val="12"/>
                <w:color w:val="auto"/>
              </w:rPr>
              <w:t>3,053,889</w:t>
            </w:r>
          </w:p>
        </w:tc>
        <w:tc>
          <w:tcPr>
            <w:tcW w:w="120" w:type="dxa"/>
            <w:vAlign w:val="bottom"/>
          </w:tcPr>
          <w:p>
            <w:pPr>
              <w:spacing w:after="0"/>
              <w:rPr>
                <w:sz w:val="12"/>
                <w:szCs w:val="12"/>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2,670,037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2"/>
          <w:szCs w:val="12"/>
          <w:color w:val="auto"/>
        </w:rPr>
        <w:t>Capital lease assets above represent fiber leases, where we have the exclusive, unrestricted, and indefeasible right to use one, a pair, or more strands of fiber of a fiber cable.</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Depreciation expense for the years ended December 31, 2017, 2016 and for the period from April 24, 2015 to December 31, 2015 was $415.9 million, $369.9 million and $236.2 million, respectively.</w:t>
      </w:r>
    </w:p>
    <w:p>
      <w:pPr>
        <w:spacing w:after="0" w:line="27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7. Derivative Instruments and Hedging Activities</w:t>
      </w:r>
    </w:p>
    <w:p>
      <w:pPr>
        <w:spacing w:after="0" w:line="82" w:lineRule="exact"/>
        <w:rPr>
          <w:sz w:val="20"/>
          <w:szCs w:val="20"/>
          <w:color w:val="auto"/>
        </w:rPr>
      </w:pPr>
    </w:p>
    <w:p>
      <w:pPr>
        <w:ind w:right="420"/>
        <w:spacing w:after="0" w:line="276" w:lineRule="auto"/>
        <w:rPr>
          <w:sz w:val="20"/>
          <w:szCs w:val="20"/>
          <w:color w:val="auto"/>
        </w:rPr>
      </w:pPr>
      <w:r>
        <w:rPr>
          <w:rFonts w:ascii="Arial" w:cs="Arial" w:eastAsia="Arial" w:hAnsi="Arial"/>
          <w:sz w:val="12"/>
          <w:szCs w:val="12"/>
          <w:color w:val="auto"/>
        </w:rPr>
        <w:t>The Company uses derivative instruments to mitigate the effects of interest rate volatility inherent in our variable rate debt, which could unfavorably impact our future earnings and forecasted cash flows. The Company does not use derivative instruments for speculative or trading purposes.</w:t>
      </w:r>
    </w:p>
    <w:p>
      <w:pPr>
        <w:spacing w:after="0" w:line="115" w:lineRule="exact"/>
        <w:rPr>
          <w:sz w:val="20"/>
          <w:szCs w:val="20"/>
          <w:color w:val="auto"/>
        </w:rPr>
      </w:pPr>
    </w:p>
    <w:p>
      <w:pPr>
        <w:jc w:val="both"/>
        <w:ind w:right="160"/>
        <w:spacing w:after="0" w:line="263" w:lineRule="auto"/>
        <w:rPr>
          <w:sz w:val="20"/>
          <w:szCs w:val="20"/>
          <w:color w:val="auto"/>
        </w:rPr>
      </w:pPr>
      <w:r>
        <w:rPr>
          <w:rFonts w:ascii="Arial" w:cs="Arial" w:eastAsia="Arial" w:hAnsi="Arial"/>
          <w:sz w:val="12"/>
          <w:szCs w:val="12"/>
          <w:color w:val="auto"/>
        </w:rPr>
        <w:t>On April 27, 2015, we entered into interest rate swap agreements to mitigate the interest rate risk inherent in our variable rate Senior Secured Term Loan B facility. These interest rate swaps are designated as cash flow hedges and have a notional value of $2.13 billion and mature on October 24, 2022. The weighted average fixed rate paid is 2.105%, and the variable rate received resets monthly to the one-month LIBOR subject to a minimum rate of 1.0%. The Company does not currently have any master netting arrangements related to its derivative contracts.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73" w:name="page74"/>
    <w:bookmarkEnd w:id="73"/>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Uniti Group Inc.</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Notes to the Consolidated Financial Statements – Continued</w:t>
      </w:r>
    </w:p>
    <w:p>
      <w:pPr>
        <w:spacing w:after="0" w:line="303"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summarizes the fair value and the presentation in our Consolidated Balance Sheet:</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60" w:type="dxa"/>
            <w:vAlign w:val="bottom"/>
          </w:tcPr>
          <w:p>
            <w:pPr>
              <w:jc w:val="center"/>
              <w:spacing w:after="0"/>
              <w:rPr>
                <w:sz w:val="20"/>
                <w:szCs w:val="20"/>
                <w:color w:val="auto"/>
              </w:rPr>
            </w:pPr>
            <w:r>
              <w:rPr>
                <w:rFonts w:ascii="Arial" w:cs="Arial" w:eastAsia="Arial" w:hAnsi="Arial"/>
                <w:sz w:val="10"/>
                <w:szCs w:val="10"/>
                <w:b w:val="1"/>
                <w:bCs w:val="1"/>
                <w:color w:val="auto"/>
                <w:w w:val="86"/>
              </w:rPr>
              <w:t>Location on Consolidated</w:t>
            </w: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14"/>
        </w:trPr>
        <w:tc>
          <w:tcPr>
            <w:tcW w:w="3500" w:type="dxa"/>
            <w:vAlign w:val="bottom"/>
            <w:tcBorders>
              <w:bottom w:val="single" w:sz="8" w:color="auto"/>
            </w:tcBorders>
          </w:tcPr>
          <w:p>
            <w:pPr>
              <w:spacing w:after="0" w:line="114" w:lineRule="exact"/>
              <w:rPr>
                <w:sz w:val="20"/>
                <w:szCs w:val="20"/>
                <w:color w:val="auto"/>
              </w:rPr>
            </w:pPr>
            <w:r>
              <w:rPr>
                <w:rFonts w:ascii="Arial" w:cs="Arial" w:eastAsia="Arial" w:hAnsi="Arial"/>
                <w:sz w:val="10"/>
                <w:szCs w:val="10"/>
                <w:color w:val="auto"/>
              </w:rPr>
              <w:t>(Thousands)</w:t>
            </w:r>
          </w:p>
        </w:tc>
        <w:tc>
          <w:tcPr>
            <w:tcW w:w="200" w:type="dxa"/>
            <w:vAlign w:val="bottom"/>
            <w:tcBorders>
              <w:bottom w:val="single" w:sz="8" w:color="CFF0FC"/>
            </w:tcBorders>
          </w:tcPr>
          <w:p>
            <w:pPr>
              <w:spacing w:after="0"/>
              <w:rPr>
                <w:sz w:val="9"/>
                <w:szCs w:val="9"/>
                <w:color w:val="auto"/>
              </w:rPr>
            </w:pPr>
          </w:p>
        </w:tc>
        <w:tc>
          <w:tcPr>
            <w:tcW w:w="326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10"/>
                <w:szCs w:val="10"/>
                <w:b w:val="1"/>
                <w:bCs w:val="1"/>
                <w:color w:val="auto"/>
                <w:w w:val="84"/>
              </w:rPr>
              <w:t>Balance Sheet</w:t>
            </w:r>
          </w:p>
        </w:tc>
        <w:tc>
          <w:tcPr>
            <w:tcW w:w="220" w:type="dxa"/>
            <w:vAlign w:val="bottom"/>
            <w:tcBorders>
              <w:bottom w:val="single" w:sz="8" w:color="CFF0FC"/>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620" w:type="dxa"/>
            <w:vAlign w:val="bottom"/>
            <w:tcBorders>
              <w:bottom w:val="single" w:sz="8" w:color="auto"/>
            </w:tcBorders>
          </w:tcPr>
          <w:p>
            <w:pPr>
              <w:jc w:val="right"/>
              <w:ind w:right="524"/>
              <w:spacing w:after="0" w:line="114" w:lineRule="exact"/>
              <w:rPr>
                <w:sz w:val="20"/>
                <w:szCs w:val="20"/>
                <w:color w:val="auto"/>
              </w:rPr>
            </w:pPr>
            <w:r>
              <w:rPr>
                <w:rFonts w:ascii="Arial" w:cs="Arial" w:eastAsia="Arial" w:hAnsi="Arial"/>
                <w:sz w:val="10"/>
                <w:szCs w:val="10"/>
                <w:b w:val="1"/>
                <w:bCs w:val="1"/>
                <w:color w:val="auto"/>
              </w:rPr>
              <w:t>December 31, 2017</w:t>
            </w:r>
          </w:p>
        </w:tc>
        <w:tc>
          <w:tcPr>
            <w:tcW w:w="320" w:type="dxa"/>
            <w:vAlign w:val="bottom"/>
            <w:tcBorders>
              <w:bottom w:val="single" w:sz="8" w:color="CFF0FC"/>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620" w:type="dxa"/>
            <w:vAlign w:val="bottom"/>
            <w:tcBorders>
              <w:bottom w:val="single" w:sz="8" w:color="auto"/>
            </w:tcBorders>
          </w:tcPr>
          <w:p>
            <w:pPr>
              <w:jc w:val="right"/>
              <w:ind w:right="524"/>
              <w:spacing w:after="0" w:line="114" w:lineRule="exact"/>
              <w:rPr>
                <w:sz w:val="20"/>
                <w:szCs w:val="20"/>
                <w:color w:val="auto"/>
              </w:rPr>
            </w:pPr>
            <w:r>
              <w:rPr>
                <w:rFonts w:ascii="Arial" w:cs="Arial" w:eastAsia="Arial" w:hAnsi="Arial"/>
                <w:sz w:val="10"/>
                <w:szCs w:val="10"/>
                <w:b w:val="1"/>
                <w:bCs w:val="1"/>
                <w:color w:val="auto"/>
              </w:rPr>
              <w:t>December 31, 2016</w:t>
            </w:r>
          </w:p>
        </w:tc>
        <w:tc>
          <w:tcPr>
            <w:tcW w:w="120" w:type="dxa"/>
            <w:vAlign w:val="bottom"/>
            <w:tcBorders>
              <w:bottom w:val="single" w:sz="8" w:color="CFF0FC"/>
            </w:tcBorders>
          </w:tcPr>
          <w:p>
            <w:pPr>
              <w:spacing w:after="0"/>
              <w:rPr>
                <w:sz w:val="9"/>
                <w:szCs w:val="9"/>
                <w:color w:val="auto"/>
              </w:rPr>
            </w:pPr>
          </w:p>
        </w:tc>
      </w:tr>
      <w:tr>
        <w:trPr>
          <w:trHeight w:val="142"/>
        </w:trPr>
        <w:tc>
          <w:tcPr>
            <w:tcW w:w="37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Interest rate swaps</w:t>
            </w:r>
          </w:p>
        </w:tc>
        <w:tc>
          <w:tcPr>
            <w:tcW w:w="326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91"/>
              </w:rPr>
              <w:t>Derivative asset</w:t>
            </w:r>
          </w:p>
        </w:tc>
        <w:tc>
          <w:tcPr>
            <w:tcW w:w="52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6,793</w:t>
            </w:r>
          </w:p>
        </w:tc>
        <w:tc>
          <w:tcPr>
            <w:tcW w:w="320" w:type="dxa"/>
            <w:vAlign w:val="bottom"/>
            <w:shd w:val="clear" w:color="auto" w:fill="CFF0FC"/>
          </w:tcPr>
          <w:p>
            <w:pPr>
              <w:spacing w:after="0"/>
              <w:rPr>
                <w:sz w:val="12"/>
                <w:szCs w:val="12"/>
                <w:color w:val="auto"/>
              </w:rPr>
            </w:pPr>
          </w:p>
        </w:tc>
        <w:tc>
          <w:tcPr>
            <w:tcW w:w="320" w:type="dxa"/>
            <w:vAlign w:val="bottom"/>
            <w:shd w:val="clear" w:color="auto" w:fill="CFF0FC"/>
          </w:tcPr>
          <w:p>
            <w:pPr>
              <w:jc w:val="right"/>
              <w:ind w:right="210"/>
              <w:spacing w:after="0"/>
              <w:rPr>
                <w:sz w:val="20"/>
                <w:szCs w:val="20"/>
                <w:color w:val="auto"/>
              </w:rPr>
            </w:pPr>
            <w:r>
              <w:rPr>
                <w:rFonts w:ascii="Arial" w:cs="Arial" w:eastAsia="Arial" w:hAnsi="Arial"/>
                <w:sz w:val="10"/>
                <w:szCs w:val="10"/>
                <w:color w:val="auto"/>
                <w:w w:val="71"/>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2"/>
                <w:szCs w:val="12"/>
                <w:color w:val="auto"/>
              </w:rPr>
            </w:pPr>
          </w:p>
        </w:tc>
      </w:tr>
      <w:tr>
        <w:trPr>
          <w:trHeight w:val="153"/>
        </w:trPr>
        <w:tc>
          <w:tcPr>
            <w:tcW w:w="3700" w:type="dxa"/>
            <w:vAlign w:val="bottom"/>
            <w:gridSpan w:val="2"/>
          </w:tcPr>
          <w:p>
            <w:pPr>
              <w:spacing w:after="0"/>
              <w:rPr>
                <w:sz w:val="20"/>
                <w:szCs w:val="20"/>
                <w:color w:val="auto"/>
              </w:rPr>
            </w:pPr>
            <w:r>
              <w:rPr>
                <w:rFonts w:ascii="Arial" w:cs="Arial" w:eastAsia="Arial" w:hAnsi="Arial"/>
                <w:sz w:val="12"/>
                <w:szCs w:val="12"/>
                <w:color w:val="auto"/>
              </w:rPr>
              <w:t>Interest rate swaps</w:t>
            </w:r>
          </w:p>
        </w:tc>
        <w:tc>
          <w:tcPr>
            <w:tcW w:w="3260" w:type="dxa"/>
            <w:vAlign w:val="bottom"/>
          </w:tcPr>
          <w:p>
            <w:pPr>
              <w:jc w:val="center"/>
              <w:spacing w:after="0"/>
              <w:rPr>
                <w:sz w:val="20"/>
                <w:szCs w:val="20"/>
                <w:color w:val="auto"/>
              </w:rPr>
            </w:pPr>
            <w:r>
              <w:rPr>
                <w:rFonts w:ascii="Arial" w:cs="Arial" w:eastAsia="Arial" w:hAnsi="Arial"/>
                <w:sz w:val="12"/>
                <w:szCs w:val="12"/>
                <w:color w:val="auto"/>
                <w:w w:val="97"/>
              </w:rPr>
              <w:t>Derivative liability</w:t>
            </w:r>
          </w:p>
        </w:tc>
        <w:tc>
          <w:tcPr>
            <w:tcW w:w="5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620" w:type="dxa"/>
            <w:vAlign w:val="bottom"/>
          </w:tcPr>
          <w:p>
            <w:pPr>
              <w:jc w:val="right"/>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3"/>
                <w:szCs w:val="13"/>
                <w:color w:val="auto"/>
              </w:rPr>
            </w:pPr>
          </w:p>
        </w:tc>
        <w:tc>
          <w:tcPr>
            <w:tcW w:w="320" w:type="dxa"/>
            <w:vAlign w:val="bottom"/>
          </w:tcPr>
          <w:p>
            <w:pPr>
              <w:jc w:val="right"/>
              <w:ind w:right="210"/>
              <w:spacing w:after="0"/>
              <w:rPr>
                <w:sz w:val="20"/>
                <w:szCs w:val="20"/>
                <w:color w:val="auto"/>
              </w:rPr>
            </w:pPr>
            <w:r>
              <w:rPr>
                <w:rFonts w:ascii="Arial" w:cs="Arial" w:eastAsia="Arial" w:hAnsi="Arial"/>
                <w:sz w:val="10"/>
                <w:szCs w:val="10"/>
                <w:color w:val="auto"/>
                <w:w w:val="71"/>
              </w:rPr>
              <w:t>$</w:t>
            </w:r>
          </w:p>
        </w:tc>
        <w:tc>
          <w:tcPr>
            <w:tcW w:w="1620" w:type="dxa"/>
            <w:vAlign w:val="bottom"/>
          </w:tcPr>
          <w:p>
            <w:pPr>
              <w:jc w:val="right"/>
              <w:spacing w:after="0"/>
              <w:rPr>
                <w:sz w:val="20"/>
                <w:szCs w:val="20"/>
                <w:color w:val="auto"/>
              </w:rPr>
            </w:pPr>
            <w:r>
              <w:rPr>
                <w:rFonts w:ascii="Arial" w:cs="Arial" w:eastAsia="Arial" w:hAnsi="Arial"/>
                <w:sz w:val="12"/>
                <w:szCs w:val="12"/>
                <w:color w:val="auto"/>
              </w:rPr>
              <w:t>6,102</w:t>
            </w:r>
          </w:p>
        </w:tc>
        <w:tc>
          <w:tcPr>
            <w:tcW w:w="120" w:type="dxa"/>
            <w:vAlign w:val="bottom"/>
          </w:tcPr>
          <w:p>
            <w:pPr>
              <w:spacing w:after="0"/>
              <w:rPr>
                <w:sz w:val="13"/>
                <w:szCs w:val="13"/>
                <w:color w:val="auto"/>
              </w:rPr>
            </w:pPr>
          </w:p>
        </w:tc>
      </w:tr>
    </w:tbl>
    <w:p>
      <w:pPr>
        <w:spacing w:after="0" w:line="135" w:lineRule="exact"/>
        <w:rPr>
          <w:sz w:val="20"/>
          <w:szCs w:val="20"/>
          <w:color w:val="auto"/>
        </w:rPr>
      </w:pPr>
    </w:p>
    <w:p>
      <w:pPr>
        <w:jc w:val="both"/>
        <w:ind w:right="20"/>
        <w:spacing w:after="0" w:line="290" w:lineRule="auto"/>
        <w:rPr>
          <w:sz w:val="20"/>
          <w:szCs w:val="20"/>
          <w:color w:val="auto"/>
        </w:rPr>
      </w:pPr>
      <w:r>
        <w:rPr>
          <w:rFonts w:ascii="Arial" w:cs="Arial" w:eastAsia="Arial" w:hAnsi="Arial"/>
          <w:sz w:val="11"/>
          <w:szCs w:val="11"/>
          <w:color w:val="auto"/>
        </w:rPr>
        <w:t>As of December 31, 2017, all of the interest rate swaps were valued in net unrealized gain positions and recognized as an asset balance within the derivative asset balance. As of December 31, 2016, all of the interest rate swaps were valued in net unrealized loss positions and recognized as liability balances within the derivative liability balance. For the years ended December 31, 2017 and 2016, the amount recorded in other comprehensive income related to the unrealized loss on derivative instruments was $7.7 million and $24.5 million, respectively. The amount reclassified out of other comprehensive income into interest expense on our Consolidated Statement of Income for the years ended December 31, 2017 and 2016 was $20.6 million and $23.8 million, respectively. For the years ended December 31, 2017 and 2016, there were no ineffective portions of the change in fair value derivatives.</w:t>
      </w:r>
    </w:p>
    <w:p>
      <w:pPr>
        <w:spacing w:after="0" w:line="109" w:lineRule="exact"/>
        <w:rPr>
          <w:sz w:val="20"/>
          <w:szCs w:val="20"/>
          <w:color w:val="auto"/>
        </w:rPr>
      </w:pPr>
    </w:p>
    <w:p>
      <w:pPr>
        <w:ind w:right="240"/>
        <w:spacing w:after="0" w:line="276" w:lineRule="auto"/>
        <w:rPr>
          <w:sz w:val="20"/>
          <w:szCs w:val="20"/>
          <w:color w:val="auto"/>
        </w:rPr>
      </w:pPr>
      <w:r>
        <w:rPr>
          <w:rFonts w:ascii="Arial" w:cs="Arial" w:eastAsia="Arial" w:hAnsi="Arial"/>
          <w:sz w:val="12"/>
          <w:szCs w:val="12"/>
          <w:color w:val="auto"/>
        </w:rPr>
        <w:t>Amounts reported in accumulated other comprehensive income related to derivatives will be reclassified to interest expense as interest payments are made on our variable-rate debt. During the next twelve months, ending December 31, 2018, we estimate that $17.5 million will be reclassified as an increase to interest expense.</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8. Goodwill and Intangible Assets</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color w:val="auto"/>
        </w:rPr>
        <w:t>Changes in the carrying amount of goodwill occurring during the year ended December 31, 2017 and 2016, are as follows: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38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(Thousands)</w:t>
            </w:r>
          </w:p>
        </w:tc>
        <w:tc>
          <w:tcPr>
            <w:tcW w:w="3020" w:type="dxa"/>
            <w:vAlign w:val="bottom"/>
            <w:tcBorders>
              <w:bottom w:val="single" w:sz="8" w:color="auto"/>
            </w:tcBorders>
          </w:tcPr>
          <w:p>
            <w:pPr>
              <w:spacing w:after="0"/>
              <w:rPr>
                <w:sz w:val="12"/>
                <w:szCs w:val="12"/>
                <w:color w:val="auto"/>
              </w:rPr>
            </w:pPr>
          </w:p>
        </w:tc>
        <w:tc>
          <w:tcPr>
            <w:tcW w:w="200" w:type="dxa"/>
            <w:vAlign w:val="bottom"/>
            <w:tcBorders>
              <w:bottom w:val="single" w:sz="8" w:color="CFF0FC"/>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tcPr>
          <w:p>
            <w:pPr>
              <w:jc w:val="right"/>
              <w:ind w:right="522"/>
              <w:spacing w:after="0"/>
              <w:rPr>
                <w:sz w:val="20"/>
                <w:szCs w:val="20"/>
                <w:color w:val="auto"/>
              </w:rPr>
            </w:pPr>
            <w:r>
              <w:rPr>
                <w:rFonts w:ascii="Arial" w:cs="Arial" w:eastAsia="Arial" w:hAnsi="Arial"/>
                <w:sz w:val="10"/>
                <w:szCs w:val="10"/>
                <w:b w:val="1"/>
                <w:bCs w:val="1"/>
                <w:color w:val="auto"/>
              </w:rPr>
              <w:t>Fiber Infrastructure</w:t>
            </w:r>
          </w:p>
        </w:tc>
        <w:tc>
          <w:tcPr>
            <w:tcW w:w="320" w:type="dxa"/>
            <w:vAlign w:val="bottom"/>
            <w:tcBorders>
              <w:bottom w:val="single" w:sz="8" w:color="CFF0FC"/>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ind w:right="822"/>
              <w:spacing w:after="0"/>
              <w:rPr>
                <w:sz w:val="20"/>
                <w:szCs w:val="20"/>
                <w:color w:val="auto"/>
              </w:rPr>
            </w:pPr>
            <w:r>
              <w:rPr>
                <w:rFonts w:ascii="Arial" w:cs="Arial" w:eastAsia="Arial" w:hAnsi="Arial"/>
                <w:sz w:val="10"/>
                <w:szCs w:val="10"/>
                <w:b w:val="1"/>
                <w:bCs w:val="1"/>
                <w:color w:val="auto"/>
              </w:rPr>
              <w:t>Total</w:t>
            </w:r>
          </w:p>
        </w:tc>
        <w:tc>
          <w:tcPr>
            <w:tcW w:w="120" w:type="dxa"/>
            <w:vAlign w:val="bottom"/>
            <w:tcBorders>
              <w:bottom w:val="single" w:sz="8" w:color="CFF0FC"/>
            </w:tcBorders>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3880" w:type="dxa"/>
            <w:vAlign w:val="bottom"/>
            <w:shd w:val="clear" w:color="auto" w:fill="CFF0FC"/>
          </w:tcPr>
          <w:p>
            <w:pPr>
              <w:spacing w:after="0"/>
              <w:rPr>
                <w:sz w:val="20"/>
                <w:szCs w:val="20"/>
                <w:color w:val="auto"/>
              </w:rPr>
            </w:pPr>
            <w:r>
              <w:rPr>
                <w:rFonts w:ascii="Arial" w:cs="Arial" w:eastAsia="Arial" w:hAnsi="Arial"/>
                <w:sz w:val="12"/>
                <w:szCs w:val="12"/>
                <w:color w:val="auto"/>
              </w:rPr>
              <w:t>Goodwill at December 31, 2015</w:t>
            </w:r>
          </w:p>
        </w:tc>
        <w:tc>
          <w:tcPr>
            <w:tcW w:w="3540" w:type="dxa"/>
            <w:vAlign w:val="bottom"/>
            <w:gridSpan w:val="3"/>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320" w:type="dxa"/>
            <w:vAlign w:val="bottom"/>
            <w:shd w:val="clear" w:color="auto" w:fill="CFF0FC"/>
          </w:tcPr>
          <w:p>
            <w:pPr>
              <w:spacing w:after="0"/>
              <w:rPr>
                <w:sz w:val="12"/>
                <w:szCs w:val="12"/>
                <w:color w:val="auto"/>
              </w:rPr>
            </w:pPr>
          </w:p>
        </w:tc>
        <w:tc>
          <w:tcPr>
            <w:tcW w:w="460" w:type="dxa"/>
            <w:vAlign w:val="bottom"/>
            <w:shd w:val="clear" w:color="auto" w:fill="CFF0FC"/>
          </w:tcPr>
          <w:p>
            <w:pPr>
              <w:jc w:val="right"/>
              <w:ind w:right="350"/>
              <w:spacing w:after="0"/>
              <w:rPr>
                <w:sz w:val="20"/>
                <w:szCs w:val="20"/>
                <w:color w:val="auto"/>
              </w:rPr>
            </w:pPr>
            <w:r>
              <w:rPr>
                <w:rFonts w:ascii="Arial" w:cs="Arial" w:eastAsia="Arial" w:hAnsi="Arial"/>
                <w:sz w:val="10"/>
                <w:szCs w:val="10"/>
                <w:color w:val="auto"/>
                <w:w w:val="71"/>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r>
      <w:tr>
        <w:trPr>
          <w:trHeight w:val="153"/>
        </w:trPr>
        <w:tc>
          <w:tcPr>
            <w:tcW w:w="3880" w:type="dxa"/>
            <w:vAlign w:val="bottom"/>
            <w:tcBorders>
              <w:bottom w:val="single" w:sz="8" w:color="CFF0FC"/>
            </w:tcBorders>
          </w:tcPr>
          <w:p>
            <w:pPr>
              <w:spacing w:after="0"/>
              <w:rPr>
                <w:sz w:val="20"/>
                <w:szCs w:val="20"/>
                <w:color w:val="auto"/>
              </w:rPr>
            </w:pPr>
            <w:r>
              <w:rPr>
                <w:rFonts w:ascii="Arial" w:cs="Arial" w:eastAsia="Arial" w:hAnsi="Arial"/>
                <w:sz w:val="12"/>
                <w:szCs w:val="12"/>
                <w:color w:val="auto"/>
              </w:rPr>
              <w:t>Goodwill associated with 2016 acquisitions</w:t>
            </w:r>
          </w:p>
        </w:tc>
        <w:tc>
          <w:tcPr>
            <w:tcW w:w="3020" w:type="dxa"/>
            <w:vAlign w:val="bottom"/>
            <w:tcBorders>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262,334</w:t>
            </w:r>
          </w:p>
        </w:tc>
        <w:tc>
          <w:tcPr>
            <w:tcW w:w="32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262,334</w:t>
            </w:r>
          </w:p>
        </w:tc>
        <w:tc>
          <w:tcPr>
            <w:tcW w:w="12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r>
      <w:tr>
        <w:trPr>
          <w:trHeight w:val="142"/>
        </w:trPr>
        <w:tc>
          <w:tcPr>
            <w:tcW w:w="3880" w:type="dxa"/>
            <w:vAlign w:val="bottom"/>
            <w:shd w:val="clear" w:color="auto" w:fill="CFF0FC"/>
          </w:tcPr>
          <w:p>
            <w:pPr>
              <w:spacing w:after="0"/>
              <w:rPr>
                <w:sz w:val="20"/>
                <w:szCs w:val="20"/>
                <w:color w:val="auto"/>
              </w:rPr>
            </w:pPr>
            <w:r>
              <w:rPr>
                <w:rFonts w:ascii="Arial" w:cs="Arial" w:eastAsia="Arial" w:hAnsi="Arial"/>
                <w:sz w:val="12"/>
                <w:szCs w:val="12"/>
                <w:color w:val="auto"/>
              </w:rPr>
              <w:t>Goodwill at December 31, 2016</w:t>
            </w:r>
          </w:p>
        </w:tc>
        <w:tc>
          <w:tcPr>
            <w:tcW w:w="3540" w:type="dxa"/>
            <w:vAlign w:val="bottom"/>
            <w:gridSpan w:val="3"/>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262,334</w:t>
            </w:r>
          </w:p>
        </w:tc>
        <w:tc>
          <w:tcPr>
            <w:tcW w:w="320" w:type="dxa"/>
            <w:vAlign w:val="bottom"/>
            <w:shd w:val="clear" w:color="auto" w:fill="CFF0FC"/>
          </w:tcPr>
          <w:p>
            <w:pPr>
              <w:spacing w:after="0"/>
              <w:rPr>
                <w:sz w:val="12"/>
                <w:szCs w:val="12"/>
                <w:color w:val="auto"/>
              </w:rPr>
            </w:pPr>
          </w:p>
        </w:tc>
        <w:tc>
          <w:tcPr>
            <w:tcW w:w="460" w:type="dxa"/>
            <w:vAlign w:val="bottom"/>
            <w:shd w:val="clear" w:color="auto" w:fill="CFF0FC"/>
          </w:tcPr>
          <w:p>
            <w:pPr>
              <w:jc w:val="right"/>
              <w:ind w:right="350"/>
              <w:spacing w:after="0"/>
              <w:rPr>
                <w:sz w:val="20"/>
                <w:szCs w:val="20"/>
                <w:color w:val="auto"/>
              </w:rPr>
            </w:pPr>
            <w:r>
              <w:rPr>
                <w:rFonts w:ascii="Arial" w:cs="Arial" w:eastAsia="Arial" w:hAnsi="Arial"/>
                <w:sz w:val="10"/>
                <w:szCs w:val="10"/>
                <w:color w:val="auto"/>
                <w:w w:val="71"/>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262,334</w:t>
            </w:r>
          </w:p>
        </w:tc>
        <w:tc>
          <w:tcPr>
            <w:tcW w:w="12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r>
      <w:tr>
        <w:trPr>
          <w:trHeight w:val="153"/>
        </w:trPr>
        <w:tc>
          <w:tcPr>
            <w:tcW w:w="3880" w:type="dxa"/>
            <w:vAlign w:val="bottom"/>
          </w:tcPr>
          <w:p>
            <w:pPr>
              <w:spacing w:after="0"/>
              <w:rPr>
                <w:sz w:val="20"/>
                <w:szCs w:val="20"/>
                <w:color w:val="auto"/>
              </w:rPr>
            </w:pPr>
            <w:r>
              <w:rPr>
                <w:rFonts w:ascii="Arial" w:cs="Arial" w:eastAsia="Arial" w:hAnsi="Arial"/>
                <w:sz w:val="12"/>
                <w:szCs w:val="12"/>
                <w:color w:val="auto"/>
              </w:rPr>
              <w:t>Goodwill purchase accounting adjustments</w:t>
            </w:r>
          </w:p>
        </w:tc>
        <w:tc>
          <w:tcPr>
            <w:tcW w:w="3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980" w:type="dxa"/>
            <w:vAlign w:val="bottom"/>
            <w:gridSpan w:val="2"/>
          </w:tcPr>
          <w:p>
            <w:pPr>
              <w:jc w:val="right"/>
              <w:ind w:right="280"/>
              <w:spacing w:after="0"/>
              <w:rPr>
                <w:sz w:val="20"/>
                <w:szCs w:val="20"/>
                <w:color w:val="auto"/>
              </w:rPr>
            </w:pPr>
            <w:r>
              <w:rPr>
                <w:rFonts w:ascii="Arial" w:cs="Arial" w:eastAsia="Arial" w:hAnsi="Arial"/>
                <w:sz w:val="12"/>
                <w:szCs w:val="12"/>
                <w:color w:val="auto"/>
              </w:rPr>
              <w:t>(248)</w:t>
            </w:r>
          </w:p>
        </w:tc>
        <w:tc>
          <w:tcPr>
            <w:tcW w:w="460" w:type="dxa"/>
            <w:vAlign w:val="bottom"/>
          </w:tcPr>
          <w:p>
            <w:pPr>
              <w:spacing w:after="0"/>
              <w:rPr>
                <w:sz w:val="13"/>
                <w:szCs w:val="13"/>
                <w:color w:val="auto"/>
              </w:rPr>
            </w:pPr>
          </w:p>
        </w:tc>
        <w:tc>
          <w:tcPr>
            <w:tcW w:w="1620" w:type="dxa"/>
            <w:vAlign w:val="bottom"/>
            <w:gridSpan w:val="2"/>
          </w:tcPr>
          <w:p>
            <w:pPr>
              <w:jc w:val="right"/>
              <w:ind w:right="80"/>
              <w:spacing w:after="0"/>
              <w:rPr>
                <w:sz w:val="20"/>
                <w:szCs w:val="20"/>
                <w:color w:val="auto"/>
              </w:rPr>
            </w:pPr>
            <w:r>
              <w:rPr>
                <w:rFonts w:ascii="Arial" w:cs="Arial" w:eastAsia="Arial" w:hAnsi="Arial"/>
                <w:sz w:val="12"/>
                <w:szCs w:val="12"/>
                <w:color w:val="auto"/>
              </w:rPr>
              <w:t>(248)</w:t>
            </w:r>
          </w:p>
        </w:tc>
        <w:tc>
          <w:tcPr>
            <w:tcW w:w="20" w:type="dxa"/>
            <w:vAlign w:val="bottom"/>
          </w:tcPr>
          <w:p>
            <w:pPr>
              <w:spacing w:after="0"/>
              <w:rPr>
                <w:sz w:val="13"/>
                <w:szCs w:val="13"/>
                <w:color w:val="auto"/>
              </w:rPr>
            </w:pPr>
          </w:p>
        </w:tc>
      </w:tr>
      <w:tr>
        <w:trPr>
          <w:trHeight w:val="153"/>
        </w:trPr>
        <w:tc>
          <w:tcPr>
            <w:tcW w:w="3880" w:type="dxa"/>
            <w:vAlign w:val="bottom"/>
            <w:shd w:val="clear" w:color="auto" w:fill="CFF0FC"/>
          </w:tcPr>
          <w:p>
            <w:pPr>
              <w:spacing w:after="0"/>
              <w:rPr>
                <w:sz w:val="20"/>
                <w:szCs w:val="20"/>
                <w:color w:val="auto"/>
              </w:rPr>
            </w:pPr>
            <w:r>
              <w:rPr>
                <w:rFonts w:ascii="Arial" w:cs="Arial" w:eastAsia="Arial" w:hAnsi="Arial"/>
                <w:sz w:val="12"/>
                <w:szCs w:val="12"/>
                <w:color w:val="auto"/>
              </w:rPr>
              <w:t>Goodwill associated with 2017 acquisitions</w:t>
            </w:r>
          </w:p>
        </w:tc>
        <w:tc>
          <w:tcPr>
            <w:tcW w:w="30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320" w:type="dxa"/>
            <w:vAlign w:val="bottom"/>
            <w:tcBorders>
              <w:bottom w:val="single" w:sz="8" w:color="auto"/>
            </w:tcBorders>
            <w:shd w:val="clear" w:color="auto" w:fill="CFF0FC"/>
          </w:tcPr>
          <w:p>
            <w:pPr>
              <w:spacing w:after="0"/>
              <w:rPr>
                <w:sz w:val="13"/>
                <w:szCs w:val="13"/>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411,643</w:t>
            </w:r>
          </w:p>
        </w:tc>
        <w:tc>
          <w:tcPr>
            <w:tcW w:w="320" w:type="dxa"/>
            <w:vAlign w:val="bottom"/>
            <w:shd w:val="clear" w:color="auto" w:fill="CFF0FC"/>
          </w:tcPr>
          <w:p>
            <w:pPr>
              <w:spacing w:after="0"/>
              <w:rPr>
                <w:sz w:val="13"/>
                <w:szCs w:val="13"/>
                <w:color w:val="auto"/>
              </w:rPr>
            </w:pPr>
          </w:p>
        </w:tc>
        <w:tc>
          <w:tcPr>
            <w:tcW w:w="460" w:type="dxa"/>
            <w:vAlign w:val="bottom"/>
            <w:tcBorders>
              <w:bottom w:val="single" w:sz="8" w:color="auto"/>
            </w:tcBorders>
            <w:shd w:val="clear" w:color="auto" w:fill="CFF0FC"/>
          </w:tcPr>
          <w:p>
            <w:pPr>
              <w:spacing w:after="0"/>
              <w:rPr>
                <w:sz w:val="13"/>
                <w:szCs w:val="13"/>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411,643</w:t>
            </w: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49"/>
        </w:trPr>
        <w:tc>
          <w:tcPr>
            <w:tcW w:w="3880" w:type="dxa"/>
            <w:vAlign w:val="bottom"/>
          </w:tcPr>
          <w:p>
            <w:pPr>
              <w:spacing w:after="0"/>
              <w:rPr>
                <w:sz w:val="20"/>
                <w:szCs w:val="20"/>
                <w:color w:val="auto"/>
              </w:rPr>
            </w:pPr>
            <w:r>
              <w:rPr>
                <w:rFonts w:ascii="Arial" w:cs="Arial" w:eastAsia="Arial" w:hAnsi="Arial"/>
                <w:sz w:val="12"/>
                <w:szCs w:val="12"/>
                <w:color w:val="auto"/>
              </w:rPr>
              <w:t>Goodwill at December 31, 2017</w:t>
            </w:r>
          </w:p>
        </w:tc>
        <w:tc>
          <w:tcPr>
            <w:tcW w:w="3540" w:type="dxa"/>
            <w:vAlign w:val="bottom"/>
            <w:gridSpan w:val="3"/>
          </w:tcPr>
          <w:p>
            <w:pPr>
              <w:jc w:val="right"/>
              <w:ind w:right="260"/>
              <w:spacing w:after="0"/>
              <w:rPr>
                <w:sz w:val="20"/>
                <w:szCs w:val="20"/>
                <w:color w:val="auto"/>
              </w:rPr>
            </w:pPr>
            <w:r>
              <w:rPr>
                <w:rFonts w:ascii="Arial" w:cs="Arial" w:eastAsia="Arial" w:hAnsi="Arial"/>
                <w:sz w:val="12"/>
                <w:szCs w:val="12"/>
                <w:color w:val="auto"/>
              </w:rPr>
              <w:t>$</w:t>
            </w:r>
          </w:p>
        </w:tc>
        <w:tc>
          <w:tcPr>
            <w:tcW w:w="1660" w:type="dxa"/>
            <w:vAlign w:val="bottom"/>
          </w:tcPr>
          <w:p>
            <w:pPr>
              <w:jc w:val="right"/>
              <w:spacing w:after="0"/>
              <w:rPr>
                <w:sz w:val="20"/>
                <w:szCs w:val="20"/>
                <w:color w:val="auto"/>
              </w:rPr>
            </w:pPr>
            <w:r>
              <w:rPr>
                <w:rFonts w:ascii="Arial" w:cs="Arial" w:eastAsia="Arial" w:hAnsi="Arial"/>
                <w:sz w:val="12"/>
                <w:szCs w:val="12"/>
                <w:color w:val="auto"/>
              </w:rPr>
              <w:t>673,729</w:t>
            </w:r>
          </w:p>
        </w:tc>
        <w:tc>
          <w:tcPr>
            <w:tcW w:w="320" w:type="dxa"/>
            <w:vAlign w:val="bottom"/>
          </w:tcPr>
          <w:p>
            <w:pPr>
              <w:spacing w:after="0"/>
              <w:rPr>
                <w:sz w:val="12"/>
                <w:szCs w:val="12"/>
                <w:color w:val="auto"/>
              </w:rPr>
            </w:pPr>
          </w:p>
        </w:tc>
        <w:tc>
          <w:tcPr>
            <w:tcW w:w="460" w:type="dxa"/>
            <w:vAlign w:val="bottom"/>
          </w:tcPr>
          <w:p>
            <w:pPr>
              <w:jc w:val="right"/>
              <w:ind w:right="350"/>
              <w:spacing w:after="0"/>
              <w:rPr>
                <w:sz w:val="20"/>
                <w:szCs w:val="20"/>
                <w:color w:val="auto"/>
              </w:rPr>
            </w:pPr>
            <w:r>
              <w:rPr>
                <w:rFonts w:ascii="Arial" w:cs="Arial" w:eastAsia="Arial" w:hAnsi="Arial"/>
                <w:sz w:val="10"/>
                <w:szCs w:val="10"/>
                <w:color w:val="auto"/>
                <w:w w:val="71"/>
              </w:rPr>
              <w:t>$</w:t>
            </w:r>
          </w:p>
        </w:tc>
        <w:tc>
          <w:tcPr>
            <w:tcW w:w="1500" w:type="dxa"/>
            <w:vAlign w:val="bottom"/>
          </w:tcPr>
          <w:p>
            <w:pPr>
              <w:jc w:val="right"/>
              <w:spacing w:after="0"/>
              <w:rPr>
                <w:sz w:val="20"/>
                <w:szCs w:val="20"/>
                <w:color w:val="auto"/>
              </w:rPr>
            </w:pPr>
            <w:r>
              <w:rPr>
                <w:rFonts w:ascii="Arial" w:cs="Arial" w:eastAsia="Arial" w:hAnsi="Arial"/>
                <w:sz w:val="12"/>
                <w:szCs w:val="12"/>
                <w:color w:val="auto"/>
              </w:rPr>
              <w:t>673,729</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88"/>
        </w:trPr>
        <w:tc>
          <w:tcPr>
            <w:tcW w:w="3880" w:type="dxa"/>
            <w:vAlign w:val="bottom"/>
          </w:tcPr>
          <w:p>
            <w:pPr>
              <w:spacing w:after="0"/>
              <w:rPr>
                <w:sz w:val="24"/>
                <w:szCs w:val="24"/>
                <w:color w:val="auto"/>
              </w:rPr>
            </w:pPr>
          </w:p>
        </w:tc>
        <w:tc>
          <w:tcPr>
            <w:tcW w:w="3020" w:type="dxa"/>
            <w:vAlign w:val="bottom"/>
          </w:tcPr>
          <w:p>
            <w:pPr>
              <w:jc w:val="right"/>
              <w:ind w:right="1040"/>
              <w:spacing w:after="0"/>
              <w:rPr>
                <w:sz w:val="20"/>
                <w:szCs w:val="20"/>
                <w:color w:val="auto"/>
              </w:rPr>
            </w:pPr>
            <w:r>
              <w:rPr>
                <w:rFonts w:ascii="Arial" w:cs="Arial" w:eastAsia="Arial" w:hAnsi="Arial"/>
                <w:sz w:val="12"/>
                <w:szCs w:val="12"/>
                <w:color w:val="auto"/>
              </w:rPr>
              <w:t>74</w:t>
            </w:r>
          </w:p>
        </w:tc>
        <w:tc>
          <w:tcPr>
            <w:tcW w:w="2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66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2"/>
        </w:trPr>
        <w:tc>
          <w:tcPr>
            <w:tcW w:w="3880" w:type="dxa"/>
            <w:vAlign w:val="bottom"/>
            <w:tcBorders>
              <w:bottom w:val="single" w:sz="8" w:color="9A9A9A"/>
            </w:tcBorders>
          </w:tcPr>
          <w:p>
            <w:pPr>
              <w:spacing w:after="0"/>
              <w:rPr>
                <w:sz w:val="6"/>
                <w:szCs w:val="6"/>
                <w:color w:val="auto"/>
              </w:rPr>
            </w:pPr>
          </w:p>
        </w:tc>
        <w:tc>
          <w:tcPr>
            <w:tcW w:w="302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166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460" w:type="dxa"/>
            <w:vAlign w:val="bottom"/>
            <w:tcBorders>
              <w:bottom w:val="single" w:sz="8" w:color="9A9A9A"/>
            </w:tcBorders>
          </w:tcPr>
          <w:p>
            <w:pPr>
              <w:spacing w:after="0"/>
              <w:rPr>
                <w:sz w:val="6"/>
                <w:szCs w:val="6"/>
                <w:color w:val="auto"/>
              </w:rPr>
            </w:pPr>
          </w:p>
        </w:tc>
        <w:tc>
          <w:tcPr>
            <w:tcW w:w="150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7280275</wp:posOffset>
            </wp:positionH>
            <wp:positionV relativeFrom="paragraph">
              <wp:posOffset>-23495</wp:posOffset>
            </wp:positionV>
            <wp:extent cx="31115" cy="368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0"/>
          </w:cols>
          <w:pgMar w:left="220" w:top="131" w:right="179" w:bottom="1440" w:gutter="0" w:footer="0" w:header="0"/>
        </w:sectPr>
      </w:pPr>
    </w:p>
    <w:bookmarkStart w:id="74" w:name="page75"/>
    <w:bookmarkEnd w:id="74"/>
    <w:p>
      <w:pPr>
        <w:ind w:left="8"/>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 w:lineRule="exact"/>
        <w:rPr>
          <w:sz w:val="20"/>
          <w:szCs w:val="20"/>
          <w:color w:val="auto"/>
        </w:rPr>
      </w:pPr>
    </w:p>
    <w:p>
      <w:pPr>
        <w:jc w:val="center"/>
        <w:ind w:right="12"/>
        <w:spacing w:after="0"/>
        <w:rPr>
          <w:sz w:val="20"/>
          <w:szCs w:val="20"/>
          <w:color w:val="auto"/>
        </w:rPr>
      </w:pPr>
      <w:r>
        <w:rPr>
          <w:rFonts w:ascii="Arial" w:cs="Arial" w:eastAsia="Arial" w:hAnsi="Arial"/>
          <w:sz w:val="12"/>
          <w:szCs w:val="12"/>
          <w:b w:val="1"/>
          <w:bCs w:val="1"/>
          <w:color w:val="auto"/>
        </w:rPr>
        <w:t>Uniti Group Inc.</w:t>
      </w:r>
    </w:p>
    <w:p>
      <w:pPr>
        <w:spacing w:after="0" w:line="6" w:lineRule="exact"/>
        <w:rPr>
          <w:sz w:val="20"/>
          <w:szCs w:val="20"/>
          <w:color w:val="auto"/>
        </w:rPr>
      </w:pPr>
    </w:p>
    <w:p>
      <w:pPr>
        <w:jc w:val="center"/>
        <w:ind w:right="12"/>
        <w:spacing w:after="0"/>
        <w:rPr>
          <w:sz w:val="20"/>
          <w:szCs w:val="20"/>
          <w:color w:val="auto"/>
        </w:rPr>
      </w:pPr>
      <w:r>
        <w:rPr>
          <w:rFonts w:ascii="Arial" w:cs="Arial" w:eastAsia="Arial" w:hAnsi="Arial"/>
          <w:sz w:val="12"/>
          <w:szCs w:val="12"/>
          <w:b w:val="1"/>
          <w:bCs w:val="1"/>
          <w:color w:val="auto"/>
        </w:rPr>
        <w:t>Notes to the Consolidated Financial Statements – Continued</w:t>
      </w:r>
    </w:p>
    <w:p>
      <w:pPr>
        <w:spacing w:after="0" w:line="231"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carrying value of our other intangible assets is as follows:</w:t>
      </w:r>
    </w:p>
    <w:p>
      <w:pPr>
        <w:spacing w:after="0" w:line="206"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492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(Thousands)</w:t>
            </w:r>
          </w:p>
        </w:tc>
        <w:tc>
          <w:tcPr>
            <w:tcW w:w="160" w:type="dxa"/>
            <w:vAlign w:val="bottom"/>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120" w:type="dxa"/>
            <w:vAlign w:val="bottom"/>
            <w:tcBorders>
              <w:bottom w:val="single" w:sz="8" w:color="auto"/>
            </w:tcBorders>
            <w:gridSpan w:val="5"/>
          </w:tcPr>
          <w:p>
            <w:pPr>
              <w:jc w:val="right"/>
              <w:ind w:right="1062"/>
              <w:spacing w:after="0"/>
              <w:rPr>
                <w:sz w:val="20"/>
                <w:szCs w:val="20"/>
                <w:color w:val="auto"/>
              </w:rPr>
            </w:pPr>
            <w:r>
              <w:rPr>
                <w:rFonts w:ascii="Arial" w:cs="Arial" w:eastAsia="Arial" w:hAnsi="Arial"/>
                <w:sz w:val="10"/>
                <w:szCs w:val="10"/>
                <w:b w:val="1"/>
                <w:bCs w:val="1"/>
                <w:color w:val="auto"/>
              </w:rPr>
              <w:t>December 31, 2017</w:t>
            </w:r>
          </w:p>
        </w:tc>
        <w:tc>
          <w:tcPr>
            <w:tcW w:w="260" w:type="dxa"/>
            <w:vAlign w:val="bottom"/>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140" w:type="dxa"/>
            <w:vAlign w:val="bottom"/>
            <w:tcBorders>
              <w:bottom w:val="single" w:sz="8" w:color="auto"/>
            </w:tcBorders>
            <w:gridSpan w:val="4"/>
          </w:tcPr>
          <w:p>
            <w:pPr>
              <w:jc w:val="right"/>
              <w:ind w:right="1062"/>
              <w:spacing w:after="0"/>
              <w:rPr>
                <w:sz w:val="20"/>
                <w:szCs w:val="20"/>
                <w:color w:val="auto"/>
              </w:rPr>
            </w:pPr>
            <w:r>
              <w:rPr>
                <w:rFonts w:ascii="Arial" w:cs="Arial" w:eastAsia="Arial" w:hAnsi="Arial"/>
                <w:sz w:val="10"/>
                <w:szCs w:val="10"/>
                <w:b w:val="1"/>
                <w:bCs w:val="1"/>
                <w:color w:val="auto"/>
              </w:rPr>
              <w:t>December 31, 2016</w:t>
            </w:r>
          </w:p>
        </w:tc>
        <w:tc>
          <w:tcPr>
            <w:tcW w:w="120" w:type="dxa"/>
            <w:vAlign w:val="bottom"/>
          </w:tcPr>
          <w:p>
            <w:pPr>
              <w:spacing w:after="0"/>
              <w:rPr>
                <w:sz w:val="10"/>
                <w:szCs w:val="10"/>
                <w:color w:val="auto"/>
              </w:rPr>
            </w:pPr>
          </w:p>
        </w:tc>
      </w:tr>
      <w:tr>
        <w:trPr>
          <w:trHeight w:val="151"/>
        </w:trPr>
        <w:tc>
          <w:tcPr>
            <w:tcW w:w="4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ind w:right="50"/>
              <w:spacing w:after="0"/>
              <w:rPr>
                <w:sz w:val="20"/>
                <w:szCs w:val="20"/>
                <w:color w:val="auto"/>
              </w:rPr>
            </w:pPr>
            <w:r>
              <w:rPr>
                <w:rFonts w:ascii="Arial" w:cs="Arial" w:eastAsia="Arial" w:hAnsi="Arial"/>
                <w:sz w:val="10"/>
                <w:szCs w:val="10"/>
                <w:b w:val="1"/>
                <w:bCs w:val="1"/>
                <w:color w:val="auto"/>
              </w:rPr>
              <w:t>Cost</w:t>
            </w: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gridSpan w:val="2"/>
          </w:tcPr>
          <w:p>
            <w:pPr>
              <w:jc w:val="right"/>
              <w:ind w:right="400"/>
              <w:spacing w:after="0"/>
              <w:rPr>
                <w:sz w:val="20"/>
                <w:szCs w:val="20"/>
                <w:color w:val="auto"/>
              </w:rPr>
            </w:pPr>
            <w:r>
              <w:rPr>
                <w:rFonts w:ascii="Arial" w:cs="Arial" w:eastAsia="Arial" w:hAnsi="Arial"/>
                <w:sz w:val="10"/>
                <w:szCs w:val="10"/>
                <w:b w:val="1"/>
                <w:bCs w:val="1"/>
                <w:color w:val="auto"/>
                <w:w w:val="88"/>
              </w:rPr>
              <w:t>Accumulated Amortization</w:t>
            </w:r>
          </w:p>
        </w:tc>
        <w:tc>
          <w:tcPr>
            <w:tcW w:w="880" w:type="dxa"/>
            <w:vAlign w:val="bottom"/>
          </w:tcPr>
          <w:p>
            <w:pPr>
              <w:jc w:val="right"/>
              <w:ind w:right="50"/>
              <w:spacing w:after="0"/>
              <w:rPr>
                <w:sz w:val="20"/>
                <w:szCs w:val="20"/>
                <w:color w:val="auto"/>
              </w:rPr>
            </w:pPr>
            <w:r>
              <w:rPr>
                <w:rFonts w:ascii="Arial" w:cs="Arial" w:eastAsia="Arial" w:hAnsi="Arial"/>
                <w:sz w:val="10"/>
                <w:szCs w:val="10"/>
                <w:b w:val="1"/>
                <w:bCs w:val="1"/>
                <w:color w:val="auto"/>
              </w:rPr>
              <w:t>Cost</w:t>
            </w: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0"/>
                <w:szCs w:val="10"/>
                <w:b w:val="1"/>
                <w:bCs w:val="1"/>
                <w:color w:val="auto"/>
                <w:w w:val="88"/>
              </w:rPr>
              <w:t>Accumulated Amortization</w:t>
            </w:r>
          </w:p>
        </w:tc>
      </w:tr>
      <w:tr>
        <w:trPr>
          <w:trHeight w:val="151"/>
        </w:trPr>
        <w:tc>
          <w:tcPr>
            <w:tcW w:w="50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2"/>
                <w:szCs w:val="12"/>
                <w:color w:val="auto"/>
              </w:rPr>
              <w:t>Indefinite life intangible assets:</w:t>
            </w:r>
          </w:p>
        </w:tc>
        <w:tc>
          <w:tcPr>
            <w:tcW w:w="880" w:type="dxa"/>
            <w:vAlign w:val="bottom"/>
            <w:tcBorders>
              <w:top w:val="single" w:sz="8" w:color="auto"/>
            </w:tcBorders>
            <w:shd w:val="clear" w:color="auto" w:fill="CFF0FC"/>
          </w:tcPr>
          <w:p>
            <w:pPr>
              <w:spacing w:after="0"/>
              <w:rPr>
                <w:sz w:val="13"/>
                <w:szCs w:val="13"/>
                <w:color w:val="auto"/>
              </w:rPr>
            </w:pPr>
          </w:p>
        </w:tc>
        <w:tc>
          <w:tcPr>
            <w:tcW w:w="50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128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spacing w:after="0"/>
              <w:rPr>
                <w:sz w:val="13"/>
                <w:szCs w:val="13"/>
                <w:color w:val="auto"/>
              </w:rPr>
            </w:pPr>
          </w:p>
        </w:tc>
        <w:tc>
          <w:tcPr>
            <w:tcW w:w="50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128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r>
      <w:tr>
        <w:trPr>
          <w:trHeight w:val="153"/>
        </w:trPr>
        <w:tc>
          <w:tcPr>
            <w:tcW w:w="5080" w:type="dxa"/>
            <w:vAlign w:val="bottom"/>
            <w:gridSpan w:val="2"/>
          </w:tcPr>
          <w:p>
            <w:pPr>
              <w:spacing w:after="0"/>
              <w:rPr>
                <w:sz w:val="20"/>
                <w:szCs w:val="20"/>
                <w:color w:val="auto"/>
              </w:rPr>
            </w:pPr>
            <w:r>
              <w:rPr>
                <w:rFonts w:ascii="Arial" w:cs="Arial" w:eastAsia="Arial" w:hAnsi="Arial"/>
                <w:sz w:val="12"/>
                <w:szCs w:val="12"/>
                <w:color w:val="auto"/>
              </w:rPr>
              <w:t>Trade name</w:t>
            </w:r>
          </w:p>
        </w:tc>
        <w:tc>
          <w:tcPr>
            <w:tcW w:w="880" w:type="dxa"/>
            <w:vAlign w:val="bottom"/>
          </w:tcPr>
          <w:p>
            <w:pPr>
              <w:jc w:val="right"/>
              <w:ind w:right="770"/>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rPr>
                <w:sz w:val="20"/>
                <w:szCs w:val="20"/>
                <w:color w:val="auto"/>
              </w:rPr>
            </w:pPr>
            <w:r>
              <w:rPr>
                <w:rFonts w:ascii="Arial" w:cs="Arial" w:eastAsia="Arial" w:hAnsi="Arial"/>
                <w:sz w:val="12"/>
                <w:szCs w:val="12"/>
                <w:color w:val="auto"/>
              </w:rPr>
              <w:t>2,000</w:t>
            </w:r>
          </w:p>
        </w:tc>
        <w:tc>
          <w:tcPr>
            <w:tcW w:w="140" w:type="dxa"/>
            <w:vAlign w:val="bottom"/>
          </w:tcPr>
          <w:p>
            <w:pPr>
              <w:spacing w:after="0"/>
              <w:rPr>
                <w:sz w:val="13"/>
                <w:szCs w:val="13"/>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28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880" w:type="dxa"/>
            <w:vAlign w:val="bottom"/>
          </w:tcPr>
          <w:p>
            <w:pPr>
              <w:jc w:val="right"/>
              <w:ind w:right="770"/>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rPr>
                <w:sz w:val="20"/>
                <w:szCs w:val="20"/>
                <w:color w:val="auto"/>
              </w:rPr>
            </w:pPr>
            <w:r>
              <w:rPr>
                <w:rFonts w:ascii="Arial" w:cs="Arial" w:eastAsia="Arial" w:hAnsi="Arial"/>
                <w:sz w:val="12"/>
                <w:szCs w:val="12"/>
                <w:color w:val="auto"/>
              </w:rPr>
              <w:t>2,000</w:t>
            </w:r>
          </w:p>
        </w:tc>
        <w:tc>
          <w:tcPr>
            <w:tcW w:w="26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r>
      <w:tr>
        <w:trPr>
          <w:trHeight w:val="151"/>
        </w:trPr>
        <w:tc>
          <w:tcPr>
            <w:tcW w:w="492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spacing w:after="0"/>
              <w:rPr>
                <w:sz w:val="13"/>
                <w:szCs w:val="13"/>
                <w:color w:val="auto"/>
              </w:rPr>
            </w:pPr>
          </w:p>
        </w:tc>
        <w:tc>
          <w:tcPr>
            <w:tcW w:w="50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128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spacing w:after="0"/>
              <w:rPr>
                <w:sz w:val="13"/>
                <w:szCs w:val="13"/>
                <w:color w:val="auto"/>
              </w:rPr>
            </w:pPr>
          </w:p>
        </w:tc>
        <w:tc>
          <w:tcPr>
            <w:tcW w:w="50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128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r>
      <w:tr>
        <w:trPr>
          <w:trHeight w:val="158"/>
        </w:trPr>
        <w:tc>
          <w:tcPr>
            <w:tcW w:w="5080" w:type="dxa"/>
            <w:vAlign w:val="bottom"/>
            <w:gridSpan w:val="2"/>
          </w:tcPr>
          <w:p>
            <w:pPr>
              <w:spacing w:after="0"/>
              <w:rPr>
                <w:sz w:val="20"/>
                <w:szCs w:val="20"/>
                <w:color w:val="auto"/>
              </w:rPr>
            </w:pPr>
            <w:r>
              <w:rPr>
                <w:rFonts w:ascii="Arial" w:cs="Arial" w:eastAsia="Arial" w:hAnsi="Arial"/>
                <w:sz w:val="12"/>
                <w:szCs w:val="12"/>
                <w:color w:val="auto"/>
              </w:rPr>
              <w:t>Finite life intangible assets:</w:t>
            </w: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8"/>
        </w:trPr>
        <w:tc>
          <w:tcPr>
            <w:tcW w:w="50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Customer lists</w:t>
            </w:r>
          </w:p>
        </w:tc>
        <w:tc>
          <w:tcPr>
            <w:tcW w:w="88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421,743</w:t>
            </w: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54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(46,049)</w:t>
            </w:r>
          </w:p>
        </w:tc>
        <w:tc>
          <w:tcPr>
            <w:tcW w:w="88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188,642</w:t>
            </w: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(30,058)</w:t>
            </w:r>
          </w:p>
        </w:tc>
      </w:tr>
      <w:tr>
        <w:trPr>
          <w:trHeight w:val="162"/>
        </w:trPr>
        <w:tc>
          <w:tcPr>
            <w:tcW w:w="5080" w:type="dxa"/>
            <w:vAlign w:val="bottom"/>
            <w:gridSpan w:val="2"/>
          </w:tcPr>
          <w:p>
            <w:pPr>
              <w:spacing w:after="0"/>
              <w:rPr>
                <w:sz w:val="20"/>
                <w:szCs w:val="20"/>
                <w:color w:val="auto"/>
              </w:rPr>
            </w:pPr>
            <w:r>
              <w:rPr>
                <w:rFonts w:ascii="Arial" w:cs="Arial" w:eastAsia="Arial" w:hAnsi="Arial"/>
                <w:sz w:val="12"/>
                <w:szCs w:val="12"/>
                <w:color w:val="auto"/>
              </w:rPr>
              <w:t>Tenant contracts</w:t>
            </w:r>
          </w:p>
        </w:tc>
        <w:tc>
          <w:tcPr>
            <w:tcW w:w="8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38,527</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2"/>
                <w:szCs w:val="12"/>
                <w:color w:val="auto"/>
              </w:rPr>
              <w:t>(1,605)</w:t>
            </w:r>
          </w:p>
        </w:tc>
        <w:tc>
          <w:tcPr>
            <w:tcW w:w="8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r>
      <w:tr>
        <w:trPr>
          <w:trHeight w:val="162"/>
        </w:trPr>
        <w:tc>
          <w:tcPr>
            <w:tcW w:w="50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Network</w:t>
            </w:r>
            <w:r>
              <w:rPr>
                <w:rFonts w:ascii="Arial" w:cs="Arial" w:eastAsia="Arial" w:hAnsi="Arial"/>
                <w:sz w:val="10"/>
                <w:szCs w:val="10"/>
                <w:color w:val="auto"/>
              </w:rPr>
              <w:t>(1)</w:t>
            </w:r>
          </w:p>
        </w:tc>
        <w:tc>
          <w:tcPr>
            <w:tcW w:w="88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13,951</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54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(581)</w:t>
            </w:r>
          </w:p>
        </w:tc>
        <w:tc>
          <w:tcPr>
            <w:tcW w:w="88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4"/>
                <w:szCs w:val="14"/>
                <w:color w:val="auto"/>
              </w:rPr>
            </w:pPr>
          </w:p>
        </w:tc>
      </w:tr>
      <w:tr>
        <w:trPr>
          <w:trHeight w:val="153"/>
        </w:trPr>
        <w:tc>
          <w:tcPr>
            <w:tcW w:w="5080" w:type="dxa"/>
            <w:vAlign w:val="bottom"/>
            <w:gridSpan w:val="2"/>
          </w:tcPr>
          <w:p>
            <w:pPr>
              <w:spacing w:after="0"/>
              <w:rPr>
                <w:sz w:val="20"/>
                <w:szCs w:val="20"/>
                <w:color w:val="auto"/>
              </w:rPr>
            </w:pPr>
            <w:r>
              <w:rPr>
                <w:rFonts w:ascii="Arial" w:cs="Arial" w:eastAsia="Arial" w:hAnsi="Arial"/>
                <w:sz w:val="12"/>
                <w:szCs w:val="12"/>
                <w:color w:val="auto"/>
              </w:rPr>
              <w:t>Acquired below-market leases</w:t>
            </w:r>
          </w:p>
        </w:tc>
        <w:tc>
          <w:tcPr>
            <w:tcW w:w="8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1,509</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2"/>
                <w:szCs w:val="12"/>
                <w:color w:val="auto"/>
              </w:rPr>
              <w:t>(138)</w:t>
            </w:r>
          </w:p>
        </w:tc>
        <w:tc>
          <w:tcPr>
            <w:tcW w:w="8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r>
      <w:tr>
        <w:trPr>
          <w:trHeight w:val="151"/>
        </w:trPr>
        <w:tc>
          <w:tcPr>
            <w:tcW w:w="492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spacing w:after="0"/>
              <w:rPr>
                <w:sz w:val="13"/>
                <w:szCs w:val="13"/>
                <w:color w:val="auto"/>
              </w:rPr>
            </w:pPr>
          </w:p>
        </w:tc>
        <w:tc>
          <w:tcPr>
            <w:tcW w:w="50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128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spacing w:after="0"/>
              <w:rPr>
                <w:sz w:val="13"/>
                <w:szCs w:val="13"/>
                <w:color w:val="auto"/>
              </w:rPr>
            </w:pPr>
          </w:p>
        </w:tc>
        <w:tc>
          <w:tcPr>
            <w:tcW w:w="50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128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r>
      <w:tr>
        <w:trPr>
          <w:trHeight w:val="162"/>
        </w:trPr>
        <w:tc>
          <w:tcPr>
            <w:tcW w:w="5080" w:type="dxa"/>
            <w:vAlign w:val="bottom"/>
            <w:gridSpan w:val="2"/>
          </w:tcPr>
          <w:p>
            <w:pPr>
              <w:spacing w:after="0"/>
              <w:rPr>
                <w:sz w:val="20"/>
                <w:szCs w:val="20"/>
                <w:color w:val="auto"/>
              </w:rPr>
            </w:pPr>
            <w:r>
              <w:rPr>
                <w:rFonts w:ascii="Arial" w:cs="Arial" w:eastAsia="Arial" w:hAnsi="Arial"/>
                <w:sz w:val="12"/>
                <w:szCs w:val="12"/>
                <w:color w:val="auto"/>
              </w:rPr>
              <w:t>Total intangible assets</w:t>
            </w:r>
          </w:p>
        </w:tc>
        <w:tc>
          <w:tcPr>
            <w:tcW w:w="8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477,730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190,642</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50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Less: Accumulated amortization</w:t>
            </w:r>
          </w:p>
        </w:tc>
        <w:tc>
          <w:tcPr>
            <w:tcW w:w="88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(48,373)</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(30,058)</w:t>
            </w:r>
          </w:p>
        </w:tc>
        <w:tc>
          <w:tcPr>
            <w:tcW w:w="10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58"/>
        </w:trPr>
        <w:tc>
          <w:tcPr>
            <w:tcW w:w="5080" w:type="dxa"/>
            <w:vAlign w:val="bottom"/>
            <w:tcBorders>
              <w:bottom w:val="single" w:sz="8" w:color="CFF0FC"/>
            </w:tcBorders>
            <w:gridSpan w:val="2"/>
          </w:tcPr>
          <w:p>
            <w:pPr>
              <w:spacing w:after="0"/>
              <w:rPr>
                <w:sz w:val="20"/>
                <w:szCs w:val="20"/>
                <w:color w:val="auto"/>
              </w:rPr>
            </w:pPr>
            <w:r>
              <w:rPr>
                <w:rFonts w:ascii="Arial" w:cs="Arial" w:eastAsia="Arial" w:hAnsi="Arial"/>
                <w:sz w:val="12"/>
                <w:szCs w:val="12"/>
                <w:color w:val="auto"/>
              </w:rPr>
              <w:t>Total intangible assets, net</w:t>
            </w:r>
          </w:p>
        </w:tc>
        <w:tc>
          <w:tcPr>
            <w:tcW w:w="880" w:type="dxa"/>
            <w:vAlign w:val="bottom"/>
            <w:tcBorders>
              <w:top w:val="single" w:sz="8" w:color="auto"/>
              <w:bottom w:val="single" w:sz="8" w:color="auto"/>
            </w:tcBorders>
          </w:tcPr>
          <w:p>
            <w:pPr>
              <w:jc w:val="right"/>
              <w:ind w:right="770"/>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429,357</w:t>
            </w:r>
          </w:p>
        </w:tc>
        <w:tc>
          <w:tcPr>
            <w:tcW w:w="14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280" w:type="dxa"/>
            <w:vAlign w:val="bottom"/>
            <w:tcBorders>
              <w:bottom w:val="single" w:sz="8" w:color="CFF0FC"/>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770"/>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160,584</w:t>
            </w:r>
          </w:p>
        </w:tc>
        <w:tc>
          <w:tcPr>
            <w:tcW w:w="2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28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r>
      <w:tr>
        <w:trPr>
          <w:trHeight w:val="162"/>
        </w:trPr>
        <w:tc>
          <w:tcPr>
            <w:tcW w:w="49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58"/>
        </w:trPr>
        <w:tc>
          <w:tcPr>
            <w:tcW w:w="5080" w:type="dxa"/>
            <w:vAlign w:val="bottom"/>
            <w:gridSpan w:val="2"/>
          </w:tcPr>
          <w:p>
            <w:pPr>
              <w:spacing w:after="0"/>
              <w:rPr>
                <w:sz w:val="20"/>
                <w:szCs w:val="20"/>
                <w:color w:val="auto"/>
              </w:rPr>
            </w:pPr>
            <w:r>
              <w:rPr>
                <w:rFonts w:ascii="Arial" w:cs="Arial" w:eastAsia="Arial" w:hAnsi="Arial"/>
                <w:sz w:val="12"/>
                <w:szCs w:val="12"/>
                <w:color w:val="auto"/>
              </w:rPr>
              <w:t>Finite life intangible liabilities:</w:t>
            </w: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67"/>
        </w:trPr>
        <w:tc>
          <w:tcPr>
            <w:tcW w:w="50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Acquired above-market leases</w:t>
            </w:r>
          </w:p>
        </w:tc>
        <w:tc>
          <w:tcPr>
            <w:tcW w:w="880" w:type="dxa"/>
            <w:vAlign w:val="bottom"/>
            <w:shd w:val="clear" w:color="auto" w:fill="CFF0FC"/>
          </w:tcPr>
          <w:p>
            <w:pPr>
              <w:jc w:val="right"/>
              <w:ind w:right="770"/>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3,455</w:t>
            </w:r>
          </w:p>
        </w:tc>
        <w:tc>
          <w:tcPr>
            <w:tcW w:w="140" w:type="dxa"/>
            <w:vAlign w:val="bottom"/>
            <w:shd w:val="clear" w:color="auto" w:fill="CFF0FC"/>
          </w:tcPr>
          <w:p>
            <w:pPr>
              <w:spacing w:after="0"/>
              <w:rPr>
                <w:sz w:val="14"/>
                <w:szCs w:val="14"/>
                <w:color w:val="auto"/>
              </w:rPr>
            </w:pP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w:t>
            </w:r>
          </w:p>
        </w:tc>
        <w:tc>
          <w:tcPr>
            <w:tcW w:w="154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(317)</w:t>
            </w:r>
          </w:p>
        </w:tc>
        <w:tc>
          <w:tcPr>
            <w:tcW w:w="880" w:type="dxa"/>
            <w:vAlign w:val="bottom"/>
            <w:shd w:val="clear" w:color="auto" w:fill="CFF0FC"/>
          </w:tcPr>
          <w:p>
            <w:pPr>
              <w:jc w:val="right"/>
              <w:ind w:right="770"/>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4"/>
                <w:szCs w:val="14"/>
                <w:color w:val="auto"/>
              </w:rPr>
            </w:pPr>
          </w:p>
        </w:tc>
      </w:tr>
      <w:tr>
        <w:trPr>
          <w:trHeight w:val="151"/>
        </w:trPr>
        <w:tc>
          <w:tcPr>
            <w:tcW w:w="4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62"/>
        </w:trPr>
        <w:tc>
          <w:tcPr>
            <w:tcW w:w="50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Total intangible liabilities</w:t>
            </w:r>
          </w:p>
        </w:tc>
        <w:tc>
          <w:tcPr>
            <w:tcW w:w="88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3,455</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62"/>
        </w:trPr>
        <w:tc>
          <w:tcPr>
            <w:tcW w:w="5080" w:type="dxa"/>
            <w:vAlign w:val="bottom"/>
            <w:gridSpan w:val="2"/>
          </w:tcPr>
          <w:p>
            <w:pPr>
              <w:spacing w:after="0"/>
              <w:rPr>
                <w:sz w:val="20"/>
                <w:szCs w:val="20"/>
                <w:color w:val="auto"/>
              </w:rPr>
            </w:pPr>
            <w:r>
              <w:rPr>
                <w:rFonts w:ascii="Arial" w:cs="Arial" w:eastAsia="Arial" w:hAnsi="Arial"/>
                <w:sz w:val="12"/>
                <w:szCs w:val="12"/>
                <w:color w:val="auto"/>
              </w:rPr>
              <w:t>Less: Accumulated amortization</w:t>
            </w:r>
          </w:p>
        </w:tc>
        <w:tc>
          <w:tcPr>
            <w:tcW w:w="88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rPr>
              <w:t>(317)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58"/>
        </w:trPr>
        <w:tc>
          <w:tcPr>
            <w:tcW w:w="508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2"/>
                <w:szCs w:val="12"/>
                <w:color w:val="auto"/>
              </w:rPr>
              <w:t>Total intangible liabilities, net</w:t>
            </w:r>
            <w:r>
              <w:rPr>
                <w:rFonts w:ascii="Arial" w:cs="Arial" w:eastAsia="Arial" w:hAnsi="Arial"/>
                <w:sz w:val="10"/>
                <w:szCs w:val="10"/>
                <w:color w:val="auto"/>
              </w:rPr>
              <w:t>(2)</w:t>
            </w:r>
          </w:p>
        </w:tc>
        <w:tc>
          <w:tcPr>
            <w:tcW w:w="880" w:type="dxa"/>
            <w:vAlign w:val="bottom"/>
            <w:tcBorders>
              <w:top w:val="single" w:sz="8" w:color="auto"/>
              <w:bottom w:val="single" w:sz="8" w:color="auto"/>
            </w:tcBorders>
            <w:shd w:val="clear" w:color="auto" w:fill="CFF0FC"/>
          </w:tcPr>
          <w:p>
            <w:pPr>
              <w:jc w:val="right"/>
              <w:ind w:right="770"/>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3,138</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1280" w:type="dxa"/>
            <w:vAlign w:val="bottom"/>
            <w:tcBorders>
              <w:top w:val="single" w:sz="8" w:color="CFF0FC"/>
              <w:bottom w:val="single" w:sz="8" w:color="CFF0FC"/>
            </w:tcBorders>
            <w:shd w:val="clear" w:color="auto" w:fill="CFF0FC"/>
          </w:tcPr>
          <w:p>
            <w:pPr>
              <w:spacing w:after="0"/>
              <w:rPr>
                <w:sz w:val="13"/>
                <w:szCs w:val="13"/>
                <w:color w:val="auto"/>
              </w:rPr>
            </w:pPr>
          </w:p>
        </w:tc>
        <w:tc>
          <w:tcPr>
            <w:tcW w:w="260" w:type="dxa"/>
            <w:vAlign w:val="bottom"/>
            <w:tcBorders>
              <w:top w:val="single" w:sz="8" w:color="CFF0FC"/>
              <w:bottom w:val="single" w:sz="8" w:color="CFF0FC"/>
            </w:tcBorders>
            <w:shd w:val="clear" w:color="auto" w:fill="CFF0FC"/>
          </w:tcPr>
          <w:p>
            <w:pPr>
              <w:spacing w:after="0"/>
              <w:rPr>
                <w:sz w:val="13"/>
                <w:szCs w:val="13"/>
                <w:color w:val="auto"/>
              </w:rPr>
            </w:pPr>
          </w:p>
        </w:tc>
        <w:tc>
          <w:tcPr>
            <w:tcW w:w="880" w:type="dxa"/>
            <w:vAlign w:val="bottom"/>
            <w:tcBorders>
              <w:top w:val="single" w:sz="8" w:color="auto"/>
              <w:bottom w:val="single" w:sz="8" w:color="auto"/>
            </w:tcBorders>
            <w:shd w:val="clear" w:color="auto" w:fill="CFF0FC"/>
          </w:tcPr>
          <w:p>
            <w:pPr>
              <w:jc w:val="right"/>
              <w:ind w:right="770"/>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128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r>
    </w:tbl>
    <w:p>
      <w:pPr>
        <w:spacing w:after="0" w:line="135" w:lineRule="exact"/>
        <w:rPr>
          <w:sz w:val="20"/>
          <w:szCs w:val="20"/>
          <w:color w:val="auto"/>
        </w:rPr>
      </w:pPr>
    </w:p>
    <w:p>
      <w:pPr>
        <w:ind w:left="448" w:hanging="448"/>
        <w:spacing w:after="0"/>
        <w:tabs>
          <w:tab w:leader="none" w:pos="448" w:val="left"/>
        </w:tabs>
        <w:numPr>
          <w:ilvl w:val="0"/>
          <w:numId w:val="12"/>
        </w:numPr>
        <w:rPr>
          <w:rFonts w:ascii="Arial" w:cs="Arial" w:eastAsia="Arial" w:hAnsi="Arial"/>
          <w:sz w:val="10"/>
          <w:szCs w:val="10"/>
          <w:color w:val="auto"/>
        </w:rPr>
      </w:pPr>
      <w:r>
        <w:rPr>
          <w:rFonts w:ascii="Arial" w:cs="Arial" w:eastAsia="Arial" w:hAnsi="Arial"/>
          <w:sz w:val="12"/>
          <w:szCs w:val="12"/>
          <w:color w:val="auto"/>
        </w:rPr>
        <w:t>Reflects the potential to lease additional tower capacity on the existing towers due to their geographical location and capacity as of the valuation date.</w:t>
      </w:r>
    </w:p>
    <w:p>
      <w:pPr>
        <w:spacing w:after="0" w:line="150" w:lineRule="exact"/>
        <w:rPr>
          <w:rFonts w:ascii="Arial" w:cs="Arial" w:eastAsia="Arial" w:hAnsi="Arial"/>
          <w:sz w:val="10"/>
          <w:szCs w:val="10"/>
          <w:color w:val="auto"/>
        </w:rPr>
      </w:pPr>
    </w:p>
    <w:p>
      <w:pPr>
        <w:ind w:left="448" w:hanging="448"/>
        <w:spacing w:after="0"/>
        <w:tabs>
          <w:tab w:leader="none" w:pos="448" w:val="left"/>
        </w:tabs>
        <w:numPr>
          <w:ilvl w:val="0"/>
          <w:numId w:val="12"/>
        </w:numPr>
        <w:rPr>
          <w:rFonts w:ascii="Arial" w:cs="Arial" w:eastAsia="Arial" w:hAnsi="Arial"/>
          <w:sz w:val="10"/>
          <w:szCs w:val="10"/>
          <w:color w:val="auto"/>
        </w:rPr>
      </w:pPr>
      <w:r>
        <w:rPr>
          <w:rFonts w:ascii="Arial" w:cs="Arial" w:eastAsia="Arial" w:hAnsi="Arial"/>
          <w:sz w:val="12"/>
          <w:szCs w:val="12"/>
          <w:color w:val="auto"/>
        </w:rPr>
        <w:t>Recorded in accounts payable, accrued expenses and other liabilities, net on the Consolidated Balance Sheet.</w:t>
      </w:r>
    </w:p>
    <w:p>
      <w:pPr>
        <w:spacing w:after="0" w:line="150" w:lineRule="exact"/>
        <w:rPr>
          <w:sz w:val="20"/>
          <w:szCs w:val="20"/>
          <w:color w:val="auto"/>
        </w:rPr>
      </w:pPr>
    </w:p>
    <w:p>
      <w:pPr>
        <w:ind w:left="8" w:right="280"/>
        <w:spacing w:after="0" w:line="276" w:lineRule="auto"/>
        <w:rPr>
          <w:sz w:val="20"/>
          <w:szCs w:val="20"/>
          <w:color w:val="auto"/>
        </w:rPr>
      </w:pPr>
      <w:r>
        <w:rPr>
          <w:rFonts w:ascii="Arial" w:cs="Arial" w:eastAsia="Arial" w:hAnsi="Arial"/>
          <w:sz w:val="12"/>
          <w:szCs w:val="12"/>
          <w:color w:val="auto"/>
        </w:rPr>
        <w:t>Amortization expense for the years ended December 31, 2017, 2016 and for the period from April 24, 2015 to December 31, 2015 was $18.3 million, $6.1 million and $2.6 million, respectively. Amortization expense is estimated to be $25.1 million in 2018, $24.4 million in 2019, $23.9 million in 2020, $23.5 million in 2021 and $23.0 million in 2022.</w:t>
      </w:r>
    </w:p>
    <w:p>
      <w:pPr>
        <w:spacing w:after="0" w:line="102"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Note 9. Notes and Other Debt</w:t>
      </w:r>
    </w:p>
    <w:p>
      <w:pPr>
        <w:spacing w:after="0" w:line="82" w:lineRule="exact"/>
        <w:rPr>
          <w:sz w:val="20"/>
          <w:szCs w:val="20"/>
          <w:color w:val="auto"/>
        </w:rPr>
      </w:pPr>
    </w:p>
    <w:p>
      <w:pPr>
        <w:ind w:left="8"/>
        <w:spacing w:after="0"/>
        <w:rPr>
          <w:sz w:val="20"/>
          <w:szCs w:val="20"/>
          <w:color w:val="auto"/>
        </w:rPr>
      </w:pPr>
      <w:r>
        <w:rPr>
          <w:rFonts w:ascii="Arial" w:cs="Arial" w:eastAsia="Arial" w:hAnsi="Arial"/>
          <w:sz w:val="11"/>
          <w:szCs w:val="11"/>
          <w:color w:val="auto"/>
        </w:rPr>
        <w:t>All debt, including the senior secured credit facility and notes described below, are obligations of the Operating Partnership and certain of its subsidiaries as discussed below. The Company is, however, a guarantor of such debt.</w:t>
      </w:r>
    </w:p>
    <w:p>
      <w:pPr>
        <w:spacing w:after="0" w:line="90" w:lineRule="exact"/>
        <w:rPr>
          <w:sz w:val="20"/>
          <w:szCs w:val="20"/>
          <w:color w:val="auto"/>
        </w:rPr>
      </w:pPr>
    </w:p>
    <w:p>
      <w:pPr>
        <w:ind w:left="8"/>
        <w:spacing w:after="0"/>
        <w:rPr>
          <w:sz w:val="20"/>
          <w:szCs w:val="20"/>
          <w:color w:val="auto"/>
        </w:rPr>
      </w:pPr>
      <w:r>
        <w:rPr>
          <w:rFonts w:ascii="Arial" w:cs="Arial" w:eastAsia="Arial" w:hAnsi="Arial"/>
          <w:sz w:val="12"/>
          <w:szCs w:val="12"/>
          <w:color w:val="auto"/>
        </w:rPr>
        <w:t>Notes and other debt is as follows:</w:t>
      </w:r>
    </w:p>
    <w:p>
      <w:pPr>
        <w:spacing w:after="0" w:line="206"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454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(Thousands)</w:t>
            </w:r>
          </w:p>
        </w:tc>
        <w:tc>
          <w:tcPr>
            <w:tcW w:w="3020" w:type="dxa"/>
            <w:vAlign w:val="bottom"/>
            <w:tcBorders>
              <w:bottom w:val="single" w:sz="8" w:color="auto"/>
            </w:tcBorders>
          </w:tcPr>
          <w:p>
            <w:pPr>
              <w:spacing w:after="0"/>
              <w:rPr>
                <w:sz w:val="10"/>
                <w:szCs w:val="10"/>
                <w:color w:val="auto"/>
              </w:rPr>
            </w:pPr>
          </w:p>
        </w:tc>
        <w:tc>
          <w:tcPr>
            <w:tcW w:w="200" w:type="dxa"/>
            <w:vAlign w:val="bottom"/>
            <w:tcBorders>
              <w:bottom w:val="single" w:sz="8" w:color="CFF0FC"/>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jc w:val="right"/>
              <w:ind w:right="403"/>
              <w:spacing w:after="0"/>
              <w:rPr>
                <w:sz w:val="20"/>
                <w:szCs w:val="20"/>
                <w:color w:val="auto"/>
              </w:rPr>
            </w:pPr>
            <w:r>
              <w:rPr>
                <w:rFonts w:ascii="Arial" w:cs="Arial" w:eastAsia="Arial" w:hAnsi="Arial"/>
                <w:sz w:val="10"/>
                <w:szCs w:val="10"/>
                <w:b w:val="1"/>
                <w:bCs w:val="1"/>
                <w:color w:val="auto"/>
              </w:rPr>
              <w:t>December 31, 2017</w:t>
            </w:r>
          </w:p>
        </w:tc>
        <w:tc>
          <w:tcPr>
            <w:tcW w:w="180" w:type="dxa"/>
            <w:vAlign w:val="bottom"/>
            <w:tcBorders>
              <w:bottom w:val="single" w:sz="8" w:color="CFF0FC"/>
            </w:tcBorders>
          </w:tcPr>
          <w:p>
            <w:pPr>
              <w:spacing w:after="0"/>
              <w:rPr>
                <w:sz w:val="10"/>
                <w:szCs w:val="10"/>
                <w:color w:val="auto"/>
              </w:rPr>
            </w:pPr>
          </w:p>
        </w:tc>
        <w:tc>
          <w:tcPr>
            <w:tcW w:w="120" w:type="dxa"/>
            <w:vAlign w:val="bottom"/>
            <w:tcBorders>
              <w:bottom w:val="single" w:sz="8" w:color="CFF0FC"/>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jc w:val="right"/>
              <w:ind w:right="363"/>
              <w:spacing w:after="0"/>
              <w:rPr>
                <w:sz w:val="20"/>
                <w:szCs w:val="20"/>
                <w:color w:val="auto"/>
              </w:rPr>
            </w:pPr>
            <w:r>
              <w:rPr>
                <w:rFonts w:ascii="Arial" w:cs="Arial" w:eastAsia="Arial" w:hAnsi="Arial"/>
                <w:sz w:val="10"/>
                <w:szCs w:val="10"/>
                <w:b w:val="1"/>
                <w:bCs w:val="1"/>
                <w:color w:val="auto"/>
              </w:rPr>
              <w:t>December 31, 2016</w:t>
            </w:r>
          </w:p>
        </w:tc>
        <w:tc>
          <w:tcPr>
            <w:tcW w:w="120" w:type="dxa"/>
            <w:vAlign w:val="bottom"/>
            <w:tcBorders>
              <w:bottom w:val="single" w:sz="8" w:color="CFF0FC"/>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4540" w:type="dxa"/>
            <w:vAlign w:val="bottom"/>
            <w:shd w:val="clear" w:color="auto" w:fill="CFF0FC"/>
          </w:tcPr>
          <w:p>
            <w:pPr>
              <w:spacing w:after="0"/>
              <w:rPr>
                <w:sz w:val="20"/>
                <w:szCs w:val="20"/>
                <w:color w:val="auto"/>
              </w:rPr>
            </w:pPr>
            <w:r>
              <w:rPr>
                <w:rFonts w:ascii="Arial" w:cs="Arial" w:eastAsia="Arial" w:hAnsi="Arial"/>
                <w:sz w:val="12"/>
                <w:szCs w:val="12"/>
                <w:color w:val="auto"/>
              </w:rPr>
              <w:t>Principal amount</w:t>
            </w:r>
          </w:p>
        </w:tc>
        <w:tc>
          <w:tcPr>
            <w:tcW w:w="3480" w:type="dxa"/>
            <w:vAlign w:val="bottom"/>
            <w:gridSpan w:val="3"/>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4,626,887</w:t>
            </w:r>
          </w:p>
        </w:tc>
        <w:tc>
          <w:tcPr>
            <w:tcW w:w="180" w:type="dxa"/>
            <w:vAlign w:val="bottom"/>
            <w:shd w:val="clear" w:color="auto" w:fill="CFF0FC"/>
          </w:tcPr>
          <w:p>
            <w:pPr>
              <w:spacing w:after="0"/>
              <w:rPr>
                <w:sz w:val="13"/>
                <w:szCs w:val="13"/>
                <w:color w:val="auto"/>
              </w:rPr>
            </w:pPr>
          </w:p>
        </w:tc>
        <w:tc>
          <w:tcPr>
            <w:tcW w:w="36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4,167,967</w:t>
            </w: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540" w:type="dxa"/>
            <w:vAlign w:val="bottom"/>
          </w:tcPr>
          <w:p>
            <w:pPr>
              <w:spacing w:after="0"/>
              <w:rPr>
                <w:sz w:val="20"/>
                <w:szCs w:val="20"/>
                <w:color w:val="auto"/>
              </w:rPr>
            </w:pPr>
            <w:r>
              <w:rPr>
                <w:rFonts w:ascii="Arial" w:cs="Arial" w:eastAsia="Arial" w:hAnsi="Arial"/>
                <w:sz w:val="12"/>
                <w:szCs w:val="12"/>
                <w:color w:val="auto"/>
              </w:rPr>
              <w:t>Less unamortized discount, premium and debt issuance costs</w:t>
            </w:r>
          </w:p>
        </w:tc>
        <w:tc>
          <w:tcPr>
            <w:tcW w:w="3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2"/>
                <w:szCs w:val="12"/>
                <w:color w:val="auto"/>
              </w:rPr>
              <w:t>(144,190)</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2"/>
                <w:szCs w:val="12"/>
                <w:color w:val="auto"/>
              </w:rPr>
              <w:t>(139,753)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540" w:type="dxa"/>
            <w:vAlign w:val="bottom"/>
            <w:vMerge w:val="restart"/>
            <w:shd w:val="clear" w:color="auto" w:fill="CFF0FC"/>
          </w:tcPr>
          <w:p>
            <w:pPr>
              <w:spacing w:after="0"/>
              <w:rPr>
                <w:sz w:val="20"/>
                <w:szCs w:val="20"/>
                <w:color w:val="auto"/>
              </w:rPr>
            </w:pPr>
            <w:r>
              <w:rPr>
                <w:rFonts w:ascii="Arial" w:cs="Arial" w:eastAsia="Arial" w:hAnsi="Arial"/>
                <w:sz w:val="12"/>
                <w:szCs w:val="12"/>
                <w:color w:val="auto"/>
              </w:rPr>
              <w:t>Notes and other debt less unamortized discount and debt issuance costs</w:t>
            </w:r>
          </w:p>
        </w:tc>
        <w:tc>
          <w:tcPr>
            <w:tcW w:w="302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540" w:type="dxa"/>
            <w:vAlign w:val="bottom"/>
            <w:vMerge w:val="continue"/>
            <w:shd w:val="clear" w:color="auto" w:fill="CFF0FC"/>
          </w:tcPr>
          <w:p>
            <w:pPr>
              <w:spacing w:after="0"/>
              <w:rPr>
                <w:sz w:val="14"/>
                <w:szCs w:val="14"/>
                <w:color w:val="auto"/>
              </w:rPr>
            </w:pPr>
          </w:p>
        </w:tc>
        <w:tc>
          <w:tcPr>
            <w:tcW w:w="3480" w:type="dxa"/>
            <w:vAlign w:val="bottom"/>
            <w:gridSpan w:val="3"/>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4,482,697</w:t>
            </w:r>
          </w:p>
        </w:tc>
        <w:tc>
          <w:tcPr>
            <w:tcW w:w="180" w:type="dxa"/>
            <w:vAlign w:val="bottom"/>
            <w:shd w:val="clear" w:color="auto" w:fill="CFF0FC"/>
          </w:tcPr>
          <w:p>
            <w:pPr>
              <w:spacing w:after="0"/>
              <w:rPr>
                <w:sz w:val="14"/>
                <w:szCs w:val="14"/>
                <w:color w:val="auto"/>
              </w:rPr>
            </w:pPr>
          </w:p>
        </w:tc>
        <w:tc>
          <w:tcPr>
            <w:tcW w:w="36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4,028,214</w:t>
            </w:r>
          </w:p>
        </w:tc>
        <w:tc>
          <w:tcPr>
            <w:tcW w:w="12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4"/>
        </w:trPr>
        <w:tc>
          <w:tcPr>
            <w:tcW w:w="4540" w:type="dxa"/>
            <w:vAlign w:val="bottom"/>
            <w:tcBorders>
              <w:top w:val="single" w:sz="8" w:color="CFF0FC"/>
            </w:tcBorders>
          </w:tcPr>
          <w:p>
            <w:pPr>
              <w:spacing w:after="0"/>
              <w:rPr>
                <w:sz w:val="24"/>
                <w:szCs w:val="24"/>
                <w:color w:val="auto"/>
              </w:rPr>
            </w:pPr>
          </w:p>
        </w:tc>
        <w:tc>
          <w:tcPr>
            <w:tcW w:w="3020" w:type="dxa"/>
            <w:vAlign w:val="bottom"/>
            <w:tcBorders>
              <w:top w:val="single" w:sz="8" w:color="CFF0FC"/>
            </w:tcBorders>
          </w:tcPr>
          <w:p>
            <w:pPr>
              <w:jc w:val="right"/>
              <w:ind w:right="1700"/>
              <w:spacing w:after="0"/>
              <w:rPr>
                <w:sz w:val="20"/>
                <w:szCs w:val="20"/>
                <w:color w:val="auto"/>
              </w:rPr>
            </w:pPr>
            <w:r>
              <w:rPr>
                <w:rFonts w:ascii="Arial" w:cs="Arial" w:eastAsia="Arial" w:hAnsi="Arial"/>
                <w:sz w:val="12"/>
                <w:szCs w:val="12"/>
                <w:color w:val="auto"/>
              </w:rPr>
              <w:t>75</w:t>
            </w:r>
          </w:p>
        </w:tc>
        <w:tc>
          <w:tcPr>
            <w:tcW w:w="20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4540" w:type="dxa"/>
            <w:vAlign w:val="bottom"/>
            <w:tcBorders>
              <w:bottom w:val="single" w:sz="8" w:color="9A9A9A"/>
            </w:tcBorders>
          </w:tcPr>
          <w:p>
            <w:pPr>
              <w:spacing w:after="0"/>
              <w:rPr>
                <w:sz w:val="6"/>
                <w:szCs w:val="6"/>
                <w:color w:val="auto"/>
              </w:rPr>
            </w:pPr>
          </w:p>
        </w:tc>
        <w:tc>
          <w:tcPr>
            <w:tcW w:w="302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142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138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7285355</wp:posOffset>
            </wp:positionH>
            <wp:positionV relativeFrom="paragraph">
              <wp:posOffset>-23495</wp:posOffset>
            </wp:positionV>
            <wp:extent cx="31115" cy="368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-23495</wp:posOffset>
            </wp:positionV>
            <wp:extent cx="31115" cy="368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8"/>
          </w:cols>
          <w:pgMar w:left="212" w:top="131" w:right="179" w:bottom="1440" w:gutter="0" w:footer="0" w:header="0"/>
        </w:sectPr>
      </w:pPr>
    </w:p>
    <w:bookmarkStart w:id="75" w:name="page76"/>
    <w:bookmarkEnd w:id="75"/>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Uniti Group Inc.</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the Consolidated Financial Statements – Continued</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color w:val="auto"/>
        </w:rPr>
        <w:t>Notes and other debt at December 31, 2017 and 2016 consisted of the following:</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580" w:type="dxa"/>
            <w:vAlign w:val="bottom"/>
            <w:gridSpan w:val="5"/>
          </w:tcPr>
          <w:p>
            <w:pPr>
              <w:jc w:val="right"/>
              <w:ind w:right="1100"/>
              <w:spacing w:after="0"/>
              <w:rPr>
                <w:sz w:val="20"/>
                <w:szCs w:val="20"/>
                <w:color w:val="auto"/>
              </w:rPr>
            </w:pPr>
            <w:r>
              <w:rPr>
                <w:rFonts w:ascii="Arial" w:cs="Arial" w:eastAsia="Arial" w:hAnsi="Arial"/>
                <w:sz w:val="10"/>
                <w:szCs w:val="10"/>
                <w:b w:val="1"/>
                <w:bCs w:val="1"/>
                <w:color w:val="auto"/>
              </w:rPr>
              <w:t>December 31, 2017</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60" w:type="dxa"/>
            <w:vAlign w:val="bottom"/>
            <w:gridSpan w:val="5"/>
          </w:tcPr>
          <w:p>
            <w:pPr>
              <w:jc w:val="right"/>
              <w:ind w:right="1020"/>
              <w:spacing w:after="0"/>
              <w:rPr>
                <w:sz w:val="20"/>
                <w:szCs w:val="20"/>
                <w:color w:val="auto"/>
              </w:rPr>
            </w:pPr>
            <w:r>
              <w:rPr>
                <w:rFonts w:ascii="Arial" w:cs="Arial" w:eastAsia="Arial" w:hAnsi="Arial"/>
                <w:sz w:val="10"/>
                <w:szCs w:val="10"/>
                <w:b w:val="1"/>
                <w:bCs w:val="1"/>
                <w:color w:val="auto"/>
              </w:rPr>
              <w:t>December 31, 2016</w:t>
            </w:r>
          </w:p>
        </w:tc>
      </w:tr>
      <w:tr>
        <w:trPr>
          <w:trHeight w:val="83"/>
        </w:trPr>
        <w:tc>
          <w:tcPr>
            <w:tcW w:w="57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1000" w:type="dxa"/>
            <w:vAlign w:val="bottom"/>
            <w:tcBorders>
              <w:top w:val="single" w:sz="8" w:color="auto"/>
            </w:tcBorders>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100" w:type="dxa"/>
            <w:vAlign w:val="bottom"/>
            <w:tcBorders>
              <w:top w:val="single" w:sz="8" w:color="auto"/>
            </w:tcBorders>
          </w:tcPr>
          <w:p>
            <w:pPr>
              <w:jc w:val="center"/>
              <w:ind w:right="44"/>
              <w:spacing w:after="0" w:line="83" w:lineRule="exact"/>
              <w:rPr>
                <w:sz w:val="20"/>
                <w:szCs w:val="20"/>
                <w:color w:val="auto"/>
              </w:rPr>
            </w:pPr>
            <w:r>
              <w:rPr>
                <w:rFonts w:ascii="Arial" w:cs="Arial" w:eastAsia="Arial" w:hAnsi="Arial"/>
                <w:sz w:val="8"/>
                <w:szCs w:val="8"/>
                <w:b w:val="1"/>
                <w:bCs w:val="1"/>
                <w:color w:val="auto"/>
              </w:rPr>
              <w:t>Unamortized Discount,</w:t>
            </w: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920" w:type="dxa"/>
            <w:vAlign w:val="bottom"/>
            <w:tcBorders>
              <w:top w:val="single" w:sz="8" w:color="auto"/>
            </w:tcBorders>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06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r>
      <w:tr>
        <w:trPr>
          <w:trHeight w:val="99"/>
        </w:trPr>
        <w:tc>
          <w:tcPr>
            <w:tcW w:w="5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40" w:type="dxa"/>
            <w:vAlign w:val="bottom"/>
            <w:gridSpan w:val="3"/>
          </w:tcPr>
          <w:p>
            <w:pPr>
              <w:jc w:val="center"/>
              <w:ind w:right="140"/>
              <w:spacing w:after="0" w:line="99" w:lineRule="exact"/>
              <w:rPr>
                <w:sz w:val="20"/>
                <w:szCs w:val="20"/>
                <w:color w:val="auto"/>
              </w:rPr>
            </w:pPr>
            <w:r>
              <w:rPr>
                <w:rFonts w:ascii="Arial" w:cs="Arial" w:eastAsia="Arial" w:hAnsi="Arial"/>
                <w:sz w:val="10"/>
                <w:szCs w:val="10"/>
                <w:b w:val="1"/>
                <w:bCs w:val="1"/>
                <w:color w:val="auto"/>
                <w:w w:val="86"/>
              </w:rPr>
              <w:t>Premium and Debt Issuance</w:t>
            </w: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00" w:type="dxa"/>
            <w:vAlign w:val="bottom"/>
            <w:gridSpan w:val="3"/>
          </w:tcPr>
          <w:p>
            <w:pPr>
              <w:jc w:val="right"/>
              <w:ind w:right="160"/>
              <w:spacing w:after="0" w:line="99" w:lineRule="exact"/>
              <w:rPr>
                <w:sz w:val="20"/>
                <w:szCs w:val="20"/>
                <w:color w:val="auto"/>
              </w:rPr>
            </w:pPr>
            <w:r>
              <w:rPr>
                <w:rFonts w:ascii="Arial" w:cs="Arial" w:eastAsia="Arial" w:hAnsi="Arial"/>
                <w:sz w:val="10"/>
                <w:szCs w:val="10"/>
                <w:b w:val="1"/>
                <w:bCs w:val="1"/>
                <w:color w:val="auto"/>
                <w:w w:val="88"/>
              </w:rPr>
              <w:t>Unamortized Discount and</w:t>
            </w:r>
          </w:p>
        </w:tc>
      </w:tr>
      <w:tr>
        <w:trPr>
          <w:trHeight w:val="114"/>
        </w:trPr>
        <w:tc>
          <w:tcPr>
            <w:tcW w:w="5720" w:type="dxa"/>
            <w:vAlign w:val="bottom"/>
          </w:tcPr>
          <w:p>
            <w:pPr>
              <w:spacing w:after="0" w:line="114" w:lineRule="exact"/>
              <w:rPr>
                <w:sz w:val="20"/>
                <w:szCs w:val="20"/>
                <w:color w:val="auto"/>
              </w:rPr>
            </w:pPr>
            <w:r>
              <w:rPr>
                <w:rFonts w:ascii="Arial" w:cs="Arial" w:eastAsia="Arial" w:hAnsi="Arial"/>
                <w:sz w:val="10"/>
                <w:szCs w:val="10"/>
                <w:color w:val="auto"/>
              </w:rPr>
              <w:t>(Thousands)</w:t>
            </w: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40" w:type="dxa"/>
            <w:vAlign w:val="bottom"/>
            <w:gridSpan w:val="2"/>
          </w:tcPr>
          <w:p>
            <w:pPr>
              <w:ind w:left="180"/>
              <w:spacing w:after="0" w:line="114" w:lineRule="exact"/>
              <w:rPr>
                <w:sz w:val="20"/>
                <w:szCs w:val="20"/>
                <w:color w:val="auto"/>
              </w:rPr>
            </w:pPr>
            <w:r>
              <w:rPr>
                <w:rFonts w:ascii="Arial" w:cs="Arial" w:eastAsia="Arial" w:hAnsi="Arial"/>
                <w:sz w:val="10"/>
                <w:szCs w:val="10"/>
                <w:b w:val="1"/>
                <w:bCs w:val="1"/>
                <w:color w:val="auto"/>
              </w:rPr>
              <w:t>Principal</w:t>
            </w:r>
          </w:p>
        </w:tc>
        <w:tc>
          <w:tcPr>
            <w:tcW w:w="100" w:type="dxa"/>
            <w:vAlign w:val="bottom"/>
          </w:tcPr>
          <w:p>
            <w:pPr>
              <w:spacing w:after="0"/>
              <w:rPr>
                <w:sz w:val="9"/>
                <w:szCs w:val="9"/>
                <w:color w:val="auto"/>
              </w:rPr>
            </w:pPr>
          </w:p>
        </w:tc>
        <w:tc>
          <w:tcPr>
            <w:tcW w:w="1240" w:type="dxa"/>
            <w:vAlign w:val="bottom"/>
            <w:gridSpan w:val="2"/>
          </w:tcPr>
          <w:p>
            <w:pPr>
              <w:jc w:val="center"/>
              <w:ind w:right="240"/>
              <w:spacing w:after="0" w:line="114" w:lineRule="exact"/>
              <w:rPr>
                <w:sz w:val="20"/>
                <w:szCs w:val="20"/>
                <w:color w:val="auto"/>
              </w:rPr>
            </w:pPr>
            <w:r>
              <w:rPr>
                <w:rFonts w:ascii="Arial" w:cs="Arial" w:eastAsia="Arial" w:hAnsi="Arial"/>
                <w:sz w:val="10"/>
                <w:szCs w:val="10"/>
                <w:b w:val="1"/>
                <w:bCs w:val="1"/>
                <w:color w:val="auto"/>
                <w:w w:val="86"/>
              </w:rPr>
              <w:t>Costs</w:t>
            </w: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gridSpan w:val="2"/>
          </w:tcPr>
          <w:p>
            <w:pPr>
              <w:ind w:left="160"/>
              <w:spacing w:after="0" w:line="114" w:lineRule="exact"/>
              <w:rPr>
                <w:sz w:val="20"/>
                <w:szCs w:val="20"/>
                <w:color w:val="auto"/>
              </w:rPr>
            </w:pPr>
            <w:r>
              <w:rPr>
                <w:rFonts w:ascii="Arial" w:cs="Arial" w:eastAsia="Arial" w:hAnsi="Arial"/>
                <w:sz w:val="10"/>
                <w:szCs w:val="10"/>
                <w:b w:val="1"/>
                <w:bCs w:val="1"/>
                <w:color w:val="auto"/>
              </w:rPr>
              <w:t>Principal</w:t>
            </w:r>
          </w:p>
        </w:tc>
        <w:tc>
          <w:tcPr>
            <w:tcW w:w="120" w:type="dxa"/>
            <w:vAlign w:val="bottom"/>
          </w:tcPr>
          <w:p>
            <w:pPr>
              <w:spacing w:after="0"/>
              <w:rPr>
                <w:sz w:val="9"/>
                <w:szCs w:val="9"/>
                <w:color w:val="auto"/>
              </w:rPr>
            </w:pPr>
          </w:p>
        </w:tc>
        <w:tc>
          <w:tcPr>
            <w:tcW w:w="1180" w:type="dxa"/>
            <w:vAlign w:val="bottom"/>
            <w:gridSpan w:val="2"/>
          </w:tcPr>
          <w:p>
            <w:pPr>
              <w:jc w:val="right"/>
              <w:ind w:right="300"/>
              <w:spacing w:after="0" w:line="114" w:lineRule="exact"/>
              <w:rPr>
                <w:sz w:val="20"/>
                <w:szCs w:val="20"/>
                <w:color w:val="auto"/>
              </w:rPr>
            </w:pPr>
            <w:r>
              <w:rPr>
                <w:rFonts w:ascii="Arial" w:cs="Arial" w:eastAsia="Arial" w:hAnsi="Arial"/>
                <w:sz w:val="10"/>
                <w:szCs w:val="10"/>
                <w:b w:val="1"/>
                <w:bCs w:val="1"/>
                <w:color w:val="auto"/>
                <w:w w:val="87"/>
              </w:rPr>
              <w:t>Debt Issuance Costs</w:t>
            </w:r>
          </w:p>
        </w:tc>
      </w:tr>
      <w:tr>
        <w:trPr>
          <w:trHeight w:val="133"/>
        </w:trPr>
        <w:tc>
          <w:tcPr>
            <w:tcW w:w="5720" w:type="dxa"/>
            <w:vAlign w:val="bottom"/>
            <w:tcBorders>
              <w:top w:val="single" w:sz="8" w:color="auto"/>
            </w:tcBorders>
            <w:shd w:val="clear" w:color="auto" w:fill="CFF0FC"/>
          </w:tcPr>
          <w:p>
            <w:pPr>
              <w:spacing w:after="0" w:line="133" w:lineRule="exact"/>
              <w:rPr>
                <w:sz w:val="20"/>
                <w:szCs w:val="20"/>
                <w:color w:val="auto"/>
              </w:rPr>
            </w:pPr>
            <w:r>
              <w:rPr>
                <w:rFonts w:ascii="Arial" w:cs="Arial" w:eastAsia="Arial" w:hAnsi="Arial"/>
                <w:sz w:val="12"/>
                <w:szCs w:val="12"/>
                <w:color w:val="auto"/>
              </w:rPr>
              <w:t>Senior secured term loan B - variable rate, due October 24, 2022</w:t>
            </w:r>
          </w:p>
        </w:tc>
        <w:tc>
          <w:tcPr>
            <w:tcW w:w="140" w:type="dxa"/>
            <w:vAlign w:val="bottom"/>
            <w:tcBorders>
              <w:top w:val="single" w:sz="8" w:color="CFF0FC"/>
            </w:tcBorders>
            <w:shd w:val="clear" w:color="auto" w:fill="CFF0FC"/>
          </w:tcPr>
          <w:p>
            <w:pPr>
              <w:spacing w:after="0"/>
              <w:rPr>
                <w:sz w:val="11"/>
                <w:szCs w:val="11"/>
                <w:color w:val="auto"/>
              </w:rPr>
            </w:pPr>
          </w:p>
        </w:tc>
        <w:tc>
          <w:tcPr>
            <w:tcW w:w="260" w:type="dxa"/>
            <w:vAlign w:val="bottom"/>
            <w:tcBorders>
              <w:top w:val="single" w:sz="8" w:color="auto"/>
            </w:tcBorders>
            <w:shd w:val="clear" w:color="auto" w:fill="CFF0FC"/>
          </w:tcPr>
          <w:p>
            <w:pPr>
              <w:spacing w:after="0"/>
              <w:rPr>
                <w:sz w:val="11"/>
                <w:szCs w:val="11"/>
                <w:color w:val="auto"/>
              </w:rPr>
            </w:pPr>
          </w:p>
        </w:tc>
        <w:tc>
          <w:tcPr>
            <w:tcW w:w="100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110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220" w:type="dxa"/>
            <w:vAlign w:val="bottom"/>
            <w:tcBorders>
              <w:top w:val="single" w:sz="8" w:color="auto"/>
            </w:tcBorders>
            <w:shd w:val="clear" w:color="auto" w:fill="CFF0FC"/>
          </w:tcPr>
          <w:p>
            <w:pPr>
              <w:spacing w:after="0"/>
              <w:rPr>
                <w:sz w:val="11"/>
                <w:szCs w:val="11"/>
                <w:color w:val="auto"/>
              </w:rPr>
            </w:pPr>
          </w:p>
        </w:tc>
        <w:tc>
          <w:tcPr>
            <w:tcW w:w="92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106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r>
      <w:tr>
        <w:trPr>
          <w:trHeight w:val="153"/>
        </w:trPr>
        <w:tc>
          <w:tcPr>
            <w:tcW w:w="5720" w:type="dxa"/>
            <w:vAlign w:val="bottom"/>
            <w:shd w:val="clear" w:color="auto" w:fill="CFF0FC"/>
          </w:tcPr>
          <w:p>
            <w:pPr>
              <w:spacing w:after="0"/>
              <w:rPr>
                <w:sz w:val="20"/>
                <w:szCs w:val="20"/>
                <w:color w:val="auto"/>
              </w:rPr>
            </w:pPr>
            <w:r>
              <w:rPr>
                <w:rFonts w:ascii="Arial" w:cs="Arial" w:eastAsia="Arial" w:hAnsi="Arial"/>
                <w:sz w:val="12"/>
                <w:szCs w:val="12"/>
                <w:color w:val="auto"/>
              </w:rPr>
              <w:t>(discount is based on imputed interest rate of 5.66%)</w:t>
            </w:r>
          </w:p>
        </w:tc>
        <w:tc>
          <w:tcPr>
            <w:tcW w:w="400" w:type="dxa"/>
            <w:vAlign w:val="bottom"/>
            <w:gridSpan w:val="2"/>
            <w:shd w:val="clear" w:color="auto" w:fill="CFF0FC"/>
          </w:tcPr>
          <w:p>
            <w:pPr>
              <w:jc w:val="right"/>
              <w:ind w:right="150"/>
              <w:spacing w:after="0"/>
              <w:rPr>
                <w:sz w:val="20"/>
                <w:szCs w:val="20"/>
                <w:color w:val="auto"/>
              </w:rPr>
            </w:pPr>
            <w:r>
              <w:rPr>
                <w:rFonts w:ascii="Arial" w:cs="Arial" w:eastAsia="Arial" w:hAnsi="Arial"/>
                <w:sz w:val="12"/>
                <w:szCs w:val="12"/>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2,086,887</w:t>
            </w: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(87,140)</w:t>
            </w:r>
          </w:p>
        </w:tc>
        <w:tc>
          <w:tcPr>
            <w:tcW w:w="32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2,107,967</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jc w:val="right"/>
              <w:ind w:right="11"/>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(78,699)</w:t>
            </w:r>
          </w:p>
        </w:tc>
      </w:tr>
      <w:tr>
        <w:trPr>
          <w:trHeight w:val="144"/>
        </w:trPr>
        <w:tc>
          <w:tcPr>
            <w:tcW w:w="5720" w:type="dxa"/>
            <w:vAlign w:val="bottom"/>
          </w:tcPr>
          <w:p>
            <w:pPr>
              <w:spacing w:after="0"/>
              <w:rPr>
                <w:sz w:val="20"/>
                <w:szCs w:val="20"/>
                <w:color w:val="auto"/>
              </w:rPr>
            </w:pPr>
            <w:r>
              <w:rPr>
                <w:rFonts w:ascii="Arial" w:cs="Arial" w:eastAsia="Arial" w:hAnsi="Arial"/>
                <w:sz w:val="12"/>
                <w:szCs w:val="12"/>
                <w:color w:val="auto"/>
              </w:rPr>
              <w:t>Senior secured notes - 6.00%, due April 15, 2023</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3"/>
        </w:trPr>
        <w:tc>
          <w:tcPr>
            <w:tcW w:w="5720" w:type="dxa"/>
            <w:vAlign w:val="bottom"/>
          </w:tcPr>
          <w:p>
            <w:pPr>
              <w:spacing w:after="0"/>
              <w:rPr>
                <w:sz w:val="20"/>
                <w:szCs w:val="20"/>
                <w:color w:val="auto"/>
              </w:rPr>
            </w:pPr>
            <w:r>
              <w:rPr>
                <w:rFonts w:ascii="Arial" w:cs="Arial" w:eastAsia="Arial" w:hAnsi="Arial"/>
                <w:sz w:val="12"/>
                <w:szCs w:val="12"/>
                <w:color w:val="auto"/>
              </w:rPr>
              <w:t>(discount is based on imputed interest rate of 6.29%)</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550,000</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2"/>
                <w:szCs w:val="12"/>
                <w:color w:val="auto"/>
              </w:rPr>
              <w:t>(8,508)</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550,000</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2"/>
                <w:szCs w:val="12"/>
                <w:color w:val="auto"/>
              </w:rPr>
              <w:t>(9,817)</w:t>
            </w:r>
          </w:p>
        </w:tc>
      </w:tr>
      <w:tr>
        <w:trPr>
          <w:trHeight w:val="144"/>
        </w:trPr>
        <w:tc>
          <w:tcPr>
            <w:tcW w:w="5720" w:type="dxa"/>
            <w:vAlign w:val="bottom"/>
            <w:shd w:val="clear" w:color="auto" w:fill="CFF0FC"/>
          </w:tcPr>
          <w:p>
            <w:pPr>
              <w:spacing w:after="0"/>
              <w:rPr>
                <w:sz w:val="20"/>
                <w:szCs w:val="20"/>
                <w:color w:val="auto"/>
              </w:rPr>
            </w:pPr>
            <w:r>
              <w:rPr>
                <w:rFonts w:ascii="Arial" w:cs="Arial" w:eastAsia="Arial" w:hAnsi="Arial"/>
                <w:sz w:val="12"/>
                <w:szCs w:val="12"/>
                <w:color w:val="auto"/>
              </w:rPr>
              <w:t>Senior unsecured notes - 8.25%, due October 15, 2023</w:t>
            </w:r>
          </w:p>
        </w:tc>
        <w:tc>
          <w:tcPr>
            <w:tcW w:w="1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53"/>
        </w:trPr>
        <w:tc>
          <w:tcPr>
            <w:tcW w:w="5720" w:type="dxa"/>
            <w:vAlign w:val="bottom"/>
            <w:shd w:val="clear" w:color="auto" w:fill="CFF0FC"/>
          </w:tcPr>
          <w:p>
            <w:pPr>
              <w:spacing w:after="0"/>
              <w:rPr>
                <w:sz w:val="20"/>
                <w:szCs w:val="20"/>
                <w:color w:val="auto"/>
              </w:rPr>
            </w:pPr>
            <w:r>
              <w:rPr>
                <w:rFonts w:ascii="Arial" w:cs="Arial" w:eastAsia="Arial" w:hAnsi="Arial"/>
                <w:sz w:val="12"/>
                <w:szCs w:val="12"/>
                <w:color w:val="auto"/>
              </w:rPr>
              <w:t>(discount is based on imputed interest rate of 9.06%)</w:t>
            </w:r>
          </w:p>
        </w:tc>
        <w:tc>
          <w:tcPr>
            <w:tcW w:w="1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1,110,000</w:t>
            </w: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(40,467)</w:t>
            </w: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1,110,000</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(45,599)</w:t>
            </w:r>
          </w:p>
        </w:tc>
      </w:tr>
      <w:tr>
        <w:trPr>
          <w:trHeight w:val="162"/>
        </w:trPr>
        <w:tc>
          <w:tcPr>
            <w:tcW w:w="5720" w:type="dxa"/>
            <w:vAlign w:val="bottom"/>
            <w:shd w:val="clear" w:color="auto" w:fill="CFF0FC"/>
          </w:tcPr>
          <w:p>
            <w:pPr>
              <w:spacing w:after="0"/>
              <w:rPr>
                <w:sz w:val="20"/>
                <w:szCs w:val="20"/>
                <w:color w:val="auto"/>
              </w:rPr>
            </w:pPr>
            <w:r>
              <w:rPr>
                <w:rFonts w:ascii="Arial" w:cs="Arial" w:eastAsia="Arial" w:hAnsi="Arial"/>
                <w:sz w:val="12"/>
                <w:szCs w:val="12"/>
                <w:color w:val="auto"/>
              </w:rPr>
              <w:t>Senior unsecured notes - 7.125%, due December 15, 2024</w:t>
            </w:r>
          </w:p>
        </w:tc>
        <w:tc>
          <w:tcPr>
            <w:tcW w:w="1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600,000</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(8,075)</w:t>
            </w: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400,000</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(5,638)</w:t>
            </w:r>
          </w:p>
        </w:tc>
      </w:tr>
      <w:tr>
        <w:trPr>
          <w:trHeight w:val="162"/>
        </w:trPr>
        <w:tc>
          <w:tcPr>
            <w:tcW w:w="5720" w:type="dxa"/>
            <w:vAlign w:val="bottom"/>
            <w:tcBorders>
              <w:bottom w:val="single" w:sz="8" w:color="CFF0FC"/>
            </w:tcBorders>
          </w:tcPr>
          <w:p>
            <w:pPr>
              <w:spacing w:after="0"/>
              <w:rPr>
                <w:sz w:val="20"/>
                <w:szCs w:val="20"/>
                <w:color w:val="auto"/>
              </w:rPr>
            </w:pPr>
            <w:r>
              <w:rPr>
                <w:rFonts w:ascii="Arial" w:cs="Arial" w:eastAsia="Arial" w:hAnsi="Arial"/>
                <w:sz w:val="12"/>
                <w:szCs w:val="12"/>
                <w:color w:val="auto"/>
              </w:rPr>
              <w:t>Senior secured revolving credit facility, variable rate, due April 24, 2020</w:t>
            </w:r>
          </w:p>
        </w:tc>
        <w:tc>
          <w:tcPr>
            <w:tcW w:w="14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280,000</w:t>
            </w:r>
          </w:p>
        </w:tc>
        <w:tc>
          <w:tcPr>
            <w:tcW w:w="2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4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FF0FC"/>
            </w:tcBorders>
          </w:tcPr>
          <w:p>
            <w:pPr>
              <w:spacing w:after="0"/>
              <w:rPr>
                <w:sz w:val="14"/>
                <w:szCs w:val="14"/>
                <w:color w:val="auto"/>
              </w:rPr>
            </w:pPr>
          </w:p>
        </w:tc>
      </w:tr>
      <w:tr>
        <w:trPr>
          <w:trHeight w:val="151"/>
        </w:trPr>
        <w:tc>
          <w:tcPr>
            <w:tcW w:w="5720" w:type="dxa"/>
            <w:vAlign w:val="bottom"/>
            <w:shd w:val="clear" w:color="auto" w:fill="CFF0FC"/>
          </w:tcPr>
          <w:p>
            <w:pPr>
              <w:ind w:left="80"/>
              <w:spacing w:after="0"/>
              <w:rPr>
                <w:sz w:val="20"/>
                <w:szCs w:val="20"/>
                <w:color w:val="auto"/>
              </w:rPr>
            </w:pPr>
            <w:r>
              <w:rPr>
                <w:rFonts w:ascii="Arial" w:cs="Arial" w:eastAsia="Arial" w:hAnsi="Arial"/>
                <w:sz w:val="12"/>
                <w:szCs w:val="12"/>
                <w:color w:val="auto"/>
              </w:rPr>
              <w:t>Total</w:t>
            </w:r>
          </w:p>
        </w:tc>
        <w:tc>
          <w:tcPr>
            <w:tcW w:w="140" w:type="dxa"/>
            <w:vAlign w:val="bottom"/>
            <w:shd w:val="clear" w:color="auto" w:fill="CFF0FC"/>
          </w:tcPr>
          <w:p>
            <w:pPr>
              <w:spacing w:after="0"/>
              <w:rPr>
                <w:sz w:val="13"/>
                <w:szCs w:val="13"/>
                <w:color w:val="auto"/>
              </w:rPr>
            </w:pPr>
          </w:p>
        </w:tc>
        <w:tc>
          <w:tcPr>
            <w:tcW w:w="260" w:type="dxa"/>
            <w:vAlign w:val="bottom"/>
            <w:shd w:val="clear" w:color="auto" w:fill="CFF0FC"/>
          </w:tcPr>
          <w:p>
            <w:pPr>
              <w:jc w:val="right"/>
              <w:ind w:right="150"/>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4,626,887</w:t>
            </w: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(144,190)</w:t>
            </w:r>
          </w:p>
        </w:tc>
        <w:tc>
          <w:tcPr>
            <w:tcW w:w="32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4,167,967</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jc w:val="right"/>
              <w:ind w:right="11"/>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(139,753)</w:t>
            </w:r>
          </w:p>
        </w:tc>
      </w:tr>
      <w:tr>
        <w:trPr>
          <w:trHeight w:val="27"/>
        </w:trPr>
        <w:tc>
          <w:tcPr>
            <w:tcW w:w="572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r>
    </w:tbl>
    <w:p>
      <w:pPr>
        <w:spacing w:after="0" w:line="135" w:lineRule="exact"/>
        <w:rPr>
          <w:sz w:val="20"/>
          <w:szCs w:val="20"/>
          <w:color w:val="auto"/>
        </w:rPr>
      </w:pPr>
    </w:p>
    <w:p>
      <w:pPr>
        <w:ind w:right="60"/>
        <w:spacing w:after="0" w:line="286" w:lineRule="auto"/>
        <w:rPr>
          <w:sz w:val="20"/>
          <w:szCs w:val="20"/>
          <w:color w:val="auto"/>
        </w:rPr>
      </w:pPr>
      <w:r>
        <w:rPr>
          <w:rFonts w:ascii="Arial" w:cs="Arial" w:eastAsia="Arial" w:hAnsi="Arial"/>
          <w:sz w:val="11"/>
          <w:szCs w:val="11"/>
          <w:color w:val="auto"/>
        </w:rPr>
        <w:t>At December 31, 2017, notes and other debt included the following: (i) $2.1 billion under the senior secured term loan B facility that matures on October 24, 2022 (“Term Loan Facility”) pursuant to the credit agreement by and among the Operating Partnership, CSL Capital, LLC and Uniti Group Finance Inc., the guarantors and lenders party thereto and Bank of America, N.A., as administrative agent and collateral agent (the “Credit Agreement”); (ii) $550.0 million aggregate principal amount of 6.00% Senior Secured Notes due April 15, 2023 (the “Secured Notes”); (iii) $1.11 billion aggregate principal amount of 8.25% Senior Notes due October 15, 2023 (the “2023 Notes”); and (iv) $600.0 million aggregate principal amount of 7.125% Senior Unsecured Notes due December 15, 2024 (the “2024 Notes” and together with the Secured Notes and 2023 Notes, the “Notes”), and (v) $280.0 million under the senior secured revolving credit facility, variable rate, that matures April 24, 2020 pursuant to the Credit Agreement (the “Revolving Credit Facility” and, together with the Term Loan Facility, the “Facilities”).</w:t>
      </w:r>
    </w:p>
    <w:p>
      <w:pPr>
        <w:spacing w:after="0" w:line="111" w:lineRule="exact"/>
        <w:rPr>
          <w:sz w:val="20"/>
          <w:szCs w:val="20"/>
          <w:color w:val="auto"/>
        </w:rPr>
      </w:pPr>
    </w:p>
    <w:p>
      <w:pPr>
        <w:ind w:right="60"/>
        <w:spacing w:after="0" w:line="255" w:lineRule="auto"/>
        <w:rPr>
          <w:sz w:val="20"/>
          <w:szCs w:val="20"/>
          <w:color w:val="auto"/>
        </w:rPr>
      </w:pPr>
      <w:r>
        <w:rPr>
          <w:rFonts w:ascii="Arial" w:cs="Arial" w:eastAsia="Arial" w:hAnsi="Arial"/>
          <w:sz w:val="12"/>
          <w:szCs w:val="12"/>
          <w:color w:val="auto"/>
        </w:rPr>
        <w:t>On May 9, 2017, the Company completed its previously announced reorganization (the “up-REIT Reorganization”) to operate through a customary “up-REIT” structure. Under this structure, the Operating Partnership now holds substantially all of the Company’s assets and is the parent company of, among others, CSL Capital, LLC, Uniti Group Finance Inc. and Uniti Fiber Holdings Inc. In connection with the up-REIT Reorganization, the Operating Partnership replaced the Company and assumed its obligations as an obligor under the Notes and Facilities. The Company subsequently became a guarantor of the Notes and Facilities. Because the Operating Partnership is not a corporation, a corporate co-obligor that is a subsidiary of the Operating Partnership was also added to the Notes and Credit Agreement as part of the up-REIT Reorganization. As discussed below, Uniti Group Finance Inc. is the corporate co-obligor under the Credit Agreement and co-issuer of the Secured Notes and the 2023 Notes, and Uniti Fiber Holdings Inc. is the co-issuer of the 2024 Notes. Separate financial statements of the Operating Partnership have not been included since the Operating Partnership is not a registrant.</w:t>
      </w:r>
    </w:p>
    <w:p>
      <w:pPr>
        <w:spacing w:after="0" w:line="273"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Credit Agreement</w:t>
      </w:r>
    </w:p>
    <w:p>
      <w:pPr>
        <w:spacing w:after="0" w:line="150" w:lineRule="exact"/>
        <w:rPr>
          <w:sz w:val="20"/>
          <w:szCs w:val="20"/>
          <w:color w:val="auto"/>
        </w:rPr>
      </w:pPr>
    </w:p>
    <w:p>
      <w:pPr>
        <w:ind w:right="60"/>
        <w:spacing w:after="0" w:line="290" w:lineRule="auto"/>
        <w:rPr>
          <w:sz w:val="20"/>
          <w:szCs w:val="20"/>
          <w:color w:val="auto"/>
        </w:rPr>
      </w:pPr>
      <w:r>
        <w:rPr>
          <w:rFonts w:ascii="Arial" w:cs="Arial" w:eastAsia="Arial" w:hAnsi="Arial"/>
          <w:sz w:val="11"/>
          <w:szCs w:val="11"/>
          <w:color w:val="auto"/>
        </w:rPr>
        <w:t>The Operating Partnership and its wholly-owned subsidiaries, CSL Capital, LLC, and Uniti Group Finance Inc. (collectively, the “Borrowers”) are party to the Credit Agreement, which provides for the Term Loan Facility (in an initial principal amount of $2.14 billion) and the Revolving Credit Facility. The term loans were repriced on February 9, 2017 and now bear interest at a rate equal to LIBOR, subject to a 1.0% floor, plus an applicable margin equal to 3.00%, and are subject to amortization of 1.0% per annum. All obligations under the Credit Agreement are guaranteed by (i) the Company and (ii) certain of the Operating Partnership’s wholly-owned subsidiaries (the “Subsidiary Guarantors”), and are secured by substantially all of the assets of the Borrowers and the Subsidiary Guarantors, which assets also secure the Secured Notes. The Revolving Credit Facility bears interest at a rate equal</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76" w:name="page77"/>
    <w:bookmarkEnd w:id="76"/>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Uniti Group Inc.</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Notes to the Consolidated Financial Statements – Continued</w:t>
      </w:r>
    </w:p>
    <w:p>
      <w:pPr>
        <w:spacing w:after="0" w:line="159"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to LIBOR plus 1.75% to 2.25% based on our consolidated secured leverage ratio, as defined in the Credit Agreement. On April 28, 2017, we amended the Credit Agreement to increase the commitments under our Revolving Credit Facility from $500 million to $750 million. Other terms of the Revolving Credit Facility remain unchanged.</w:t>
      </w:r>
    </w:p>
    <w:p>
      <w:pPr>
        <w:spacing w:after="0" w:line="115" w:lineRule="exact"/>
        <w:rPr>
          <w:sz w:val="20"/>
          <w:szCs w:val="20"/>
          <w:color w:val="auto"/>
        </w:rPr>
      </w:pPr>
    </w:p>
    <w:p>
      <w:pPr>
        <w:ind w:right="40"/>
        <w:spacing w:after="0" w:line="312" w:lineRule="auto"/>
        <w:rPr>
          <w:sz w:val="20"/>
          <w:szCs w:val="20"/>
          <w:color w:val="auto"/>
        </w:rPr>
      </w:pPr>
      <w:r>
        <w:rPr>
          <w:rFonts w:ascii="Arial" w:cs="Arial" w:eastAsia="Arial" w:hAnsi="Arial"/>
          <w:sz w:val="10"/>
          <w:szCs w:val="10"/>
          <w:color w:val="auto"/>
        </w:rPr>
        <w:t>The Borrowers are subject to customary covenants under the Credit Agreement, including an obligation to maintain a consolidated secured leverage ratio, as defined in the Credit Agreement, not to exceed 5.00 to 1.00. We are permitted, subject to customary conditions, to incur (i) incremental term loan borrowings and/or increased commitments under the Credit Agreement in an unlimited amount, so long as, on a pro forma basis after giving effect to any such borrowings or increases, our consolidated secured leverage ratio, as defined in the Credit Agreement, does not exceed 4.00 to 1.00 and (ii) other indebtedness, so long as, on a pro forma basis after giving effect to any such indebtedness, our consolidated total leverage ratio, as defined in the Credit Agreement, does not exceed 6.50 to 1.00 and our consolidated secured leverage ratio, as defined in the Credit Agreement, does not exceed 4.00 to 1.00. In addition, the Credit Agreement contains customary events of default, including a cross default provision whereby the failure of the Borrowers or certain of their subsidiaries to make payments under other debt obligations, or the occurrence of certain events affecting those other borrowing arrangements, could trigger an obligation to repay any amounts outstanding under the Credit Agreement. In particular, a repayment obligation could be triggered if (i) the Borrowers or certain of their subsidiaries fail to make a payment when due of any principal or interest on any other indebtedness aggregating $75.0 million or more, or (ii) an event occurs that causes, or would permit the holders of any other indebtedness aggregating $75.0 million or more to cause, such indebtedness to become due prior to its stated maturity. As of December 31, 2017, the Borrowers were in compliance with all of the covenants under the Credit Agreement.</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The Notes</w:t>
      </w:r>
    </w:p>
    <w:p>
      <w:pPr>
        <w:spacing w:after="0" w:line="150" w:lineRule="exact"/>
        <w:rPr>
          <w:sz w:val="20"/>
          <w:szCs w:val="20"/>
          <w:color w:val="auto"/>
        </w:rPr>
      </w:pPr>
    </w:p>
    <w:p>
      <w:pPr>
        <w:ind w:right="80"/>
        <w:spacing w:after="0" w:line="298" w:lineRule="auto"/>
        <w:rPr>
          <w:sz w:val="20"/>
          <w:szCs w:val="20"/>
          <w:color w:val="auto"/>
        </w:rPr>
      </w:pPr>
      <w:r>
        <w:rPr>
          <w:rFonts w:ascii="Arial" w:cs="Arial" w:eastAsia="Arial" w:hAnsi="Arial"/>
          <w:sz w:val="11"/>
          <w:szCs w:val="11"/>
          <w:color w:val="auto"/>
        </w:rPr>
        <w:t>The Borrowers, as co-issuers, have outstanding $550 million aggregate principal amount of the Secured Notes, of which $400 million was originally issued on April 24, 2015 at an issue price of 100% of par value and the remaining $150 million was issued on June 9, 2016 at an issue price of 99.25% of the par value as an add-on to the existing Secured Notes. The Borrowers, as co-issuers, also have outstanding $1.11 billion aggregate principal amount of the 2023 Notes that were originally issued on April 24, 2015 at an issue price of 97.055% of par value. The Secured Notes and the 2023 Notes are guaranteed by the Company and the Subsidiary Guarantors.</w:t>
      </w:r>
    </w:p>
    <w:p>
      <w:pPr>
        <w:spacing w:after="0" w:line="105" w:lineRule="exact"/>
        <w:rPr>
          <w:sz w:val="20"/>
          <w:szCs w:val="20"/>
          <w:color w:val="auto"/>
        </w:rPr>
      </w:pPr>
    </w:p>
    <w:p>
      <w:pPr>
        <w:ind w:right="40"/>
        <w:spacing w:after="0" w:line="340" w:lineRule="auto"/>
        <w:rPr>
          <w:sz w:val="20"/>
          <w:szCs w:val="20"/>
          <w:color w:val="auto"/>
        </w:rPr>
      </w:pPr>
      <w:r>
        <w:rPr>
          <w:rFonts w:ascii="Arial" w:cs="Arial" w:eastAsia="Arial" w:hAnsi="Arial"/>
          <w:sz w:val="10"/>
          <w:szCs w:val="10"/>
          <w:color w:val="auto"/>
        </w:rPr>
        <w:t>The Operating Partnership and its wholly-owned subsidiaries, CSL Capital, LLC and Uniti Fiber Holdings Inc., as co-issuers, have outstanding $600 million aggregate principal amount of the 2024 Notes, of which $400 million was originally issued on December 15, 2016 at an issue price of 100% of par value and the remaining $200 million of which was issued on May 8, 2017 at an issue price of 100.50% of par value under a separate indenture and was mandatorily exchanged on August 11, 2017 for 2024 Notes issued as “additional notes” under the indenture governing the 2024 Notes. The 2024 Notes are guaranteed by the Company, Uniti Group Finance Inc. and the Subsidiary Guarantors.</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Deferred Financing Cost</w:t>
      </w:r>
    </w:p>
    <w:p>
      <w:pPr>
        <w:spacing w:after="0" w:line="150" w:lineRule="exact"/>
        <w:rPr>
          <w:sz w:val="20"/>
          <w:szCs w:val="20"/>
          <w:color w:val="auto"/>
        </w:rPr>
      </w:pPr>
    </w:p>
    <w:p>
      <w:pPr>
        <w:ind w:right="240"/>
        <w:spacing w:after="0" w:line="263" w:lineRule="auto"/>
        <w:rPr>
          <w:sz w:val="20"/>
          <w:szCs w:val="20"/>
          <w:color w:val="auto"/>
        </w:rPr>
      </w:pPr>
      <w:r>
        <w:rPr>
          <w:rFonts w:ascii="Arial" w:cs="Arial" w:eastAsia="Arial" w:hAnsi="Arial"/>
          <w:sz w:val="12"/>
          <w:szCs w:val="12"/>
          <w:color w:val="auto"/>
        </w:rPr>
        <w:t>Deferred financing costs were incurred in connection with the issuance of the Notes and the Facilities. These costs are amortized using the effective interest method over the term of the related indebtedness, and are included in interest expense in our Consolidated Statements of Income. For the year ended December 31, 2017, 2016 and for the period from April 24, 2015 to December 31, 2015, we recognized $13.6 million, $7.8 million and $4.8 million of non-cash interest expense, respectively, related to the amortization of deferred financing costs.</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40"/>
          </w:cols>
          <w:pgMar w:left="220" w:top="131" w:right="239" w:bottom="1440" w:gutter="0" w:footer="0" w:header="0"/>
        </w:sectPr>
      </w:pPr>
    </w:p>
    <w:bookmarkStart w:id="77" w:name="page78"/>
    <w:bookmarkEnd w:id="77"/>
    <w:p>
      <w:pPr>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tbl>
      <w:tblPr>
        <w:tblLayout w:type="fixed"/>
        <w:tblInd w:w="0" w:type="dxa"/>
        <w:tblCellMar>
          <w:top w:w="0" w:type="dxa"/>
          <w:left w:w="0" w:type="dxa"/>
          <w:bottom w:w="0" w:type="dxa"/>
          <w:right w:w="0" w:type="dxa"/>
        </w:tblCellMar>
      </w:tblPr>
      <w:tr>
        <w:trPr>
          <w:trHeight w:val="138"/>
        </w:trPr>
        <w:tc>
          <w:tcPr>
            <w:tcW w:w="840" w:type="dxa"/>
            <w:vAlign w:val="bottom"/>
            <w:tcBorders>
              <w:top w:val="single" w:sz="8" w:color="0000EE"/>
            </w:tcBorders>
          </w:tcPr>
          <w:p>
            <w:pPr>
              <w:spacing w:after="0"/>
              <w:rPr>
                <w:sz w:val="12"/>
                <w:szCs w:val="12"/>
                <w:color w:val="auto"/>
              </w:rPr>
            </w:pPr>
          </w:p>
        </w:tc>
        <w:tc>
          <w:tcPr>
            <w:tcW w:w="8140" w:type="dxa"/>
            <w:vAlign w:val="bottom"/>
          </w:tcPr>
          <w:p>
            <w:pPr>
              <w:jc w:val="center"/>
              <w:ind w:left="1580"/>
              <w:spacing w:after="0"/>
              <w:rPr>
                <w:sz w:val="20"/>
                <w:szCs w:val="20"/>
                <w:color w:val="auto"/>
              </w:rPr>
            </w:pPr>
            <w:r>
              <w:rPr>
                <w:rFonts w:ascii="Arial" w:cs="Arial" w:eastAsia="Arial" w:hAnsi="Arial"/>
                <w:sz w:val="12"/>
                <w:szCs w:val="12"/>
                <w:b w:val="1"/>
                <w:bCs w:val="1"/>
                <w:color w:val="auto"/>
                <w:w w:val="95"/>
              </w:rPr>
              <w:t>Uniti Group Inc.</w:t>
            </w: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7"/>
        </w:trPr>
        <w:tc>
          <w:tcPr>
            <w:tcW w:w="840" w:type="dxa"/>
            <w:vAlign w:val="bottom"/>
          </w:tcPr>
          <w:p>
            <w:pPr>
              <w:spacing w:after="0"/>
              <w:rPr>
                <w:sz w:val="13"/>
                <w:szCs w:val="13"/>
                <w:color w:val="auto"/>
              </w:rPr>
            </w:pPr>
          </w:p>
        </w:tc>
        <w:tc>
          <w:tcPr>
            <w:tcW w:w="8140" w:type="dxa"/>
            <w:vAlign w:val="bottom"/>
          </w:tcPr>
          <w:p>
            <w:pPr>
              <w:jc w:val="center"/>
              <w:ind w:left="1600"/>
              <w:spacing w:after="0"/>
              <w:rPr>
                <w:sz w:val="20"/>
                <w:szCs w:val="20"/>
                <w:color w:val="auto"/>
              </w:rPr>
            </w:pPr>
            <w:r>
              <w:rPr>
                <w:rFonts w:ascii="Arial" w:cs="Arial" w:eastAsia="Arial" w:hAnsi="Arial"/>
                <w:sz w:val="12"/>
                <w:szCs w:val="12"/>
                <w:b w:val="1"/>
                <w:bCs w:val="1"/>
                <w:color w:val="auto"/>
                <w:w w:val="89"/>
              </w:rPr>
              <w:t>Notes to the Consolidated Financial Statements – Continued</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450"/>
        </w:trPr>
        <w:tc>
          <w:tcPr>
            <w:tcW w:w="8980" w:type="dxa"/>
            <w:vAlign w:val="bottom"/>
            <w:gridSpan w:val="2"/>
          </w:tcPr>
          <w:p>
            <w:pPr>
              <w:spacing w:after="0"/>
              <w:rPr>
                <w:sz w:val="20"/>
                <w:szCs w:val="20"/>
                <w:color w:val="auto"/>
              </w:rPr>
            </w:pPr>
            <w:r>
              <w:rPr>
                <w:rFonts w:ascii="Arial" w:cs="Arial" w:eastAsia="Arial" w:hAnsi="Arial"/>
                <w:sz w:val="12"/>
                <w:szCs w:val="12"/>
                <w:color w:val="auto"/>
              </w:rPr>
              <w:t>Aggregate annual maturities of our long-term obligations at December 31, 2017 are as follows:</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06"/>
        </w:trPr>
        <w:tc>
          <w:tcPr>
            <w:tcW w:w="8980" w:type="dxa"/>
            <w:vAlign w:val="bottom"/>
            <w:tcBorders>
              <w:bottom w:val="single" w:sz="8" w:color="auto"/>
            </w:tcBorders>
            <w:gridSpan w:val="2"/>
          </w:tcPr>
          <w:p>
            <w:pPr>
              <w:spacing w:after="0"/>
              <w:rPr>
                <w:sz w:val="20"/>
                <w:szCs w:val="20"/>
                <w:color w:val="auto"/>
              </w:rPr>
            </w:pPr>
            <w:r>
              <w:rPr>
                <w:rFonts w:ascii="Arial" w:cs="Arial" w:eastAsia="Arial" w:hAnsi="Arial"/>
                <w:sz w:val="10"/>
                <w:szCs w:val="10"/>
                <w:color w:val="auto"/>
              </w:rPr>
              <w:t>(Thousands)</w:t>
            </w: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CFF0FC"/>
            </w:tcBorders>
          </w:tcPr>
          <w:p>
            <w:pPr>
              <w:spacing w:after="0"/>
              <w:rPr>
                <w:sz w:val="24"/>
                <w:szCs w:val="24"/>
                <w:color w:val="auto"/>
              </w:rPr>
            </w:pPr>
          </w:p>
        </w:tc>
        <w:tc>
          <w:tcPr>
            <w:tcW w:w="1240" w:type="dxa"/>
            <w:vAlign w:val="bottom"/>
            <w:tcBorders>
              <w:bottom w:val="single" w:sz="8" w:color="CFF0FC"/>
            </w:tcBorders>
          </w:tcPr>
          <w:p>
            <w:pPr>
              <w:spacing w:after="0"/>
              <w:rPr>
                <w:sz w:val="24"/>
                <w:szCs w:val="24"/>
                <w:color w:val="auto"/>
              </w:rPr>
            </w:pPr>
          </w:p>
        </w:tc>
        <w:tc>
          <w:tcPr>
            <w:tcW w:w="120" w:type="dxa"/>
            <w:vAlign w:val="bottom"/>
            <w:tcBorders>
              <w:bottom w:val="single" w:sz="8" w:color="CFF0FC"/>
            </w:tcBorders>
          </w:tcPr>
          <w:p>
            <w:pPr>
              <w:spacing w:after="0"/>
              <w:rPr>
                <w:sz w:val="24"/>
                <w:szCs w:val="24"/>
                <w:color w:val="auto"/>
              </w:rPr>
            </w:pPr>
          </w:p>
        </w:tc>
      </w:tr>
      <w:tr>
        <w:trPr>
          <w:trHeight w:val="142"/>
        </w:trPr>
        <w:tc>
          <w:tcPr>
            <w:tcW w:w="840" w:type="dxa"/>
            <w:vAlign w:val="bottom"/>
            <w:shd w:val="clear" w:color="auto" w:fill="CFF0FC"/>
          </w:tcPr>
          <w:p>
            <w:pPr>
              <w:spacing w:after="0"/>
              <w:rPr>
                <w:sz w:val="20"/>
                <w:szCs w:val="20"/>
                <w:color w:val="auto"/>
              </w:rPr>
            </w:pPr>
            <w:r>
              <w:rPr>
                <w:rFonts w:ascii="Arial" w:cs="Arial" w:eastAsia="Arial" w:hAnsi="Arial"/>
                <w:sz w:val="12"/>
                <w:szCs w:val="12"/>
                <w:color w:val="auto"/>
              </w:rPr>
              <w:t>2018</w:t>
            </w:r>
          </w:p>
        </w:tc>
        <w:tc>
          <w:tcPr>
            <w:tcW w:w="814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710"/>
              <w:spacing w:after="0"/>
              <w:rPr>
                <w:sz w:val="20"/>
                <w:szCs w:val="20"/>
                <w:color w:val="auto"/>
              </w:rPr>
            </w:pPr>
            <w:r>
              <w:rPr>
                <w:rFonts w:ascii="Arial" w:cs="Arial" w:eastAsia="Arial" w:hAnsi="Arial"/>
                <w:sz w:val="12"/>
                <w:szCs w:val="12"/>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21,079</w:t>
            </w:r>
          </w:p>
        </w:tc>
        <w:tc>
          <w:tcPr>
            <w:tcW w:w="120" w:type="dxa"/>
            <w:vAlign w:val="bottom"/>
            <w:shd w:val="clear" w:color="auto" w:fill="CFF0FC"/>
          </w:tcPr>
          <w:p>
            <w:pPr>
              <w:spacing w:after="0"/>
              <w:rPr>
                <w:sz w:val="12"/>
                <w:szCs w:val="12"/>
                <w:color w:val="auto"/>
              </w:rPr>
            </w:pPr>
          </w:p>
        </w:tc>
      </w:tr>
      <w:tr>
        <w:trPr>
          <w:trHeight w:val="153"/>
        </w:trPr>
        <w:tc>
          <w:tcPr>
            <w:tcW w:w="840" w:type="dxa"/>
            <w:vAlign w:val="bottom"/>
          </w:tcPr>
          <w:p>
            <w:pPr>
              <w:spacing w:after="0"/>
              <w:rPr>
                <w:sz w:val="20"/>
                <w:szCs w:val="20"/>
                <w:color w:val="auto"/>
              </w:rPr>
            </w:pPr>
            <w:r>
              <w:rPr>
                <w:rFonts w:ascii="Arial" w:cs="Arial" w:eastAsia="Arial" w:hAnsi="Arial"/>
                <w:sz w:val="12"/>
                <w:szCs w:val="12"/>
                <w:color w:val="auto"/>
              </w:rPr>
              <w:t>2019</w:t>
            </w:r>
          </w:p>
        </w:tc>
        <w:tc>
          <w:tcPr>
            <w:tcW w:w="8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21,079</w:t>
            </w:r>
          </w:p>
        </w:tc>
        <w:tc>
          <w:tcPr>
            <w:tcW w:w="120" w:type="dxa"/>
            <w:vAlign w:val="bottom"/>
          </w:tcPr>
          <w:p>
            <w:pPr>
              <w:spacing w:after="0"/>
              <w:rPr>
                <w:sz w:val="13"/>
                <w:szCs w:val="13"/>
                <w:color w:val="auto"/>
              </w:rPr>
            </w:pPr>
          </w:p>
        </w:tc>
      </w:tr>
      <w:tr>
        <w:trPr>
          <w:trHeight w:val="153"/>
        </w:trPr>
        <w:tc>
          <w:tcPr>
            <w:tcW w:w="840" w:type="dxa"/>
            <w:vAlign w:val="bottom"/>
            <w:shd w:val="clear" w:color="auto" w:fill="CFF0FC"/>
          </w:tcPr>
          <w:p>
            <w:pPr>
              <w:spacing w:after="0"/>
              <w:rPr>
                <w:sz w:val="20"/>
                <w:szCs w:val="20"/>
                <w:color w:val="auto"/>
              </w:rPr>
            </w:pPr>
            <w:r>
              <w:rPr>
                <w:rFonts w:ascii="Arial" w:cs="Arial" w:eastAsia="Arial" w:hAnsi="Arial"/>
                <w:sz w:val="12"/>
                <w:szCs w:val="12"/>
                <w:color w:val="auto"/>
              </w:rPr>
              <w:t>2020</w:t>
            </w:r>
          </w:p>
        </w:tc>
        <w:tc>
          <w:tcPr>
            <w:tcW w:w="81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301,079</w:t>
            </w:r>
          </w:p>
        </w:tc>
        <w:tc>
          <w:tcPr>
            <w:tcW w:w="120" w:type="dxa"/>
            <w:vAlign w:val="bottom"/>
            <w:shd w:val="clear" w:color="auto" w:fill="CFF0FC"/>
          </w:tcPr>
          <w:p>
            <w:pPr>
              <w:spacing w:after="0"/>
              <w:rPr>
                <w:sz w:val="13"/>
                <w:szCs w:val="13"/>
                <w:color w:val="auto"/>
              </w:rPr>
            </w:pPr>
          </w:p>
        </w:tc>
      </w:tr>
      <w:tr>
        <w:trPr>
          <w:trHeight w:val="153"/>
        </w:trPr>
        <w:tc>
          <w:tcPr>
            <w:tcW w:w="840" w:type="dxa"/>
            <w:vAlign w:val="bottom"/>
          </w:tcPr>
          <w:p>
            <w:pPr>
              <w:spacing w:after="0"/>
              <w:rPr>
                <w:sz w:val="20"/>
                <w:szCs w:val="20"/>
                <w:color w:val="auto"/>
              </w:rPr>
            </w:pPr>
            <w:r>
              <w:rPr>
                <w:rFonts w:ascii="Arial" w:cs="Arial" w:eastAsia="Arial" w:hAnsi="Arial"/>
                <w:sz w:val="12"/>
                <w:szCs w:val="12"/>
                <w:color w:val="auto"/>
              </w:rPr>
              <w:t>2021</w:t>
            </w:r>
          </w:p>
        </w:tc>
        <w:tc>
          <w:tcPr>
            <w:tcW w:w="8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21,079</w:t>
            </w:r>
          </w:p>
        </w:tc>
        <w:tc>
          <w:tcPr>
            <w:tcW w:w="120" w:type="dxa"/>
            <w:vAlign w:val="bottom"/>
          </w:tcPr>
          <w:p>
            <w:pPr>
              <w:spacing w:after="0"/>
              <w:rPr>
                <w:sz w:val="13"/>
                <w:szCs w:val="13"/>
                <w:color w:val="auto"/>
              </w:rPr>
            </w:pPr>
          </w:p>
        </w:tc>
      </w:tr>
      <w:tr>
        <w:trPr>
          <w:trHeight w:val="153"/>
        </w:trPr>
        <w:tc>
          <w:tcPr>
            <w:tcW w:w="840" w:type="dxa"/>
            <w:vAlign w:val="bottom"/>
            <w:shd w:val="clear" w:color="auto" w:fill="CFF0FC"/>
          </w:tcPr>
          <w:p>
            <w:pPr>
              <w:spacing w:after="0"/>
              <w:rPr>
                <w:sz w:val="20"/>
                <w:szCs w:val="20"/>
                <w:color w:val="auto"/>
              </w:rPr>
            </w:pPr>
            <w:r>
              <w:rPr>
                <w:rFonts w:ascii="Arial" w:cs="Arial" w:eastAsia="Arial" w:hAnsi="Arial"/>
                <w:sz w:val="12"/>
                <w:szCs w:val="12"/>
                <w:color w:val="auto"/>
              </w:rPr>
              <w:t>2022</w:t>
            </w:r>
          </w:p>
        </w:tc>
        <w:tc>
          <w:tcPr>
            <w:tcW w:w="81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2,002,571</w:t>
            </w:r>
          </w:p>
        </w:tc>
        <w:tc>
          <w:tcPr>
            <w:tcW w:w="120" w:type="dxa"/>
            <w:vAlign w:val="bottom"/>
            <w:shd w:val="clear" w:color="auto" w:fill="CFF0FC"/>
          </w:tcPr>
          <w:p>
            <w:pPr>
              <w:spacing w:after="0"/>
              <w:rPr>
                <w:sz w:val="13"/>
                <w:szCs w:val="13"/>
                <w:color w:val="auto"/>
              </w:rPr>
            </w:pPr>
          </w:p>
        </w:tc>
      </w:tr>
      <w:tr>
        <w:trPr>
          <w:trHeight w:val="153"/>
        </w:trPr>
        <w:tc>
          <w:tcPr>
            <w:tcW w:w="8980" w:type="dxa"/>
            <w:vAlign w:val="bottom"/>
            <w:tcBorders>
              <w:bottom w:val="single" w:sz="8" w:color="CFF0FC"/>
            </w:tcBorders>
            <w:gridSpan w:val="2"/>
          </w:tcPr>
          <w:p>
            <w:pPr>
              <w:spacing w:after="0"/>
              <w:rPr>
                <w:sz w:val="20"/>
                <w:szCs w:val="20"/>
                <w:color w:val="auto"/>
              </w:rPr>
            </w:pPr>
            <w:r>
              <w:rPr>
                <w:rFonts w:ascii="Arial" w:cs="Arial" w:eastAsia="Arial" w:hAnsi="Arial"/>
                <w:sz w:val="12"/>
                <w:szCs w:val="12"/>
                <w:color w:val="auto"/>
              </w:rPr>
              <w:t>Thereafter</w:t>
            </w:r>
          </w:p>
        </w:tc>
        <w:tc>
          <w:tcPr>
            <w:tcW w:w="320" w:type="dxa"/>
            <w:vAlign w:val="bottom"/>
            <w:tcBorders>
              <w:bottom w:val="single" w:sz="8" w:color="CFF0FC"/>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2,260,000</w:t>
            </w:r>
          </w:p>
        </w:tc>
        <w:tc>
          <w:tcPr>
            <w:tcW w:w="120" w:type="dxa"/>
            <w:vAlign w:val="bottom"/>
            <w:tcBorders>
              <w:bottom w:val="single" w:sz="8" w:color="CFF0FC"/>
            </w:tcBorders>
          </w:tcPr>
          <w:p>
            <w:pPr>
              <w:spacing w:after="0"/>
              <w:rPr>
                <w:sz w:val="13"/>
                <w:szCs w:val="13"/>
                <w:color w:val="auto"/>
              </w:rPr>
            </w:pPr>
          </w:p>
        </w:tc>
      </w:tr>
      <w:tr>
        <w:trPr>
          <w:trHeight w:val="171"/>
        </w:trPr>
        <w:tc>
          <w:tcPr>
            <w:tcW w:w="89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Total</w:t>
            </w:r>
          </w:p>
        </w:tc>
        <w:tc>
          <w:tcPr>
            <w:tcW w:w="1140" w:type="dxa"/>
            <w:vAlign w:val="bottom"/>
            <w:gridSpan w:val="2"/>
            <w:shd w:val="clear" w:color="auto" w:fill="CFF0FC"/>
          </w:tcPr>
          <w:p>
            <w:pPr>
              <w:jc w:val="right"/>
              <w:ind w:right="710"/>
              <w:spacing w:after="0"/>
              <w:rPr>
                <w:sz w:val="20"/>
                <w:szCs w:val="20"/>
                <w:color w:val="auto"/>
              </w:rPr>
            </w:pPr>
            <w:r>
              <w:rPr>
                <w:rFonts w:ascii="Arial" w:cs="Arial" w:eastAsia="Arial" w:hAnsi="Arial"/>
                <w:sz w:val="12"/>
                <w:szCs w:val="12"/>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4,626,887</w:t>
            </w:r>
          </w:p>
        </w:tc>
        <w:tc>
          <w:tcPr>
            <w:tcW w:w="120" w:type="dxa"/>
            <w:vAlign w:val="bottom"/>
            <w:shd w:val="clear" w:color="auto" w:fill="CFF0FC"/>
          </w:tcPr>
          <w:p>
            <w:pPr>
              <w:spacing w:after="0"/>
              <w:rPr>
                <w:sz w:val="14"/>
                <w:szCs w:val="14"/>
                <w:color w:val="auto"/>
              </w:rPr>
            </w:pPr>
          </w:p>
        </w:tc>
      </w:tr>
      <w:tr>
        <w:trPr>
          <w:trHeight w:val="257"/>
        </w:trPr>
        <w:tc>
          <w:tcPr>
            <w:tcW w:w="8980" w:type="dxa"/>
            <w:vAlign w:val="bottom"/>
            <w:tcBorders>
              <w:top w:val="single" w:sz="8" w:color="CFF0FC"/>
            </w:tcBorders>
            <w:gridSpan w:val="2"/>
          </w:tcPr>
          <w:p>
            <w:pPr>
              <w:spacing w:after="0"/>
              <w:rPr>
                <w:sz w:val="20"/>
                <w:szCs w:val="20"/>
                <w:color w:val="auto"/>
              </w:rPr>
            </w:pPr>
            <w:r>
              <w:rPr>
                <w:rFonts w:ascii="Arial" w:cs="Arial" w:eastAsia="Arial" w:hAnsi="Arial"/>
                <w:sz w:val="12"/>
                <w:szCs w:val="12"/>
                <w:color w:val="auto"/>
                <w:w w:val="93"/>
              </w:rPr>
              <w:t>As discussed in Note 6, we have acquired property pursuant to capital leases. At December 31, 2017, future minimum lease payments under capital lease obligations are as follows:</w:t>
            </w:r>
          </w:p>
        </w:tc>
        <w:tc>
          <w:tcPr>
            <w:tcW w:w="320" w:type="dxa"/>
            <w:vAlign w:val="bottom"/>
            <w:tcBorders>
              <w:top w:val="single" w:sz="8" w:color="CFF0FC"/>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120" w:type="dxa"/>
            <w:vAlign w:val="bottom"/>
            <w:tcBorders>
              <w:top w:val="single" w:sz="8" w:color="CFF0FC"/>
            </w:tcBorders>
          </w:tcPr>
          <w:p>
            <w:pPr>
              <w:spacing w:after="0"/>
              <w:rPr>
                <w:sz w:val="22"/>
                <w:szCs w:val="22"/>
                <w:color w:val="auto"/>
              </w:rPr>
            </w:pPr>
          </w:p>
        </w:tc>
      </w:tr>
      <w:tr>
        <w:trPr>
          <w:trHeight w:val="306"/>
        </w:trPr>
        <w:tc>
          <w:tcPr>
            <w:tcW w:w="8980" w:type="dxa"/>
            <w:vAlign w:val="bottom"/>
            <w:tcBorders>
              <w:bottom w:val="single" w:sz="8" w:color="auto"/>
            </w:tcBorders>
            <w:gridSpan w:val="2"/>
          </w:tcPr>
          <w:p>
            <w:pPr>
              <w:spacing w:after="0"/>
              <w:rPr>
                <w:sz w:val="20"/>
                <w:szCs w:val="20"/>
                <w:color w:val="auto"/>
              </w:rPr>
            </w:pPr>
            <w:r>
              <w:rPr>
                <w:rFonts w:ascii="Arial" w:cs="Arial" w:eastAsia="Arial" w:hAnsi="Arial"/>
                <w:sz w:val="10"/>
                <w:szCs w:val="10"/>
                <w:color w:val="auto"/>
              </w:rPr>
              <w:t>(Thousands)</w:t>
            </w: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CFF0FC"/>
            </w:tcBorders>
          </w:tcPr>
          <w:p>
            <w:pPr>
              <w:spacing w:after="0"/>
              <w:rPr>
                <w:sz w:val="24"/>
                <w:szCs w:val="24"/>
                <w:color w:val="auto"/>
              </w:rPr>
            </w:pPr>
          </w:p>
        </w:tc>
        <w:tc>
          <w:tcPr>
            <w:tcW w:w="1240" w:type="dxa"/>
            <w:vAlign w:val="bottom"/>
            <w:tcBorders>
              <w:bottom w:val="single" w:sz="8" w:color="CFF0FC"/>
            </w:tcBorders>
          </w:tcPr>
          <w:p>
            <w:pPr>
              <w:spacing w:after="0"/>
              <w:rPr>
                <w:sz w:val="24"/>
                <w:szCs w:val="24"/>
                <w:color w:val="auto"/>
              </w:rPr>
            </w:pPr>
          </w:p>
        </w:tc>
        <w:tc>
          <w:tcPr>
            <w:tcW w:w="120" w:type="dxa"/>
            <w:vAlign w:val="bottom"/>
            <w:tcBorders>
              <w:bottom w:val="single" w:sz="8" w:color="CFF0FC"/>
            </w:tcBorders>
          </w:tcPr>
          <w:p>
            <w:pPr>
              <w:spacing w:after="0"/>
              <w:rPr>
                <w:sz w:val="24"/>
                <w:szCs w:val="24"/>
                <w:color w:val="auto"/>
              </w:rPr>
            </w:pPr>
          </w:p>
        </w:tc>
      </w:tr>
      <w:tr>
        <w:trPr>
          <w:trHeight w:val="142"/>
        </w:trPr>
        <w:tc>
          <w:tcPr>
            <w:tcW w:w="840" w:type="dxa"/>
            <w:vAlign w:val="bottom"/>
            <w:shd w:val="clear" w:color="auto" w:fill="CFF0FC"/>
          </w:tcPr>
          <w:p>
            <w:pPr>
              <w:spacing w:after="0"/>
              <w:rPr>
                <w:sz w:val="20"/>
                <w:szCs w:val="20"/>
                <w:color w:val="auto"/>
              </w:rPr>
            </w:pPr>
            <w:r>
              <w:rPr>
                <w:rFonts w:ascii="Arial" w:cs="Arial" w:eastAsia="Arial" w:hAnsi="Arial"/>
                <w:sz w:val="12"/>
                <w:szCs w:val="12"/>
                <w:color w:val="auto"/>
              </w:rPr>
              <w:t>2018</w:t>
            </w:r>
          </w:p>
        </w:tc>
        <w:tc>
          <w:tcPr>
            <w:tcW w:w="814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710"/>
              <w:spacing w:after="0"/>
              <w:rPr>
                <w:sz w:val="20"/>
                <w:szCs w:val="20"/>
                <w:color w:val="auto"/>
              </w:rPr>
            </w:pPr>
            <w:r>
              <w:rPr>
                <w:rFonts w:ascii="Arial" w:cs="Arial" w:eastAsia="Arial" w:hAnsi="Arial"/>
                <w:sz w:val="12"/>
                <w:szCs w:val="12"/>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8,407</w:t>
            </w:r>
          </w:p>
        </w:tc>
        <w:tc>
          <w:tcPr>
            <w:tcW w:w="120" w:type="dxa"/>
            <w:vAlign w:val="bottom"/>
            <w:shd w:val="clear" w:color="auto" w:fill="CFF0FC"/>
          </w:tcPr>
          <w:p>
            <w:pPr>
              <w:spacing w:after="0"/>
              <w:rPr>
                <w:sz w:val="12"/>
                <w:szCs w:val="12"/>
                <w:color w:val="auto"/>
              </w:rPr>
            </w:pPr>
          </w:p>
        </w:tc>
      </w:tr>
      <w:tr>
        <w:trPr>
          <w:trHeight w:val="153"/>
        </w:trPr>
        <w:tc>
          <w:tcPr>
            <w:tcW w:w="840" w:type="dxa"/>
            <w:vAlign w:val="bottom"/>
          </w:tcPr>
          <w:p>
            <w:pPr>
              <w:spacing w:after="0"/>
              <w:rPr>
                <w:sz w:val="20"/>
                <w:szCs w:val="20"/>
                <w:color w:val="auto"/>
              </w:rPr>
            </w:pPr>
            <w:r>
              <w:rPr>
                <w:rFonts w:ascii="Arial" w:cs="Arial" w:eastAsia="Arial" w:hAnsi="Arial"/>
                <w:sz w:val="12"/>
                <w:szCs w:val="12"/>
                <w:color w:val="auto"/>
              </w:rPr>
              <w:t>2019</w:t>
            </w:r>
          </w:p>
        </w:tc>
        <w:tc>
          <w:tcPr>
            <w:tcW w:w="8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8,083</w:t>
            </w:r>
          </w:p>
        </w:tc>
        <w:tc>
          <w:tcPr>
            <w:tcW w:w="120" w:type="dxa"/>
            <w:vAlign w:val="bottom"/>
          </w:tcPr>
          <w:p>
            <w:pPr>
              <w:spacing w:after="0"/>
              <w:rPr>
                <w:sz w:val="13"/>
                <w:szCs w:val="13"/>
                <w:color w:val="auto"/>
              </w:rPr>
            </w:pPr>
          </w:p>
        </w:tc>
      </w:tr>
      <w:tr>
        <w:trPr>
          <w:trHeight w:val="153"/>
        </w:trPr>
        <w:tc>
          <w:tcPr>
            <w:tcW w:w="840" w:type="dxa"/>
            <w:vAlign w:val="bottom"/>
            <w:shd w:val="clear" w:color="auto" w:fill="CFF0FC"/>
          </w:tcPr>
          <w:p>
            <w:pPr>
              <w:spacing w:after="0"/>
              <w:rPr>
                <w:sz w:val="20"/>
                <w:szCs w:val="20"/>
                <w:color w:val="auto"/>
              </w:rPr>
            </w:pPr>
            <w:r>
              <w:rPr>
                <w:rFonts w:ascii="Arial" w:cs="Arial" w:eastAsia="Arial" w:hAnsi="Arial"/>
                <w:sz w:val="12"/>
                <w:szCs w:val="12"/>
                <w:color w:val="auto"/>
              </w:rPr>
              <w:t>2020</w:t>
            </w:r>
          </w:p>
        </w:tc>
        <w:tc>
          <w:tcPr>
            <w:tcW w:w="81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7,048</w:t>
            </w:r>
          </w:p>
        </w:tc>
        <w:tc>
          <w:tcPr>
            <w:tcW w:w="120" w:type="dxa"/>
            <w:vAlign w:val="bottom"/>
            <w:shd w:val="clear" w:color="auto" w:fill="CFF0FC"/>
          </w:tcPr>
          <w:p>
            <w:pPr>
              <w:spacing w:after="0"/>
              <w:rPr>
                <w:sz w:val="13"/>
                <w:szCs w:val="13"/>
                <w:color w:val="auto"/>
              </w:rPr>
            </w:pPr>
          </w:p>
        </w:tc>
      </w:tr>
      <w:tr>
        <w:trPr>
          <w:trHeight w:val="153"/>
        </w:trPr>
        <w:tc>
          <w:tcPr>
            <w:tcW w:w="840" w:type="dxa"/>
            <w:vAlign w:val="bottom"/>
          </w:tcPr>
          <w:p>
            <w:pPr>
              <w:spacing w:after="0"/>
              <w:rPr>
                <w:sz w:val="20"/>
                <w:szCs w:val="20"/>
                <w:color w:val="auto"/>
              </w:rPr>
            </w:pPr>
            <w:r>
              <w:rPr>
                <w:rFonts w:ascii="Arial" w:cs="Arial" w:eastAsia="Arial" w:hAnsi="Arial"/>
                <w:sz w:val="12"/>
                <w:szCs w:val="12"/>
                <w:color w:val="auto"/>
              </w:rPr>
              <w:t>2021</w:t>
            </w:r>
          </w:p>
        </w:tc>
        <w:tc>
          <w:tcPr>
            <w:tcW w:w="8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6,309</w:t>
            </w:r>
          </w:p>
        </w:tc>
        <w:tc>
          <w:tcPr>
            <w:tcW w:w="120" w:type="dxa"/>
            <w:vAlign w:val="bottom"/>
          </w:tcPr>
          <w:p>
            <w:pPr>
              <w:spacing w:after="0"/>
              <w:rPr>
                <w:sz w:val="13"/>
                <w:szCs w:val="13"/>
                <w:color w:val="auto"/>
              </w:rPr>
            </w:pPr>
          </w:p>
        </w:tc>
      </w:tr>
      <w:tr>
        <w:trPr>
          <w:trHeight w:val="153"/>
        </w:trPr>
        <w:tc>
          <w:tcPr>
            <w:tcW w:w="840" w:type="dxa"/>
            <w:vAlign w:val="bottom"/>
            <w:shd w:val="clear" w:color="auto" w:fill="CFF0FC"/>
          </w:tcPr>
          <w:p>
            <w:pPr>
              <w:spacing w:after="0"/>
              <w:rPr>
                <w:sz w:val="20"/>
                <w:szCs w:val="20"/>
                <w:color w:val="auto"/>
              </w:rPr>
            </w:pPr>
            <w:r>
              <w:rPr>
                <w:rFonts w:ascii="Arial" w:cs="Arial" w:eastAsia="Arial" w:hAnsi="Arial"/>
                <w:sz w:val="12"/>
                <w:szCs w:val="12"/>
                <w:color w:val="auto"/>
              </w:rPr>
              <w:t>2022</w:t>
            </w:r>
          </w:p>
        </w:tc>
        <w:tc>
          <w:tcPr>
            <w:tcW w:w="81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6,155</w:t>
            </w:r>
          </w:p>
        </w:tc>
        <w:tc>
          <w:tcPr>
            <w:tcW w:w="120" w:type="dxa"/>
            <w:vAlign w:val="bottom"/>
            <w:shd w:val="clear" w:color="auto" w:fill="CFF0FC"/>
          </w:tcPr>
          <w:p>
            <w:pPr>
              <w:spacing w:after="0"/>
              <w:rPr>
                <w:sz w:val="13"/>
                <w:szCs w:val="13"/>
                <w:color w:val="auto"/>
              </w:rPr>
            </w:pPr>
          </w:p>
        </w:tc>
      </w:tr>
      <w:tr>
        <w:trPr>
          <w:trHeight w:val="153"/>
        </w:trPr>
        <w:tc>
          <w:tcPr>
            <w:tcW w:w="8980" w:type="dxa"/>
            <w:vAlign w:val="bottom"/>
            <w:tcBorders>
              <w:bottom w:val="single" w:sz="8" w:color="CFF0FC"/>
            </w:tcBorders>
            <w:gridSpan w:val="2"/>
          </w:tcPr>
          <w:p>
            <w:pPr>
              <w:spacing w:after="0"/>
              <w:rPr>
                <w:sz w:val="20"/>
                <w:szCs w:val="20"/>
                <w:color w:val="auto"/>
              </w:rPr>
            </w:pPr>
            <w:r>
              <w:rPr>
                <w:rFonts w:ascii="Arial" w:cs="Arial" w:eastAsia="Arial" w:hAnsi="Arial"/>
                <w:sz w:val="12"/>
                <w:szCs w:val="12"/>
                <w:color w:val="auto"/>
              </w:rPr>
              <w:t>Thereafter</w:t>
            </w:r>
          </w:p>
        </w:tc>
        <w:tc>
          <w:tcPr>
            <w:tcW w:w="320" w:type="dxa"/>
            <w:vAlign w:val="bottom"/>
            <w:tcBorders>
              <w:bottom w:val="single" w:sz="8" w:color="CFF0FC"/>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53,461</w:t>
            </w:r>
          </w:p>
        </w:tc>
        <w:tc>
          <w:tcPr>
            <w:tcW w:w="120" w:type="dxa"/>
            <w:vAlign w:val="bottom"/>
            <w:tcBorders>
              <w:bottom w:val="single" w:sz="8" w:color="CFF0FC"/>
            </w:tcBorders>
          </w:tcPr>
          <w:p>
            <w:pPr>
              <w:spacing w:after="0"/>
              <w:rPr>
                <w:sz w:val="13"/>
                <w:szCs w:val="13"/>
                <w:color w:val="auto"/>
              </w:rPr>
            </w:pPr>
          </w:p>
        </w:tc>
      </w:tr>
      <w:tr>
        <w:trPr>
          <w:trHeight w:val="142"/>
        </w:trPr>
        <w:tc>
          <w:tcPr>
            <w:tcW w:w="89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Total minimum payments</w:t>
            </w:r>
          </w:p>
        </w:tc>
        <w:tc>
          <w:tcPr>
            <w:tcW w:w="3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89,463</w:t>
            </w:r>
          </w:p>
        </w:tc>
        <w:tc>
          <w:tcPr>
            <w:tcW w:w="120" w:type="dxa"/>
            <w:vAlign w:val="bottom"/>
            <w:shd w:val="clear" w:color="auto" w:fill="CFF0FC"/>
          </w:tcPr>
          <w:p>
            <w:pPr>
              <w:spacing w:after="0"/>
              <w:rPr>
                <w:sz w:val="12"/>
                <w:szCs w:val="12"/>
                <w:color w:val="auto"/>
              </w:rPr>
            </w:pPr>
          </w:p>
        </w:tc>
      </w:tr>
      <w:tr>
        <w:trPr>
          <w:trHeight w:val="153"/>
        </w:trPr>
        <w:tc>
          <w:tcPr>
            <w:tcW w:w="8980" w:type="dxa"/>
            <w:vAlign w:val="bottom"/>
            <w:gridSpan w:val="2"/>
          </w:tcPr>
          <w:p>
            <w:pPr>
              <w:spacing w:after="0"/>
              <w:rPr>
                <w:sz w:val="20"/>
                <w:szCs w:val="20"/>
                <w:color w:val="auto"/>
              </w:rPr>
            </w:pPr>
            <w:r>
              <w:rPr>
                <w:rFonts w:ascii="Arial" w:cs="Arial" w:eastAsia="Arial" w:hAnsi="Arial"/>
                <w:sz w:val="12"/>
                <w:szCs w:val="12"/>
                <w:color w:val="auto"/>
              </w:rPr>
              <w:t>Less amount representing interest</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2"/>
                <w:szCs w:val="12"/>
                <w:color w:val="auto"/>
              </w:rPr>
              <w:t>(33,134)</w:t>
            </w:r>
          </w:p>
        </w:tc>
      </w:tr>
      <w:tr>
        <w:trPr>
          <w:trHeight w:val="158"/>
        </w:trPr>
        <w:tc>
          <w:tcPr>
            <w:tcW w:w="898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2"/>
                <w:szCs w:val="12"/>
                <w:color w:val="auto"/>
              </w:rPr>
              <w:t>Total</w:t>
            </w:r>
          </w:p>
        </w:tc>
        <w:tc>
          <w:tcPr>
            <w:tcW w:w="320" w:type="dxa"/>
            <w:vAlign w:val="bottom"/>
            <w:tcBorders>
              <w:top w:val="single" w:sz="8" w:color="CFF0FC"/>
              <w:bottom w:val="single" w:sz="8" w:color="CFF0FC"/>
            </w:tcBorders>
            <w:shd w:val="clear" w:color="auto" w:fill="CFF0FC"/>
          </w:tcPr>
          <w:p>
            <w:pPr>
              <w:spacing w:after="0"/>
              <w:rPr>
                <w:sz w:val="13"/>
                <w:szCs w:val="13"/>
                <w:color w:val="auto"/>
              </w:rPr>
            </w:pPr>
          </w:p>
        </w:tc>
        <w:tc>
          <w:tcPr>
            <w:tcW w:w="820" w:type="dxa"/>
            <w:vAlign w:val="bottom"/>
            <w:tcBorders>
              <w:top w:val="single" w:sz="8" w:color="auto"/>
              <w:bottom w:val="single" w:sz="8" w:color="auto"/>
            </w:tcBorders>
            <w:shd w:val="clear" w:color="auto" w:fill="CFF0FC"/>
          </w:tcPr>
          <w:p>
            <w:pPr>
              <w:jc w:val="right"/>
              <w:ind w:right="710"/>
              <w:spacing w:after="0"/>
              <w:rPr>
                <w:sz w:val="20"/>
                <w:szCs w:val="20"/>
                <w:color w:val="auto"/>
              </w:rPr>
            </w:pPr>
            <w:r>
              <w:rPr>
                <w:rFonts w:ascii="Arial" w:cs="Arial" w:eastAsia="Arial" w:hAnsi="Arial"/>
                <w:sz w:val="10"/>
                <w:szCs w:val="10"/>
                <w:color w:val="auto"/>
                <w:w w:val="71"/>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56,329</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r>
    </w:tbl>
    <w:p>
      <w:pPr>
        <w:spacing w:after="0" w:line="17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10. Stock-Based Compensation</w:t>
      </w:r>
    </w:p>
    <w:p>
      <w:pPr>
        <w:spacing w:after="0" w:line="82" w:lineRule="exact"/>
        <w:rPr>
          <w:sz w:val="20"/>
          <w:szCs w:val="20"/>
          <w:color w:val="auto"/>
        </w:rPr>
      </w:pPr>
    </w:p>
    <w:p>
      <w:pPr>
        <w:ind w:right="200"/>
        <w:spacing w:after="0" w:line="276" w:lineRule="auto"/>
        <w:rPr>
          <w:sz w:val="20"/>
          <w:szCs w:val="20"/>
          <w:color w:val="auto"/>
        </w:rPr>
      </w:pPr>
      <w:r>
        <w:rPr>
          <w:rFonts w:ascii="Arial" w:cs="Arial" w:eastAsia="Arial" w:hAnsi="Arial"/>
          <w:sz w:val="12"/>
          <w:szCs w:val="12"/>
          <w:color w:val="auto"/>
        </w:rPr>
        <w:t>The Company’s Board of Directors adopted the Uniti Group Inc. 2015 Equity Incentive Plan (the “Equity Plan”), which is administered by the Compensation Committee of the Board of Directors. Awards issuable under the Equity Plan include incentive stock options, “non-qualified” stock options, stock appreciation rights, performance units and performance shares, restricted shares, and restricted stock units.</w:t>
      </w:r>
    </w:p>
    <w:p>
      <w:pPr>
        <w:spacing w:after="0" w:line="115" w:lineRule="exact"/>
        <w:rPr>
          <w:sz w:val="20"/>
          <w:szCs w:val="20"/>
          <w:color w:val="auto"/>
        </w:rPr>
      </w:pPr>
    </w:p>
    <w:p>
      <w:pPr>
        <w:ind w:right="60"/>
        <w:spacing w:after="0" w:line="283" w:lineRule="auto"/>
        <w:rPr>
          <w:sz w:val="20"/>
          <w:szCs w:val="20"/>
          <w:color w:val="auto"/>
        </w:rPr>
      </w:pPr>
      <w:r>
        <w:rPr>
          <w:rFonts w:ascii="Arial" w:cs="Arial" w:eastAsia="Arial" w:hAnsi="Arial"/>
          <w:sz w:val="11"/>
          <w:szCs w:val="11"/>
          <w:color w:val="auto"/>
        </w:rPr>
        <w:t>In connection with the Spin-Off, the Company issued 538,819 restricted shares and 70,889 performance-based restricted stock units to employees of Windstream in accordance with the terms of the Employee Matters Agreement between the Company and Windstream. Under the Employee Matters Agreement, which governs the compensation and employee benefit obligations of Uniti and Windstream with respect to the current and former employees of each company, employees of Windstream who held equity awards as of the date of the Spin-Off were entitled to receive equity awards of Uniti in the same proportion as if the equity awards had been common shares on the date of the Spin-Off. The Uniti awards issued have the same form and vesting requirements as the underlying Windstream awards. For the purposes of vesting in the Uniti awards, continued service with Windstream is deemed to be continued service with Uniti. We do not recognize any compensation expense in our Consolidated Statement of Income related to these awards, as none of the employees granted awards provide service to Uniti. There were no restricted shares and performance-based restricted stock units issued to Windstream employees that remained outstanding at December 31, 2017.</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Restricted Awards</w:t>
      </w:r>
    </w:p>
    <w:p>
      <w:pPr>
        <w:spacing w:after="0" w:line="78" w:lineRule="exact"/>
        <w:rPr>
          <w:sz w:val="20"/>
          <w:szCs w:val="20"/>
          <w:color w:val="auto"/>
        </w:rPr>
      </w:pPr>
    </w:p>
    <w:p>
      <w:pPr>
        <w:jc w:val="both"/>
        <w:ind w:right="80"/>
        <w:spacing w:after="0" w:line="263" w:lineRule="auto"/>
        <w:rPr>
          <w:sz w:val="20"/>
          <w:szCs w:val="20"/>
          <w:color w:val="auto"/>
        </w:rPr>
      </w:pPr>
      <w:r>
        <w:rPr>
          <w:rFonts w:ascii="Arial" w:cs="Arial" w:eastAsia="Arial" w:hAnsi="Arial"/>
          <w:sz w:val="12"/>
          <w:szCs w:val="12"/>
          <w:color w:val="auto"/>
        </w:rPr>
        <w:t>During the year ended December 31, 2017, the Company granted 234,294 shares of restricted stock to employees, which had a fair value of $6.0 million as of the date of grant. We calculate the grant date fair value of non-vested shares of restricted stock awards using the closing sale prices on the trading day on the grant date. The restricted stock awards are amortized on a straight-line basis to expense over the vesting period, which is generally three years. As of December 31, 2017, there were 4,992,583 shares available for future issuance under the Equity Plan.</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19" w:right="199" w:bottom="1440" w:gutter="0" w:footer="0" w:header="0"/>
        </w:sectPr>
      </w:pPr>
    </w:p>
    <w:bookmarkStart w:id="78" w:name="page79"/>
    <w:bookmarkEnd w:id="78"/>
    <w:p>
      <w:pPr>
        <w:ind w:left="8"/>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 w:lineRule="exact"/>
        <w:rPr>
          <w:sz w:val="20"/>
          <w:szCs w:val="20"/>
          <w:color w:val="auto"/>
        </w:rPr>
      </w:pPr>
    </w:p>
    <w:p>
      <w:pPr>
        <w:jc w:val="center"/>
        <w:ind w:right="12"/>
        <w:spacing w:after="0"/>
        <w:rPr>
          <w:sz w:val="20"/>
          <w:szCs w:val="20"/>
          <w:color w:val="auto"/>
        </w:rPr>
      </w:pPr>
      <w:r>
        <w:rPr>
          <w:rFonts w:ascii="Arial" w:cs="Arial" w:eastAsia="Arial" w:hAnsi="Arial"/>
          <w:sz w:val="12"/>
          <w:szCs w:val="12"/>
          <w:b w:val="1"/>
          <w:bCs w:val="1"/>
          <w:color w:val="auto"/>
        </w:rPr>
        <w:t>Uniti Group Inc.</w:t>
      </w:r>
    </w:p>
    <w:p>
      <w:pPr>
        <w:spacing w:after="0" w:line="6" w:lineRule="exact"/>
        <w:rPr>
          <w:sz w:val="20"/>
          <w:szCs w:val="20"/>
          <w:color w:val="auto"/>
        </w:rPr>
      </w:pPr>
    </w:p>
    <w:p>
      <w:pPr>
        <w:jc w:val="center"/>
        <w:ind w:right="12"/>
        <w:spacing w:after="0"/>
        <w:rPr>
          <w:sz w:val="20"/>
          <w:szCs w:val="20"/>
          <w:color w:val="auto"/>
        </w:rPr>
      </w:pPr>
      <w:r>
        <w:rPr>
          <w:rFonts w:ascii="Arial" w:cs="Arial" w:eastAsia="Arial" w:hAnsi="Arial"/>
          <w:sz w:val="12"/>
          <w:szCs w:val="12"/>
          <w:b w:val="1"/>
          <w:bCs w:val="1"/>
          <w:color w:val="auto"/>
        </w:rPr>
        <w:t>Notes to the Consolidated Financial Statements – Continued</w:t>
      </w:r>
    </w:p>
    <w:p>
      <w:pPr>
        <w:spacing w:after="0" w:line="231"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following table sets forth the number of unvested restricted stock awards and the weighted-average fair value of these awards at the date of grant:</w:t>
      </w:r>
    </w:p>
    <w:p>
      <w:pPr>
        <w:spacing w:after="0" w:line="368"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4740" w:type="dxa"/>
            <w:vAlign w:val="bottom"/>
            <w:tcBorders>
              <w:bottom w:val="single" w:sz="8" w:color="CFF0FC"/>
            </w:tcBorders>
          </w:tcPr>
          <w:p>
            <w:pPr>
              <w:spacing w:after="0"/>
              <w:rPr>
                <w:sz w:val="10"/>
                <w:szCs w:val="10"/>
                <w:color w:val="auto"/>
              </w:rPr>
            </w:pPr>
          </w:p>
        </w:tc>
        <w:tc>
          <w:tcPr>
            <w:tcW w:w="1500" w:type="dxa"/>
            <w:vAlign w:val="bottom"/>
            <w:tcBorders>
              <w:bottom w:val="single" w:sz="8" w:color="auto"/>
            </w:tcBorders>
          </w:tcPr>
          <w:p>
            <w:pPr>
              <w:ind w:left="640"/>
              <w:spacing w:after="0"/>
              <w:rPr>
                <w:sz w:val="20"/>
                <w:szCs w:val="20"/>
                <w:color w:val="auto"/>
              </w:rPr>
            </w:pPr>
            <w:r>
              <w:rPr>
                <w:rFonts w:ascii="Arial" w:cs="Arial" w:eastAsia="Arial" w:hAnsi="Arial"/>
                <w:sz w:val="10"/>
                <w:szCs w:val="10"/>
                <w:b w:val="1"/>
                <w:bCs w:val="1"/>
                <w:color w:val="auto"/>
                <w:w w:val="95"/>
              </w:rPr>
              <w:t>Restricted Awards</w:t>
            </w:r>
          </w:p>
        </w:tc>
        <w:tc>
          <w:tcPr>
            <w:tcW w:w="540" w:type="dxa"/>
            <w:vAlign w:val="bottom"/>
            <w:tcBorders>
              <w:bottom w:val="single" w:sz="8" w:color="auto"/>
            </w:tcBorders>
          </w:tcPr>
          <w:p>
            <w:pPr>
              <w:spacing w:after="0"/>
              <w:rPr>
                <w:sz w:val="10"/>
                <w:szCs w:val="10"/>
                <w:color w:val="auto"/>
              </w:rPr>
            </w:pPr>
          </w:p>
        </w:tc>
        <w:tc>
          <w:tcPr>
            <w:tcW w:w="260" w:type="dxa"/>
            <w:vAlign w:val="bottom"/>
            <w:tcBorders>
              <w:bottom w:val="single" w:sz="8" w:color="CFF0FC"/>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960" w:type="dxa"/>
            <w:vAlign w:val="bottom"/>
            <w:tcBorders>
              <w:bottom w:val="single" w:sz="8" w:color="auto"/>
            </w:tcBorders>
          </w:tcPr>
          <w:p>
            <w:pPr>
              <w:jc w:val="right"/>
              <w:ind w:right="82"/>
              <w:spacing w:after="0"/>
              <w:rPr>
                <w:sz w:val="20"/>
                <w:szCs w:val="20"/>
                <w:color w:val="auto"/>
              </w:rPr>
            </w:pPr>
            <w:r>
              <w:rPr>
                <w:rFonts w:ascii="Arial" w:cs="Arial" w:eastAsia="Arial" w:hAnsi="Arial"/>
                <w:sz w:val="10"/>
                <w:szCs w:val="10"/>
                <w:b w:val="1"/>
                <w:bCs w:val="1"/>
                <w:color w:val="auto"/>
                <w:w w:val="88"/>
              </w:rPr>
              <w:t>Weighted Average Fair Value at Grant Date</w:t>
            </w:r>
          </w:p>
        </w:tc>
        <w:tc>
          <w:tcPr>
            <w:tcW w:w="240" w:type="dxa"/>
            <w:vAlign w:val="bottom"/>
            <w:tcBorders>
              <w:bottom w:val="single" w:sz="8" w:color="CFF0FC"/>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860" w:type="dxa"/>
            <w:vAlign w:val="bottom"/>
            <w:tcBorders>
              <w:bottom w:val="single" w:sz="8" w:color="auto"/>
            </w:tcBorders>
          </w:tcPr>
          <w:p>
            <w:pPr>
              <w:jc w:val="right"/>
              <w:ind w:right="226"/>
              <w:spacing w:after="0"/>
              <w:rPr>
                <w:sz w:val="20"/>
                <w:szCs w:val="20"/>
                <w:color w:val="auto"/>
              </w:rPr>
            </w:pPr>
            <w:r>
              <w:rPr>
                <w:rFonts w:ascii="Arial" w:cs="Arial" w:eastAsia="Arial" w:hAnsi="Arial"/>
                <w:sz w:val="10"/>
                <w:szCs w:val="10"/>
                <w:b w:val="1"/>
                <w:bCs w:val="1"/>
                <w:color w:val="auto"/>
                <w:w w:val="93"/>
              </w:rPr>
              <w:t>Aggregate Intrinsic Value</w:t>
            </w:r>
            <w:r>
              <w:rPr>
                <w:rFonts w:ascii="Arial" w:cs="Arial" w:eastAsia="Arial" w:hAnsi="Arial"/>
                <w:sz w:val="8"/>
                <w:szCs w:val="8"/>
                <w:b w:val="1"/>
                <w:bCs w:val="1"/>
                <w:color w:val="auto"/>
                <w:w w:val="93"/>
              </w:rPr>
              <w:t>(1)</w:t>
            </w:r>
            <w:r>
              <w:rPr>
                <w:rFonts w:ascii="Arial" w:cs="Arial" w:eastAsia="Arial" w:hAnsi="Arial"/>
                <w:sz w:val="10"/>
                <w:szCs w:val="10"/>
                <w:b w:val="1"/>
                <w:bCs w:val="1"/>
                <w:color w:val="auto"/>
                <w:w w:val="93"/>
              </w:rPr>
              <w:t xml:space="preserve"> ($000s)</w:t>
            </w:r>
          </w:p>
        </w:tc>
        <w:tc>
          <w:tcPr>
            <w:tcW w:w="120" w:type="dxa"/>
            <w:vAlign w:val="bottom"/>
            <w:tcBorders>
              <w:bottom w:val="single" w:sz="8" w:color="CFF0FC"/>
            </w:tcBorders>
          </w:tcPr>
          <w:p>
            <w:pPr>
              <w:spacing w:after="0"/>
              <w:rPr>
                <w:sz w:val="10"/>
                <w:szCs w:val="10"/>
                <w:color w:val="auto"/>
              </w:rPr>
            </w:pPr>
          </w:p>
        </w:tc>
      </w:tr>
      <w:tr>
        <w:trPr>
          <w:trHeight w:val="142"/>
        </w:trPr>
        <w:tc>
          <w:tcPr>
            <w:tcW w:w="624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Unvested balance December 31, 2016</w:t>
            </w:r>
          </w:p>
        </w:tc>
        <w:tc>
          <w:tcPr>
            <w:tcW w:w="5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493,891</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22.60</w:t>
            </w: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8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53"/>
        </w:trPr>
        <w:tc>
          <w:tcPr>
            <w:tcW w:w="6240" w:type="dxa"/>
            <w:vAlign w:val="bottom"/>
            <w:gridSpan w:val="2"/>
          </w:tcPr>
          <w:p>
            <w:pPr>
              <w:spacing w:after="0"/>
              <w:rPr>
                <w:sz w:val="20"/>
                <w:szCs w:val="20"/>
                <w:color w:val="auto"/>
              </w:rPr>
            </w:pPr>
            <w:r>
              <w:rPr>
                <w:rFonts w:ascii="Arial" w:cs="Arial" w:eastAsia="Arial" w:hAnsi="Arial"/>
                <w:sz w:val="12"/>
                <w:szCs w:val="12"/>
                <w:color w:val="auto"/>
              </w:rPr>
              <w:t>Granted</w:t>
            </w:r>
          </w:p>
        </w:tc>
        <w:tc>
          <w:tcPr>
            <w:tcW w:w="540" w:type="dxa"/>
            <w:vAlign w:val="bottom"/>
          </w:tcPr>
          <w:p>
            <w:pPr>
              <w:jc w:val="right"/>
              <w:spacing w:after="0"/>
              <w:rPr>
                <w:sz w:val="20"/>
                <w:szCs w:val="20"/>
                <w:color w:val="auto"/>
              </w:rPr>
            </w:pPr>
            <w:r>
              <w:rPr>
                <w:rFonts w:ascii="Arial" w:cs="Arial" w:eastAsia="Arial" w:hAnsi="Arial"/>
                <w:sz w:val="12"/>
                <w:szCs w:val="12"/>
                <w:color w:val="auto"/>
              </w:rPr>
              <w:t>234,294</w:t>
            </w:r>
          </w:p>
        </w:tc>
        <w:tc>
          <w:tcPr>
            <w:tcW w:w="26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960" w:type="dxa"/>
            <w:vAlign w:val="bottom"/>
          </w:tcPr>
          <w:p>
            <w:pPr>
              <w:jc w:val="right"/>
              <w:spacing w:after="0"/>
              <w:rPr>
                <w:sz w:val="20"/>
                <w:szCs w:val="20"/>
                <w:color w:val="auto"/>
              </w:rPr>
            </w:pPr>
            <w:r>
              <w:rPr>
                <w:rFonts w:ascii="Arial" w:cs="Arial" w:eastAsia="Arial" w:hAnsi="Arial"/>
                <w:sz w:val="12"/>
                <w:szCs w:val="12"/>
                <w:color w:val="auto"/>
              </w:rPr>
              <w:t>25.56</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3"/>
        </w:trPr>
        <w:tc>
          <w:tcPr>
            <w:tcW w:w="624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Forfeited</w:t>
            </w: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(33,041)</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24.77</w:t>
            </w: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8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53"/>
        </w:trPr>
        <w:tc>
          <w:tcPr>
            <w:tcW w:w="4740" w:type="dxa"/>
            <w:vAlign w:val="bottom"/>
          </w:tcPr>
          <w:p>
            <w:pPr>
              <w:spacing w:after="0"/>
              <w:rPr>
                <w:sz w:val="20"/>
                <w:szCs w:val="20"/>
                <w:color w:val="auto"/>
              </w:rPr>
            </w:pPr>
            <w:r>
              <w:rPr>
                <w:rFonts w:ascii="Arial" w:cs="Arial" w:eastAsia="Arial" w:hAnsi="Arial"/>
                <w:sz w:val="12"/>
                <w:szCs w:val="12"/>
                <w:color w:val="auto"/>
              </w:rPr>
              <w:t>Vested</w:t>
            </w:r>
          </w:p>
        </w:tc>
        <w:tc>
          <w:tcPr>
            <w:tcW w:w="1500" w:type="dxa"/>
            <w:vAlign w:val="bottom"/>
          </w:tcPr>
          <w:p>
            <w:pPr>
              <w:spacing w:after="0"/>
              <w:rPr>
                <w:sz w:val="13"/>
                <w:szCs w:val="1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2"/>
                <w:szCs w:val="12"/>
                <w:color w:val="auto"/>
              </w:rPr>
              <w:t>(106,956)</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960" w:type="dxa"/>
            <w:vAlign w:val="bottom"/>
          </w:tcPr>
          <w:p>
            <w:pPr>
              <w:jc w:val="right"/>
              <w:spacing w:after="0"/>
              <w:rPr>
                <w:sz w:val="20"/>
                <w:szCs w:val="20"/>
                <w:color w:val="auto"/>
              </w:rPr>
            </w:pPr>
            <w:r>
              <w:rPr>
                <w:rFonts w:ascii="Arial" w:cs="Arial" w:eastAsia="Arial" w:hAnsi="Arial"/>
                <w:sz w:val="12"/>
                <w:szCs w:val="12"/>
                <w:color w:val="auto"/>
              </w:rPr>
              <w:t>20.73</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49"/>
        </w:trPr>
        <w:tc>
          <w:tcPr>
            <w:tcW w:w="47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2"/>
                <w:szCs w:val="12"/>
                <w:color w:val="auto"/>
              </w:rPr>
              <w:t>Unvested balance, December 31, 2017</w:t>
            </w:r>
          </w:p>
        </w:tc>
        <w:tc>
          <w:tcPr>
            <w:tcW w:w="1500" w:type="dxa"/>
            <w:vAlign w:val="bottom"/>
            <w:tcBorders>
              <w:top w:val="single" w:sz="8" w:color="auto"/>
              <w:bottom w:val="single" w:sz="8" w:color="auto"/>
            </w:tcBorders>
            <w:shd w:val="clear" w:color="auto" w:fill="CFF0FC"/>
          </w:tcPr>
          <w:p>
            <w:pPr>
              <w:spacing w:after="0"/>
              <w:rPr>
                <w:sz w:val="12"/>
                <w:szCs w:val="12"/>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588,188</w:t>
            </w:r>
          </w:p>
        </w:tc>
        <w:tc>
          <w:tcPr>
            <w:tcW w:w="26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24.00</w:t>
            </w:r>
          </w:p>
        </w:tc>
        <w:tc>
          <w:tcPr>
            <w:tcW w:w="240" w:type="dxa"/>
            <w:vAlign w:val="bottom"/>
            <w:tcBorders>
              <w:top w:val="single" w:sz="8" w:color="CFF0FC"/>
              <w:bottom w:val="single" w:sz="8" w:color="CFF0FC"/>
            </w:tcBorders>
            <w:shd w:val="clear" w:color="auto" w:fill="CFF0FC"/>
          </w:tcPr>
          <w:p>
            <w:pPr>
              <w:spacing w:after="0"/>
              <w:rPr>
                <w:sz w:val="12"/>
                <w:szCs w:val="12"/>
                <w:color w:val="auto"/>
              </w:rPr>
            </w:pPr>
          </w:p>
        </w:tc>
        <w:tc>
          <w:tcPr>
            <w:tcW w:w="180" w:type="dxa"/>
            <w:vAlign w:val="bottom"/>
            <w:tcBorders>
              <w:top w:val="single" w:sz="8" w:color="CFF0FC"/>
              <w:bottom w:val="single" w:sz="8" w:color="auto"/>
            </w:tcBorders>
            <w:shd w:val="clear" w:color="auto" w:fill="CFF0FC"/>
          </w:tcPr>
          <w:p>
            <w:pPr>
              <w:jc w:val="right"/>
              <w:ind w:right="70"/>
              <w:spacing w:after="0"/>
              <w:rPr>
                <w:sz w:val="20"/>
                <w:szCs w:val="20"/>
                <w:color w:val="auto"/>
              </w:rPr>
            </w:pPr>
            <w:r>
              <w:rPr>
                <w:rFonts w:ascii="Arial" w:cs="Arial" w:eastAsia="Arial" w:hAnsi="Arial"/>
                <w:sz w:val="10"/>
                <w:szCs w:val="10"/>
                <w:color w:val="auto"/>
                <w:w w:val="71"/>
              </w:rPr>
              <w:t>$</w:t>
            </w:r>
          </w:p>
        </w:tc>
        <w:tc>
          <w:tcPr>
            <w:tcW w:w="1860" w:type="dxa"/>
            <w:vAlign w:val="bottom"/>
            <w:tcBorders>
              <w:top w:val="single" w:sz="8" w:color="CFF0FC"/>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10,464</w:t>
            </w: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r>
    </w:tbl>
    <w:p>
      <w:pPr>
        <w:spacing w:after="0" w:line="135" w:lineRule="exact"/>
        <w:rPr>
          <w:sz w:val="20"/>
          <w:szCs w:val="20"/>
          <w:color w:val="auto"/>
        </w:rPr>
      </w:pPr>
    </w:p>
    <w:p>
      <w:pPr>
        <w:ind w:left="208" w:right="400" w:hanging="208"/>
        <w:spacing w:after="0" w:line="276" w:lineRule="auto"/>
        <w:tabs>
          <w:tab w:leader="none" w:pos="208" w:val="left"/>
        </w:tabs>
        <w:numPr>
          <w:ilvl w:val="0"/>
          <w:numId w:val="13"/>
        </w:numPr>
        <w:rPr>
          <w:rFonts w:ascii="Arial" w:cs="Arial" w:eastAsia="Arial" w:hAnsi="Arial"/>
          <w:sz w:val="10"/>
          <w:szCs w:val="10"/>
          <w:color w:val="auto"/>
        </w:rPr>
      </w:pPr>
      <w:r>
        <w:rPr>
          <w:rFonts w:ascii="Arial" w:cs="Arial" w:eastAsia="Arial" w:hAnsi="Arial"/>
          <w:sz w:val="12"/>
          <w:szCs w:val="12"/>
          <w:color w:val="auto"/>
        </w:rPr>
        <w:t>The aggregate intrinsic value is calculated as the market value of our common stock as of December 29, 2017. The market value as of December 29, 2017 was $17.79 per share, which was the closing price of our common stock reported for transactions effected on the NASDAQ Global Select Market on December 29, 2017, the final trading day of 2017.</w:t>
      </w:r>
    </w:p>
    <w:p>
      <w:pPr>
        <w:spacing w:after="0" w:line="115" w:lineRule="exact"/>
        <w:rPr>
          <w:sz w:val="20"/>
          <w:szCs w:val="20"/>
          <w:color w:val="auto"/>
        </w:rPr>
      </w:pPr>
    </w:p>
    <w:p>
      <w:pPr>
        <w:ind w:left="8" w:right="200"/>
        <w:spacing w:after="0" w:line="276" w:lineRule="auto"/>
        <w:rPr>
          <w:sz w:val="20"/>
          <w:szCs w:val="20"/>
          <w:color w:val="auto"/>
        </w:rPr>
      </w:pPr>
      <w:r>
        <w:rPr>
          <w:rFonts w:ascii="Arial" w:cs="Arial" w:eastAsia="Arial" w:hAnsi="Arial"/>
          <w:sz w:val="12"/>
          <w:szCs w:val="12"/>
          <w:color w:val="auto"/>
        </w:rPr>
        <w:t>During the year ended December 31, 2016, there were 308,146 shares of restricted stock granted with a weighted-average fair value of $20.56 per share. During the period from April 24, 2015 to December 31, 2015, there were 241,140 shares of restricted granted with a weighted-average fair value of $25.82 per share.</w:t>
      </w:r>
    </w:p>
    <w:p>
      <w:pPr>
        <w:spacing w:after="0" w:line="115"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total fair value of shares vested for the years ended December 31, 2017 and 2016 was $2.9 million and $1.1 million, respectively.</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1"/>
          <w:szCs w:val="11"/>
          <w:color w:val="auto"/>
        </w:rPr>
        <w:t>As of December 31, 2017, total unrecognized compensation expense on restricted awards was approximately $6.6 million, and the expense is expected to be recognized over a weighted average vesting period of 0.9 years.</w:t>
      </w:r>
    </w:p>
    <w:p>
      <w:pPr>
        <w:spacing w:after="0" w:line="234"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Performance Awards</w:t>
      </w:r>
    </w:p>
    <w:p>
      <w:pPr>
        <w:spacing w:after="0" w:line="78" w:lineRule="exact"/>
        <w:rPr>
          <w:sz w:val="20"/>
          <w:szCs w:val="20"/>
          <w:color w:val="auto"/>
        </w:rPr>
      </w:pPr>
    </w:p>
    <w:p>
      <w:pPr>
        <w:ind w:left="8" w:right="140"/>
        <w:spacing w:after="0" w:line="259" w:lineRule="auto"/>
        <w:rPr>
          <w:sz w:val="20"/>
          <w:szCs w:val="20"/>
          <w:color w:val="auto"/>
        </w:rPr>
      </w:pPr>
      <w:r>
        <w:rPr>
          <w:rFonts w:ascii="Arial" w:cs="Arial" w:eastAsia="Arial" w:hAnsi="Arial"/>
          <w:sz w:val="12"/>
          <w:szCs w:val="12"/>
          <w:color w:val="auto"/>
        </w:rPr>
        <w:t>The Company grants long-term incentives to members of management in the form of performance-based restricted stock units (“PSUs”) under the Equity Plan. The number of PSUs earned is based on the Company’s achievement of specified performance goals, over a specified performance period, and may range from 0% to 200% of the target shares. The PSUs have a service condition that will expire at the end of the three-year performance period provided that the holder continues to be employed by the Company at the end of the performance period. Holders of PSUs are entitled to dividend equivalents, which will be accrued quarterly and paid in cash upon the vesting of a PSU. Dividend equivalents are forfeited to the extent that the underlying PSU is forfeited.</w:t>
      </w:r>
    </w:p>
    <w:p>
      <w:pPr>
        <w:spacing w:after="0" w:line="125" w:lineRule="exact"/>
        <w:rPr>
          <w:sz w:val="20"/>
          <w:szCs w:val="20"/>
          <w:color w:val="auto"/>
        </w:rPr>
      </w:pPr>
    </w:p>
    <w:p>
      <w:pPr>
        <w:ind w:left="8" w:right="80"/>
        <w:spacing w:after="0" w:line="259" w:lineRule="auto"/>
        <w:rPr>
          <w:sz w:val="20"/>
          <w:szCs w:val="20"/>
          <w:color w:val="auto"/>
        </w:rPr>
      </w:pPr>
      <w:r>
        <w:rPr>
          <w:rFonts w:ascii="Arial" w:cs="Arial" w:eastAsia="Arial" w:hAnsi="Arial"/>
          <w:sz w:val="12"/>
          <w:szCs w:val="12"/>
          <w:color w:val="auto"/>
        </w:rPr>
        <w:t>On February 13, 2017, we issued 91,995 PSUs equal to 100% of the target amount, with an aggregate value of $3.1 million on the grant date. The PSUs, in addition to a service condition, are subject to the Company’s performance versus the total return of the MSCI US REIT Index and a triple-net lease peer group, as defined by the Compensation Committee. Upon evaluating the results of the market conditions, the final number of shares is determined and such shares vest based on satisfaction of the service condition. The PSUs are amortized on a straight-line basis over the vesting period. During the year ended December 31, 2017, no PSUs were forfeited due to termination of service. The following table sets forth the number of unvested PSUs and the weighted-average fair value of these awards at the date of grant:</w:t>
      </w:r>
    </w:p>
    <w:p>
      <w:pPr>
        <w:spacing w:after="0" w:line="181"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4740" w:type="dxa"/>
            <w:vAlign w:val="bottom"/>
            <w:tcBorders>
              <w:bottom w:val="single" w:sz="8" w:color="CFF0FC"/>
            </w:tcBorders>
          </w:tcPr>
          <w:p>
            <w:pPr>
              <w:spacing w:after="0"/>
              <w:rPr>
                <w:sz w:val="10"/>
                <w:szCs w:val="10"/>
                <w:color w:val="auto"/>
              </w:rPr>
            </w:pPr>
          </w:p>
        </w:tc>
        <w:tc>
          <w:tcPr>
            <w:tcW w:w="1560" w:type="dxa"/>
            <w:vAlign w:val="bottom"/>
            <w:tcBorders>
              <w:bottom w:val="single" w:sz="8" w:color="auto"/>
            </w:tcBorders>
          </w:tcPr>
          <w:p>
            <w:pPr>
              <w:ind w:left="580"/>
              <w:spacing w:after="0"/>
              <w:rPr>
                <w:sz w:val="20"/>
                <w:szCs w:val="20"/>
                <w:color w:val="auto"/>
              </w:rPr>
            </w:pPr>
            <w:r>
              <w:rPr>
                <w:rFonts w:ascii="Arial" w:cs="Arial" w:eastAsia="Arial" w:hAnsi="Arial"/>
                <w:sz w:val="10"/>
                <w:szCs w:val="10"/>
                <w:b w:val="1"/>
                <w:bCs w:val="1"/>
                <w:color w:val="auto"/>
                <w:w w:val="95"/>
              </w:rPr>
              <w:t>Performance Awards</w:t>
            </w:r>
          </w:p>
        </w:tc>
        <w:tc>
          <w:tcPr>
            <w:tcW w:w="480" w:type="dxa"/>
            <w:vAlign w:val="bottom"/>
            <w:tcBorders>
              <w:bottom w:val="single" w:sz="8" w:color="auto"/>
            </w:tcBorders>
          </w:tcPr>
          <w:p>
            <w:pPr>
              <w:spacing w:after="0"/>
              <w:rPr>
                <w:sz w:val="10"/>
                <w:szCs w:val="10"/>
                <w:color w:val="auto"/>
              </w:rPr>
            </w:pPr>
          </w:p>
        </w:tc>
        <w:tc>
          <w:tcPr>
            <w:tcW w:w="260" w:type="dxa"/>
            <w:vAlign w:val="bottom"/>
            <w:tcBorders>
              <w:bottom w:val="single" w:sz="8" w:color="CFF0FC"/>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960" w:type="dxa"/>
            <w:vAlign w:val="bottom"/>
            <w:tcBorders>
              <w:bottom w:val="single" w:sz="8" w:color="auto"/>
            </w:tcBorders>
          </w:tcPr>
          <w:p>
            <w:pPr>
              <w:jc w:val="right"/>
              <w:ind w:right="82"/>
              <w:spacing w:after="0"/>
              <w:rPr>
                <w:sz w:val="20"/>
                <w:szCs w:val="20"/>
                <w:color w:val="auto"/>
              </w:rPr>
            </w:pPr>
            <w:r>
              <w:rPr>
                <w:rFonts w:ascii="Arial" w:cs="Arial" w:eastAsia="Arial" w:hAnsi="Arial"/>
                <w:sz w:val="10"/>
                <w:szCs w:val="10"/>
                <w:b w:val="1"/>
                <w:bCs w:val="1"/>
                <w:color w:val="auto"/>
                <w:w w:val="88"/>
              </w:rPr>
              <w:t>Weighted Average Fair Value at Grant Date</w:t>
            </w:r>
          </w:p>
        </w:tc>
        <w:tc>
          <w:tcPr>
            <w:tcW w:w="240" w:type="dxa"/>
            <w:vAlign w:val="bottom"/>
            <w:tcBorders>
              <w:bottom w:val="single" w:sz="8" w:color="CFF0FC"/>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860" w:type="dxa"/>
            <w:vAlign w:val="bottom"/>
            <w:tcBorders>
              <w:bottom w:val="single" w:sz="8" w:color="auto"/>
            </w:tcBorders>
          </w:tcPr>
          <w:p>
            <w:pPr>
              <w:jc w:val="right"/>
              <w:ind w:right="226"/>
              <w:spacing w:after="0"/>
              <w:rPr>
                <w:sz w:val="20"/>
                <w:szCs w:val="20"/>
                <w:color w:val="auto"/>
              </w:rPr>
            </w:pPr>
            <w:r>
              <w:rPr>
                <w:rFonts w:ascii="Arial" w:cs="Arial" w:eastAsia="Arial" w:hAnsi="Arial"/>
                <w:sz w:val="10"/>
                <w:szCs w:val="10"/>
                <w:b w:val="1"/>
                <w:bCs w:val="1"/>
                <w:color w:val="auto"/>
                <w:w w:val="93"/>
              </w:rPr>
              <w:t>Aggregate Intrinsic Value</w:t>
            </w:r>
            <w:r>
              <w:rPr>
                <w:rFonts w:ascii="Arial" w:cs="Arial" w:eastAsia="Arial" w:hAnsi="Arial"/>
                <w:sz w:val="8"/>
                <w:szCs w:val="8"/>
                <w:b w:val="1"/>
                <w:bCs w:val="1"/>
                <w:color w:val="auto"/>
                <w:w w:val="93"/>
              </w:rPr>
              <w:t>(1)</w:t>
            </w:r>
            <w:r>
              <w:rPr>
                <w:rFonts w:ascii="Arial" w:cs="Arial" w:eastAsia="Arial" w:hAnsi="Arial"/>
                <w:sz w:val="10"/>
                <w:szCs w:val="10"/>
                <w:b w:val="1"/>
                <w:bCs w:val="1"/>
                <w:color w:val="auto"/>
                <w:w w:val="93"/>
              </w:rPr>
              <w:t xml:space="preserve"> ($000s)</w:t>
            </w:r>
          </w:p>
        </w:tc>
        <w:tc>
          <w:tcPr>
            <w:tcW w:w="120" w:type="dxa"/>
            <w:vAlign w:val="bottom"/>
            <w:tcBorders>
              <w:bottom w:val="single" w:sz="8" w:color="CFF0FC"/>
            </w:tcBorders>
          </w:tcPr>
          <w:p>
            <w:pPr>
              <w:spacing w:after="0"/>
              <w:rPr>
                <w:sz w:val="10"/>
                <w:szCs w:val="10"/>
                <w:color w:val="auto"/>
              </w:rPr>
            </w:pPr>
          </w:p>
        </w:tc>
        <w:tc>
          <w:tcPr>
            <w:tcW w:w="20" w:type="dxa"/>
            <w:vAlign w:val="bottom"/>
          </w:tcPr>
          <w:p>
            <w:pPr>
              <w:spacing w:after="0"/>
              <w:rPr>
                <w:sz w:val="10"/>
                <w:szCs w:val="10"/>
                <w:color w:val="auto"/>
              </w:rPr>
            </w:pPr>
          </w:p>
        </w:tc>
      </w:tr>
      <w:tr>
        <w:trPr>
          <w:trHeight w:val="142"/>
        </w:trPr>
        <w:tc>
          <w:tcPr>
            <w:tcW w:w="63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Unvested balance December 31, 2016</w:t>
            </w: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162,630</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21.13</w:t>
            </w: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8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r>
      <w:tr>
        <w:trPr>
          <w:trHeight w:val="153"/>
        </w:trPr>
        <w:tc>
          <w:tcPr>
            <w:tcW w:w="6300" w:type="dxa"/>
            <w:vAlign w:val="bottom"/>
            <w:gridSpan w:val="2"/>
          </w:tcPr>
          <w:p>
            <w:pPr>
              <w:spacing w:after="0"/>
              <w:rPr>
                <w:sz w:val="20"/>
                <w:szCs w:val="20"/>
                <w:color w:val="auto"/>
              </w:rPr>
            </w:pPr>
            <w:r>
              <w:rPr>
                <w:rFonts w:ascii="Arial" w:cs="Arial" w:eastAsia="Arial" w:hAnsi="Arial"/>
                <w:sz w:val="12"/>
                <w:szCs w:val="12"/>
                <w:color w:val="auto"/>
              </w:rPr>
              <w:t>Granted</w:t>
            </w:r>
          </w:p>
        </w:tc>
        <w:tc>
          <w:tcPr>
            <w:tcW w:w="480" w:type="dxa"/>
            <w:vAlign w:val="bottom"/>
          </w:tcPr>
          <w:p>
            <w:pPr>
              <w:jc w:val="right"/>
              <w:spacing w:after="0"/>
              <w:rPr>
                <w:sz w:val="20"/>
                <w:szCs w:val="20"/>
                <w:color w:val="auto"/>
              </w:rPr>
            </w:pPr>
            <w:r>
              <w:rPr>
                <w:rFonts w:ascii="Arial" w:cs="Arial" w:eastAsia="Arial" w:hAnsi="Arial"/>
                <w:sz w:val="12"/>
                <w:szCs w:val="12"/>
                <w:color w:val="auto"/>
              </w:rPr>
              <w:t>91,995</w:t>
            </w:r>
          </w:p>
        </w:tc>
        <w:tc>
          <w:tcPr>
            <w:tcW w:w="26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960" w:type="dxa"/>
            <w:vAlign w:val="bottom"/>
          </w:tcPr>
          <w:p>
            <w:pPr>
              <w:jc w:val="right"/>
              <w:spacing w:after="0"/>
              <w:rPr>
                <w:sz w:val="20"/>
                <w:szCs w:val="20"/>
                <w:color w:val="auto"/>
              </w:rPr>
            </w:pPr>
            <w:r>
              <w:rPr>
                <w:rFonts w:ascii="Arial" w:cs="Arial" w:eastAsia="Arial" w:hAnsi="Arial"/>
                <w:sz w:val="12"/>
                <w:szCs w:val="12"/>
                <w:color w:val="auto"/>
              </w:rPr>
              <w:t>33.75</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63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Forfeited</w:t>
            </w:r>
          </w:p>
        </w:tc>
        <w:tc>
          <w:tcPr>
            <w:tcW w:w="74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8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4740" w:type="dxa"/>
            <w:vAlign w:val="bottom"/>
            <w:tcBorders>
              <w:bottom w:val="single" w:sz="8" w:color="CFF0FC"/>
            </w:tcBorders>
          </w:tcPr>
          <w:p>
            <w:pPr>
              <w:spacing w:after="0"/>
              <w:rPr>
                <w:sz w:val="20"/>
                <w:szCs w:val="20"/>
                <w:color w:val="auto"/>
              </w:rPr>
            </w:pPr>
            <w:r>
              <w:rPr>
                <w:rFonts w:ascii="Arial" w:cs="Arial" w:eastAsia="Arial" w:hAnsi="Arial"/>
                <w:sz w:val="12"/>
                <w:szCs w:val="12"/>
                <w:color w:val="auto"/>
              </w:rPr>
              <w:t>Vested</w:t>
            </w:r>
          </w:p>
        </w:tc>
        <w:tc>
          <w:tcPr>
            <w:tcW w:w="15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4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18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r>
      <w:tr>
        <w:trPr>
          <w:trHeight w:val="149"/>
        </w:trPr>
        <w:tc>
          <w:tcPr>
            <w:tcW w:w="4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2"/>
                <w:szCs w:val="12"/>
                <w:color w:val="auto"/>
              </w:rPr>
              <w:t>Unvested balance, December 31, 2017</w:t>
            </w:r>
          </w:p>
        </w:tc>
        <w:tc>
          <w:tcPr>
            <w:tcW w:w="1560" w:type="dxa"/>
            <w:vAlign w:val="bottom"/>
            <w:tcBorders>
              <w:bottom w:val="single" w:sz="8" w:color="auto"/>
            </w:tcBorders>
            <w:shd w:val="clear" w:color="auto" w:fill="CFF0FC"/>
          </w:tcPr>
          <w:p>
            <w:pPr>
              <w:spacing w:after="0"/>
              <w:rPr>
                <w:sz w:val="12"/>
                <w:szCs w:val="12"/>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254,625</w:t>
            </w:r>
          </w:p>
        </w:tc>
        <w:tc>
          <w:tcPr>
            <w:tcW w:w="26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25.69</w:t>
            </w:r>
          </w:p>
        </w:tc>
        <w:tc>
          <w:tcPr>
            <w:tcW w:w="24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0"/>
                <w:szCs w:val="10"/>
                <w:color w:val="auto"/>
                <w:w w:val="71"/>
              </w:rPr>
              <w:t>$</w:t>
            </w:r>
          </w:p>
        </w:tc>
        <w:tc>
          <w:tcPr>
            <w:tcW w:w="1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4,530</w:t>
            </w:r>
          </w:p>
        </w:tc>
        <w:tc>
          <w:tcPr>
            <w:tcW w:w="120" w:type="dxa"/>
            <w:vAlign w:val="bottom"/>
            <w:tcBorders>
              <w:bottom w:val="single" w:sz="8" w:color="CFF0FC"/>
            </w:tcBorders>
            <w:shd w:val="clear" w:color="auto" w:fill="CFF0FC"/>
          </w:tcPr>
          <w:p>
            <w:pPr>
              <w:spacing w:after="0"/>
              <w:rPr>
                <w:sz w:val="12"/>
                <w:szCs w:val="12"/>
                <w:color w:val="auto"/>
              </w:rPr>
            </w:pPr>
          </w:p>
        </w:tc>
        <w:tc>
          <w:tcPr>
            <w:tcW w:w="20" w:type="dxa"/>
            <w:vAlign w:val="bottom"/>
          </w:tcPr>
          <w:p>
            <w:pPr>
              <w:spacing w:after="0"/>
              <w:rPr>
                <w:sz w:val="12"/>
                <w:szCs w:val="12"/>
                <w:color w:val="auto"/>
              </w:rPr>
            </w:pPr>
          </w:p>
        </w:tc>
      </w:tr>
      <w:tr>
        <w:trPr>
          <w:trHeight w:val="432"/>
        </w:trPr>
        <w:tc>
          <w:tcPr>
            <w:tcW w:w="6300" w:type="dxa"/>
            <w:vAlign w:val="bottom"/>
            <w:gridSpan w:val="2"/>
          </w:tcPr>
          <w:p>
            <w:pPr>
              <w:ind w:left="5680"/>
              <w:spacing w:after="0"/>
              <w:rPr>
                <w:sz w:val="20"/>
                <w:szCs w:val="20"/>
                <w:color w:val="auto"/>
              </w:rPr>
            </w:pPr>
            <w:r>
              <w:rPr>
                <w:rFonts w:ascii="Arial" w:cs="Arial" w:eastAsia="Arial" w:hAnsi="Arial"/>
                <w:sz w:val="12"/>
                <w:szCs w:val="12"/>
                <w:color w:val="auto"/>
              </w:rPr>
              <w:t>79</w:t>
            </w: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2"/>
        </w:trPr>
        <w:tc>
          <w:tcPr>
            <w:tcW w:w="4740" w:type="dxa"/>
            <w:vAlign w:val="bottom"/>
            <w:tcBorders>
              <w:bottom w:val="single" w:sz="8" w:color="9A9A9A"/>
            </w:tcBorders>
          </w:tcPr>
          <w:p>
            <w:pPr>
              <w:spacing w:after="0"/>
              <w:rPr>
                <w:sz w:val="6"/>
                <w:szCs w:val="6"/>
                <w:color w:val="auto"/>
              </w:rPr>
            </w:pPr>
          </w:p>
        </w:tc>
        <w:tc>
          <w:tcPr>
            <w:tcW w:w="1560" w:type="dxa"/>
            <w:vAlign w:val="bottom"/>
            <w:tcBorders>
              <w:bottom w:val="single" w:sz="8" w:color="9A9A9A"/>
            </w:tcBorders>
          </w:tcPr>
          <w:p>
            <w:pPr>
              <w:spacing w:after="0"/>
              <w:rPr>
                <w:sz w:val="6"/>
                <w:szCs w:val="6"/>
                <w:color w:val="auto"/>
              </w:rPr>
            </w:pPr>
          </w:p>
        </w:tc>
        <w:tc>
          <w:tcPr>
            <w:tcW w:w="48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9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186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7285355</wp:posOffset>
            </wp:positionH>
            <wp:positionV relativeFrom="paragraph">
              <wp:posOffset>-23495</wp:posOffset>
            </wp:positionV>
            <wp:extent cx="31115" cy="368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-23495</wp:posOffset>
            </wp:positionV>
            <wp:extent cx="31115" cy="368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8"/>
          </w:cols>
          <w:pgMar w:left="212" w:top="131" w:right="179" w:bottom="1440" w:gutter="0" w:footer="0" w:header="0"/>
        </w:sectPr>
      </w:pPr>
    </w:p>
    <w:bookmarkStart w:id="79" w:name="page80"/>
    <w:bookmarkEnd w:id="79"/>
    <w:p>
      <w:pPr>
        <w:ind w:left="8"/>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Uniti Group Inc.</w:t>
      </w:r>
    </w:p>
    <w:p>
      <w:pPr>
        <w:spacing w:after="0" w:line="6"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Notes to the Consolidated Financial Statements – Continued</w:t>
      </w:r>
    </w:p>
    <w:p>
      <w:pPr>
        <w:spacing w:after="0" w:line="159" w:lineRule="exact"/>
        <w:rPr>
          <w:sz w:val="20"/>
          <w:szCs w:val="20"/>
          <w:color w:val="auto"/>
        </w:rPr>
      </w:pPr>
    </w:p>
    <w:p>
      <w:pPr>
        <w:ind w:left="208" w:right="380" w:hanging="208"/>
        <w:spacing w:after="0" w:line="276" w:lineRule="auto"/>
        <w:tabs>
          <w:tab w:leader="none" w:pos="208" w:val="left"/>
        </w:tabs>
        <w:numPr>
          <w:ilvl w:val="0"/>
          <w:numId w:val="14"/>
        </w:numPr>
        <w:rPr>
          <w:rFonts w:ascii="Arial" w:cs="Arial" w:eastAsia="Arial" w:hAnsi="Arial"/>
          <w:sz w:val="10"/>
          <w:szCs w:val="10"/>
          <w:color w:val="auto"/>
        </w:rPr>
      </w:pPr>
      <w:r>
        <w:rPr>
          <w:rFonts w:ascii="Arial" w:cs="Arial" w:eastAsia="Arial" w:hAnsi="Arial"/>
          <w:sz w:val="12"/>
          <w:szCs w:val="12"/>
          <w:color w:val="auto"/>
        </w:rPr>
        <w:t>The aggregate intrinsic value is calculated as the market value of our common stock as of December 29, 2017. The market value as of December 29, 2017 was $17.79 per share, which was the closing price of our common stock reported for transactions effected on the NASDAQ Global Select Market on December 29, 2017, the final trading day of 2017.</w:t>
      </w:r>
    </w:p>
    <w:p>
      <w:pPr>
        <w:spacing w:after="0" w:line="115" w:lineRule="exact"/>
        <w:rPr>
          <w:sz w:val="20"/>
          <w:szCs w:val="20"/>
          <w:color w:val="auto"/>
        </w:rPr>
      </w:pPr>
    </w:p>
    <w:p>
      <w:pPr>
        <w:ind w:left="8" w:right="140"/>
        <w:spacing w:after="0" w:line="276" w:lineRule="auto"/>
        <w:rPr>
          <w:sz w:val="20"/>
          <w:szCs w:val="20"/>
          <w:color w:val="auto"/>
        </w:rPr>
      </w:pPr>
      <w:r>
        <w:rPr>
          <w:rFonts w:ascii="Arial" w:cs="Arial" w:eastAsia="Arial" w:hAnsi="Arial"/>
          <w:sz w:val="12"/>
          <w:szCs w:val="12"/>
          <w:color w:val="auto"/>
        </w:rPr>
        <w:t>During the year ended December 31, 2016, there were 101,660 PSUs granted with a weighted-average fair value of $20.71 per share. During the period from April 24, 2015 to December 31, 2015, there were 60,970 PSUs granted with a weighted-average fair value of $21.82 per share.</w:t>
      </w:r>
    </w:p>
    <w:p>
      <w:pPr>
        <w:spacing w:after="0" w:line="115" w:lineRule="exact"/>
        <w:rPr>
          <w:sz w:val="20"/>
          <w:szCs w:val="20"/>
          <w:color w:val="auto"/>
        </w:rPr>
      </w:pPr>
    </w:p>
    <w:p>
      <w:pPr>
        <w:ind w:left="8" w:right="100"/>
        <w:spacing w:after="0" w:line="259" w:lineRule="auto"/>
        <w:rPr>
          <w:sz w:val="20"/>
          <w:szCs w:val="20"/>
          <w:color w:val="auto"/>
        </w:rPr>
      </w:pPr>
      <w:r>
        <w:rPr>
          <w:rFonts w:ascii="Arial" w:cs="Arial" w:eastAsia="Arial" w:hAnsi="Arial"/>
          <w:sz w:val="12"/>
          <w:szCs w:val="12"/>
          <w:color w:val="auto"/>
        </w:rPr>
        <w:t>As of December 31, 2017, total unrecognized compensation expense related to PSUs was approximately $3.2 million, and the weighted-average vesting period was 1.3 years. The fair value of each PSU award is estimated at the date of grant using a Monte Carlo simulation. The simulation requires assumptions for expected volatility, risk-free return, and dividend yield. Our assumptions include a 0% dividend yield, which is the mathematical equivalent to reinvesting the dividends over the three-year performance period as is consistent with the terms of the PSUs. The following table summarizes the assumptions used to value the PSUs granted during the years ended December 31, 2017 and 2016 and for the period from April 24, 2015 to December 31, 2015:</w:t>
      </w:r>
    </w:p>
    <w:p>
      <w:pPr>
        <w:spacing w:after="0" w:line="112"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474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160" w:type="dxa"/>
            <w:vAlign w:val="bottom"/>
            <w:gridSpan w:val="2"/>
          </w:tcPr>
          <w:p>
            <w:pPr>
              <w:jc w:val="right"/>
              <w:ind w:right="900"/>
              <w:spacing w:after="0"/>
              <w:rPr>
                <w:sz w:val="20"/>
                <w:szCs w:val="20"/>
                <w:color w:val="auto"/>
              </w:rPr>
            </w:pPr>
            <w:r>
              <w:rPr>
                <w:rFonts w:ascii="Arial" w:cs="Arial" w:eastAsia="Arial" w:hAnsi="Arial"/>
                <w:sz w:val="10"/>
                <w:szCs w:val="10"/>
                <w:b w:val="1"/>
                <w:bCs w:val="1"/>
                <w:color w:val="auto"/>
              </w:rPr>
              <w:t>Period from</w:t>
            </w:r>
          </w:p>
        </w:tc>
      </w:tr>
      <w:tr>
        <w:trPr>
          <w:trHeight w:val="114"/>
        </w:trPr>
        <w:tc>
          <w:tcPr>
            <w:tcW w:w="4740" w:type="dxa"/>
            <w:vAlign w:val="bottom"/>
          </w:tcPr>
          <w:p>
            <w:pPr>
              <w:spacing w:after="0"/>
              <w:rPr>
                <w:sz w:val="9"/>
                <w:szCs w:val="9"/>
                <w:color w:val="auto"/>
              </w:rPr>
            </w:pPr>
          </w:p>
        </w:tc>
        <w:tc>
          <w:tcPr>
            <w:tcW w:w="2940" w:type="dxa"/>
            <w:vAlign w:val="bottom"/>
            <w:gridSpan w:val="3"/>
          </w:tcPr>
          <w:p>
            <w:pPr>
              <w:ind w:left="1620"/>
              <w:spacing w:after="0" w:line="114" w:lineRule="exact"/>
              <w:rPr>
                <w:sz w:val="20"/>
                <w:szCs w:val="20"/>
                <w:color w:val="auto"/>
              </w:rPr>
            </w:pPr>
            <w:r>
              <w:rPr>
                <w:rFonts w:ascii="Arial" w:cs="Arial" w:eastAsia="Arial" w:hAnsi="Arial"/>
                <w:sz w:val="10"/>
                <w:szCs w:val="10"/>
                <w:b w:val="1"/>
                <w:bCs w:val="1"/>
                <w:color w:val="auto"/>
              </w:rPr>
              <w:t>Year Ended December 31,</w:t>
            </w:r>
          </w:p>
        </w:tc>
        <w:tc>
          <w:tcPr>
            <w:tcW w:w="1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160" w:type="dxa"/>
            <w:vAlign w:val="bottom"/>
            <w:gridSpan w:val="2"/>
          </w:tcPr>
          <w:p>
            <w:pPr>
              <w:jc w:val="right"/>
              <w:ind w:right="560"/>
              <w:spacing w:after="0" w:line="114" w:lineRule="exact"/>
              <w:rPr>
                <w:sz w:val="20"/>
                <w:szCs w:val="20"/>
                <w:color w:val="auto"/>
              </w:rPr>
            </w:pPr>
            <w:r>
              <w:rPr>
                <w:rFonts w:ascii="Arial" w:cs="Arial" w:eastAsia="Arial" w:hAnsi="Arial"/>
                <w:sz w:val="10"/>
                <w:szCs w:val="10"/>
                <w:b w:val="1"/>
                <w:bCs w:val="1"/>
                <w:color w:val="auto"/>
              </w:rPr>
              <w:t>April 24 - December 31, 2015</w:t>
            </w:r>
          </w:p>
        </w:tc>
      </w:tr>
      <w:tr>
        <w:trPr>
          <w:trHeight w:val="142"/>
        </w:trPr>
        <w:tc>
          <w:tcPr>
            <w:tcW w:w="4740" w:type="dxa"/>
            <w:vAlign w:val="bottom"/>
            <w:tcBorders>
              <w:bottom w:val="single" w:sz="8" w:color="CFF0FC"/>
            </w:tcBorders>
          </w:tcPr>
          <w:p>
            <w:pPr>
              <w:spacing w:after="0"/>
              <w:rPr>
                <w:sz w:val="12"/>
                <w:szCs w:val="12"/>
                <w:color w:val="auto"/>
              </w:rPr>
            </w:pPr>
          </w:p>
        </w:tc>
        <w:tc>
          <w:tcPr>
            <w:tcW w:w="2020" w:type="dxa"/>
            <w:vAlign w:val="bottom"/>
            <w:tcBorders>
              <w:top w:val="single" w:sz="8" w:color="auto"/>
              <w:bottom w:val="single" w:sz="8" w:color="auto"/>
            </w:tcBorders>
          </w:tcPr>
          <w:p>
            <w:pPr>
              <w:jc w:val="right"/>
              <w:ind w:right="864"/>
              <w:spacing w:after="0"/>
              <w:rPr>
                <w:sz w:val="20"/>
                <w:szCs w:val="20"/>
                <w:color w:val="auto"/>
              </w:rPr>
            </w:pPr>
            <w:r>
              <w:rPr>
                <w:rFonts w:ascii="Arial" w:cs="Arial" w:eastAsia="Arial" w:hAnsi="Arial"/>
                <w:sz w:val="10"/>
                <w:szCs w:val="10"/>
                <w:b w:val="1"/>
                <w:bCs w:val="1"/>
                <w:color w:val="auto"/>
              </w:rPr>
              <w:t>2017</w:t>
            </w:r>
          </w:p>
        </w:tc>
        <w:tc>
          <w:tcPr>
            <w:tcW w:w="260" w:type="dxa"/>
            <w:vAlign w:val="bottom"/>
            <w:tcBorders>
              <w:top w:val="single" w:sz="8" w:color="auto"/>
              <w:bottom w:val="single" w:sz="8" w:color="CFF0FC"/>
            </w:tcBorders>
          </w:tcPr>
          <w:p>
            <w:pPr>
              <w:spacing w:after="0"/>
              <w:rPr>
                <w:sz w:val="12"/>
                <w:szCs w:val="12"/>
                <w:color w:val="auto"/>
              </w:rPr>
            </w:pPr>
          </w:p>
        </w:tc>
        <w:tc>
          <w:tcPr>
            <w:tcW w:w="660" w:type="dxa"/>
            <w:vAlign w:val="bottom"/>
            <w:tcBorders>
              <w:top w:val="single" w:sz="8" w:color="auto"/>
              <w:bottom w:val="single" w:sz="8" w:color="auto"/>
            </w:tcBorders>
          </w:tcPr>
          <w:p>
            <w:pPr>
              <w:spacing w:after="0"/>
              <w:rPr>
                <w:sz w:val="12"/>
                <w:szCs w:val="12"/>
                <w:color w:val="auto"/>
              </w:rPr>
            </w:pPr>
          </w:p>
        </w:tc>
        <w:tc>
          <w:tcPr>
            <w:tcW w:w="1380" w:type="dxa"/>
            <w:vAlign w:val="bottom"/>
            <w:tcBorders>
              <w:top w:val="single" w:sz="8" w:color="auto"/>
              <w:bottom w:val="single" w:sz="8" w:color="auto"/>
            </w:tcBorders>
          </w:tcPr>
          <w:p>
            <w:pPr>
              <w:jc w:val="right"/>
              <w:ind w:right="862"/>
              <w:spacing w:after="0"/>
              <w:rPr>
                <w:sz w:val="20"/>
                <w:szCs w:val="20"/>
                <w:color w:val="auto"/>
              </w:rPr>
            </w:pPr>
            <w:r>
              <w:rPr>
                <w:rFonts w:ascii="Arial" w:cs="Arial" w:eastAsia="Arial" w:hAnsi="Arial"/>
                <w:sz w:val="10"/>
                <w:szCs w:val="10"/>
                <w:b w:val="1"/>
                <w:bCs w:val="1"/>
                <w:color w:val="auto"/>
              </w:rPr>
              <w:t>2016</w:t>
            </w:r>
          </w:p>
        </w:tc>
        <w:tc>
          <w:tcPr>
            <w:tcW w:w="260" w:type="dxa"/>
            <w:vAlign w:val="bottom"/>
            <w:tcBorders>
              <w:bottom w:val="single" w:sz="8" w:color="CFF0FC"/>
            </w:tcBorders>
          </w:tcPr>
          <w:p>
            <w:pPr>
              <w:spacing w:after="0"/>
              <w:rPr>
                <w:sz w:val="12"/>
                <w:szCs w:val="12"/>
                <w:color w:val="auto"/>
              </w:rPr>
            </w:pPr>
          </w:p>
        </w:tc>
        <w:tc>
          <w:tcPr>
            <w:tcW w:w="2020" w:type="dxa"/>
            <w:vAlign w:val="bottom"/>
            <w:tcBorders>
              <w:top w:val="single" w:sz="8" w:color="auto"/>
              <w:bottom w:val="single" w:sz="8" w:color="auto"/>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r>
      <w:tr>
        <w:trPr>
          <w:trHeight w:val="142"/>
        </w:trPr>
        <w:tc>
          <w:tcPr>
            <w:tcW w:w="4740" w:type="dxa"/>
            <w:vAlign w:val="bottom"/>
            <w:shd w:val="clear" w:color="auto" w:fill="CFF0FC"/>
          </w:tcPr>
          <w:p>
            <w:pPr>
              <w:spacing w:after="0"/>
              <w:rPr>
                <w:sz w:val="20"/>
                <w:szCs w:val="20"/>
                <w:color w:val="auto"/>
              </w:rPr>
            </w:pPr>
            <w:r>
              <w:rPr>
                <w:rFonts w:ascii="Arial" w:cs="Arial" w:eastAsia="Arial" w:hAnsi="Arial"/>
                <w:sz w:val="12"/>
                <w:szCs w:val="12"/>
                <w:color w:val="auto"/>
              </w:rPr>
              <w:t>Expected term (years)</w:t>
            </w:r>
          </w:p>
        </w:tc>
        <w:tc>
          <w:tcPr>
            <w:tcW w:w="20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3.0</w:t>
            </w:r>
          </w:p>
        </w:tc>
        <w:tc>
          <w:tcPr>
            <w:tcW w:w="26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3.0</w:t>
            </w:r>
          </w:p>
        </w:tc>
        <w:tc>
          <w:tcPr>
            <w:tcW w:w="260" w:type="dxa"/>
            <w:vAlign w:val="bottom"/>
            <w:shd w:val="clear" w:color="auto" w:fill="CFF0FC"/>
          </w:tcPr>
          <w:p>
            <w:pPr>
              <w:spacing w:after="0"/>
              <w:rPr>
                <w:sz w:val="12"/>
                <w:szCs w:val="12"/>
                <w:color w:val="auto"/>
              </w:rPr>
            </w:pPr>
          </w:p>
        </w:tc>
        <w:tc>
          <w:tcPr>
            <w:tcW w:w="20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2.9</w:t>
            </w:r>
          </w:p>
        </w:tc>
        <w:tc>
          <w:tcPr>
            <w:tcW w:w="140" w:type="dxa"/>
            <w:vAlign w:val="bottom"/>
            <w:shd w:val="clear" w:color="auto" w:fill="CFF0FC"/>
          </w:tcPr>
          <w:p>
            <w:pPr>
              <w:spacing w:after="0"/>
              <w:rPr>
                <w:sz w:val="12"/>
                <w:szCs w:val="12"/>
                <w:color w:val="auto"/>
              </w:rPr>
            </w:pPr>
          </w:p>
        </w:tc>
      </w:tr>
      <w:tr>
        <w:trPr>
          <w:trHeight w:val="153"/>
        </w:trPr>
        <w:tc>
          <w:tcPr>
            <w:tcW w:w="4740" w:type="dxa"/>
            <w:vAlign w:val="bottom"/>
          </w:tcPr>
          <w:p>
            <w:pPr>
              <w:spacing w:after="0"/>
              <w:rPr>
                <w:sz w:val="20"/>
                <w:szCs w:val="20"/>
                <w:color w:val="auto"/>
              </w:rPr>
            </w:pPr>
            <w:r>
              <w:rPr>
                <w:rFonts w:ascii="Arial" w:cs="Arial" w:eastAsia="Arial" w:hAnsi="Arial"/>
                <w:sz w:val="12"/>
                <w:szCs w:val="12"/>
                <w:color w:val="auto"/>
              </w:rPr>
              <w:t>Expected volatility</w:t>
            </w:r>
          </w:p>
        </w:tc>
        <w:tc>
          <w:tcPr>
            <w:tcW w:w="2280" w:type="dxa"/>
            <w:vAlign w:val="bottom"/>
            <w:gridSpan w:val="2"/>
          </w:tcPr>
          <w:p>
            <w:pPr>
              <w:jc w:val="right"/>
              <w:ind w:right="160"/>
              <w:spacing w:after="0"/>
              <w:rPr>
                <w:sz w:val="20"/>
                <w:szCs w:val="20"/>
                <w:color w:val="auto"/>
              </w:rPr>
            </w:pPr>
            <w:r>
              <w:rPr>
                <w:rFonts w:ascii="Arial" w:cs="Arial" w:eastAsia="Arial" w:hAnsi="Arial"/>
                <w:sz w:val="12"/>
                <w:szCs w:val="12"/>
                <w:color w:val="auto"/>
              </w:rPr>
              <w:t>33.6%</w:t>
            </w:r>
          </w:p>
        </w:tc>
        <w:tc>
          <w:tcPr>
            <w:tcW w:w="660" w:type="dxa"/>
            <w:vAlign w:val="bottom"/>
          </w:tcPr>
          <w:p>
            <w:pPr>
              <w:spacing w:after="0"/>
              <w:rPr>
                <w:sz w:val="13"/>
                <w:szCs w:val="13"/>
                <w:color w:val="auto"/>
              </w:rPr>
            </w:pPr>
          </w:p>
        </w:tc>
        <w:tc>
          <w:tcPr>
            <w:tcW w:w="1640" w:type="dxa"/>
            <w:vAlign w:val="bottom"/>
            <w:gridSpan w:val="2"/>
          </w:tcPr>
          <w:p>
            <w:pPr>
              <w:jc w:val="right"/>
              <w:ind w:right="160"/>
              <w:spacing w:after="0"/>
              <w:rPr>
                <w:sz w:val="20"/>
                <w:szCs w:val="20"/>
                <w:color w:val="auto"/>
              </w:rPr>
            </w:pPr>
            <w:r>
              <w:rPr>
                <w:rFonts w:ascii="Arial" w:cs="Arial" w:eastAsia="Arial" w:hAnsi="Arial"/>
                <w:sz w:val="12"/>
                <w:szCs w:val="12"/>
                <w:color w:val="auto"/>
              </w:rPr>
              <w:t>48.8%</w:t>
            </w:r>
          </w:p>
        </w:tc>
        <w:tc>
          <w:tcPr>
            <w:tcW w:w="2160" w:type="dxa"/>
            <w:vAlign w:val="bottom"/>
            <w:gridSpan w:val="2"/>
          </w:tcPr>
          <w:p>
            <w:pPr>
              <w:jc w:val="right"/>
              <w:ind w:right="40"/>
              <w:spacing w:after="0"/>
              <w:rPr>
                <w:sz w:val="20"/>
                <w:szCs w:val="20"/>
                <w:color w:val="auto"/>
              </w:rPr>
            </w:pPr>
            <w:r>
              <w:rPr>
                <w:rFonts w:ascii="Arial" w:cs="Arial" w:eastAsia="Arial" w:hAnsi="Arial"/>
                <w:sz w:val="12"/>
                <w:szCs w:val="12"/>
                <w:color w:val="auto"/>
              </w:rPr>
              <w:t>26.6%</w:t>
            </w:r>
          </w:p>
        </w:tc>
      </w:tr>
      <w:tr>
        <w:trPr>
          <w:trHeight w:val="153"/>
        </w:trPr>
        <w:tc>
          <w:tcPr>
            <w:tcW w:w="4740" w:type="dxa"/>
            <w:vAlign w:val="bottom"/>
            <w:shd w:val="clear" w:color="auto" w:fill="CFF0FC"/>
          </w:tcPr>
          <w:p>
            <w:pPr>
              <w:spacing w:after="0"/>
              <w:rPr>
                <w:sz w:val="20"/>
                <w:szCs w:val="20"/>
                <w:color w:val="auto"/>
              </w:rPr>
            </w:pPr>
            <w:r>
              <w:rPr>
                <w:rFonts w:ascii="Arial" w:cs="Arial" w:eastAsia="Arial" w:hAnsi="Arial"/>
                <w:sz w:val="12"/>
                <w:szCs w:val="12"/>
                <w:color w:val="auto"/>
              </w:rPr>
              <w:t>Expected annual dividend</w:t>
            </w:r>
          </w:p>
        </w:tc>
        <w:tc>
          <w:tcPr>
            <w:tcW w:w="228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0.0%</w:t>
            </w:r>
          </w:p>
        </w:tc>
        <w:tc>
          <w:tcPr>
            <w:tcW w:w="660" w:type="dxa"/>
            <w:vAlign w:val="bottom"/>
            <w:shd w:val="clear" w:color="auto" w:fill="CFF0FC"/>
          </w:tcPr>
          <w:p>
            <w:pPr>
              <w:spacing w:after="0"/>
              <w:rPr>
                <w:sz w:val="13"/>
                <w:szCs w:val="13"/>
                <w:color w:val="auto"/>
              </w:rPr>
            </w:pPr>
          </w:p>
        </w:tc>
        <w:tc>
          <w:tcPr>
            <w:tcW w:w="164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0.0%</w:t>
            </w:r>
          </w:p>
        </w:tc>
        <w:tc>
          <w:tcPr>
            <w:tcW w:w="216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0.0%</w:t>
            </w:r>
          </w:p>
        </w:tc>
      </w:tr>
      <w:tr>
        <w:trPr>
          <w:trHeight w:val="153"/>
        </w:trPr>
        <w:tc>
          <w:tcPr>
            <w:tcW w:w="4740" w:type="dxa"/>
            <w:vAlign w:val="bottom"/>
          </w:tcPr>
          <w:p>
            <w:pPr>
              <w:spacing w:after="0"/>
              <w:rPr>
                <w:sz w:val="20"/>
                <w:szCs w:val="20"/>
                <w:color w:val="auto"/>
              </w:rPr>
            </w:pPr>
            <w:r>
              <w:rPr>
                <w:rFonts w:ascii="Arial" w:cs="Arial" w:eastAsia="Arial" w:hAnsi="Arial"/>
                <w:sz w:val="12"/>
                <w:szCs w:val="12"/>
                <w:color w:val="auto"/>
              </w:rPr>
              <w:t>Risk free rate</w:t>
            </w:r>
          </w:p>
        </w:tc>
        <w:tc>
          <w:tcPr>
            <w:tcW w:w="2280" w:type="dxa"/>
            <w:vAlign w:val="bottom"/>
            <w:gridSpan w:val="2"/>
          </w:tcPr>
          <w:p>
            <w:pPr>
              <w:jc w:val="right"/>
              <w:ind w:right="160"/>
              <w:spacing w:after="0"/>
              <w:rPr>
                <w:sz w:val="20"/>
                <w:szCs w:val="20"/>
                <w:color w:val="auto"/>
              </w:rPr>
            </w:pPr>
            <w:r>
              <w:rPr>
                <w:rFonts w:ascii="Arial" w:cs="Arial" w:eastAsia="Arial" w:hAnsi="Arial"/>
                <w:sz w:val="12"/>
                <w:szCs w:val="12"/>
                <w:color w:val="auto"/>
              </w:rPr>
              <w:t>1.5%</w:t>
            </w:r>
          </w:p>
        </w:tc>
        <w:tc>
          <w:tcPr>
            <w:tcW w:w="660" w:type="dxa"/>
            <w:vAlign w:val="bottom"/>
          </w:tcPr>
          <w:p>
            <w:pPr>
              <w:spacing w:after="0"/>
              <w:rPr>
                <w:sz w:val="13"/>
                <w:szCs w:val="13"/>
                <w:color w:val="auto"/>
              </w:rPr>
            </w:pPr>
          </w:p>
        </w:tc>
        <w:tc>
          <w:tcPr>
            <w:tcW w:w="1640" w:type="dxa"/>
            <w:vAlign w:val="bottom"/>
            <w:gridSpan w:val="2"/>
          </w:tcPr>
          <w:p>
            <w:pPr>
              <w:jc w:val="right"/>
              <w:ind w:right="160"/>
              <w:spacing w:after="0"/>
              <w:rPr>
                <w:sz w:val="20"/>
                <w:szCs w:val="20"/>
                <w:color w:val="auto"/>
              </w:rPr>
            </w:pPr>
            <w:r>
              <w:rPr>
                <w:rFonts w:ascii="Arial" w:cs="Arial" w:eastAsia="Arial" w:hAnsi="Arial"/>
                <w:sz w:val="12"/>
                <w:szCs w:val="12"/>
                <w:color w:val="auto"/>
              </w:rPr>
              <w:t>0.9%</w:t>
            </w:r>
          </w:p>
        </w:tc>
        <w:tc>
          <w:tcPr>
            <w:tcW w:w="2160" w:type="dxa"/>
            <w:vAlign w:val="bottom"/>
            <w:gridSpan w:val="2"/>
          </w:tcPr>
          <w:p>
            <w:pPr>
              <w:jc w:val="right"/>
              <w:ind w:right="40"/>
              <w:spacing w:after="0"/>
              <w:rPr>
                <w:sz w:val="20"/>
                <w:szCs w:val="20"/>
                <w:color w:val="auto"/>
              </w:rPr>
            </w:pPr>
            <w:r>
              <w:rPr>
                <w:rFonts w:ascii="Arial" w:cs="Arial" w:eastAsia="Arial" w:hAnsi="Arial"/>
                <w:sz w:val="12"/>
                <w:szCs w:val="12"/>
                <w:color w:val="auto"/>
              </w:rPr>
              <w:t>0.9%</w:t>
            </w:r>
          </w:p>
        </w:tc>
      </w:tr>
    </w:tbl>
    <w:p>
      <w:pPr>
        <w:spacing w:after="0" w:line="135" w:lineRule="exact"/>
        <w:rPr>
          <w:sz w:val="20"/>
          <w:szCs w:val="20"/>
          <w:color w:val="auto"/>
        </w:rPr>
      </w:pPr>
    </w:p>
    <w:p>
      <w:pPr>
        <w:ind w:left="8" w:right="300"/>
        <w:spacing w:after="0" w:line="276" w:lineRule="auto"/>
        <w:rPr>
          <w:sz w:val="20"/>
          <w:szCs w:val="20"/>
          <w:color w:val="auto"/>
        </w:rPr>
      </w:pPr>
      <w:r>
        <w:rPr>
          <w:rFonts w:ascii="Arial" w:cs="Arial" w:eastAsia="Arial" w:hAnsi="Arial"/>
          <w:sz w:val="12"/>
          <w:szCs w:val="12"/>
          <w:color w:val="auto"/>
        </w:rPr>
        <w:t>For the years ended December 31, 2017, 2016 and for the period from April 24, 2015 to December 31, 2015, we recognized $7.7 million, $4.8 million and $1.9 million, respectively, of compensation expense related to restricted stock awards and performance-based awards, which is recorded in general and administrative expense on our Consolidated Statement of Income.</w:t>
      </w:r>
    </w:p>
    <w:p>
      <w:pPr>
        <w:spacing w:after="0" w:line="237"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Note 11. Related Party Transactions</w:t>
      </w:r>
    </w:p>
    <w:p>
      <w:pPr>
        <w:spacing w:after="0" w:line="82" w:lineRule="exact"/>
        <w:rPr>
          <w:sz w:val="20"/>
          <w:szCs w:val="20"/>
          <w:color w:val="auto"/>
        </w:rPr>
      </w:pPr>
    </w:p>
    <w:p>
      <w:pPr>
        <w:ind w:left="8" w:right="120"/>
        <w:spacing w:after="0" w:line="263" w:lineRule="auto"/>
        <w:rPr>
          <w:sz w:val="20"/>
          <w:szCs w:val="20"/>
          <w:color w:val="auto"/>
        </w:rPr>
      </w:pPr>
      <w:r>
        <w:rPr>
          <w:rFonts w:ascii="Arial" w:cs="Arial" w:eastAsia="Arial" w:hAnsi="Arial"/>
          <w:sz w:val="12"/>
          <w:szCs w:val="12"/>
          <w:color w:val="auto"/>
        </w:rPr>
        <w:t>In connection with the Spin-Off, we issued approximately 149.8 million shares of our common stock, par value $0.0001 per share, to Windstream as partial consideration for the contribution of the Distribution Systems and the Consumer CLEC Business. Windstream Holdings distributed approximately 80.4% of the Uniti shares it received to existing stockholders of Windstream Holdings and retained a passive ownership interest of approximately 19.6% of the common stock of Uniti. As a result of this ownership Windstream was deemed to be a related party.</w:t>
      </w:r>
    </w:p>
    <w:p>
      <w:pPr>
        <w:spacing w:after="0" w:line="51" w:lineRule="exact"/>
        <w:rPr>
          <w:sz w:val="20"/>
          <w:szCs w:val="20"/>
          <w:color w:val="auto"/>
        </w:rPr>
      </w:pPr>
    </w:p>
    <w:p>
      <w:pPr>
        <w:ind w:left="8" w:right="260"/>
        <w:spacing w:after="0" w:line="276" w:lineRule="auto"/>
        <w:rPr>
          <w:sz w:val="20"/>
          <w:szCs w:val="20"/>
          <w:color w:val="auto"/>
        </w:rPr>
      </w:pPr>
      <w:r>
        <w:rPr>
          <w:rFonts w:ascii="Arial" w:cs="Arial" w:eastAsia="Arial" w:hAnsi="Arial"/>
          <w:sz w:val="12"/>
          <w:szCs w:val="12"/>
          <w:color w:val="auto"/>
        </w:rPr>
        <w:t>On June 15, 2016, Windstream Holdings disposed of 14.7 million shares of our common stock, representing approximately half of its retained ownership interest. On June 24, 2016, Windstream Holdings disposed of its remaining 14.7 million shares of our common stock as part of a public offering. The Company did not receive any proceeds resulting from the disposition of these shares.</w:t>
      </w:r>
    </w:p>
    <w:p>
      <w:pPr>
        <w:spacing w:after="0" w:line="43" w:lineRule="exact"/>
        <w:rPr>
          <w:sz w:val="20"/>
          <w:szCs w:val="20"/>
          <w:color w:val="auto"/>
        </w:rPr>
      </w:pPr>
    </w:p>
    <w:p>
      <w:pPr>
        <w:ind w:left="8" w:right="40"/>
        <w:spacing w:after="0" w:line="276" w:lineRule="auto"/>
        <w:rPr>
          <w:sz w:val="20"/>
          <w:szCs w:val="20"/>
          <w:color w:val="auto"/>
        </w:rPr>
      </w:pPr>
      <w:r>
        <w:rPr>
          <w:rFonts w:ascii="Arial" w:cs="Arial" w:eastAsia="Arial" w:hAnsi="Arial"/>
          <w:sz w:val="12"/>
          <w:szCs w:val="12"/>
          <w:color w:val="auto"/>
        </w:rPr>
        <w:t>Accordingly, Windstream is no longer deemed a related party under applicable accounting regulations. Our consolidated financial statements reflect the following transactions with Windstream during the periods in which Windstream was deemed a related party.</w:t>
      </w:r>
    </w:p>
    <w:p>
      <w:pPr>
        <w:spacing w:after="0" w:line="115" w:lineRule="exact"/>
        <w:rPr>
          <w:sz w:val="20"/>
          <w:szCs w:val="20"/>
          <w:color w:val="auto"/>
        </w:rPr>
      </w:pPr>
    </w:p>
    <w:p>
      <w:pPr>
        <w:ind w:left="8" w:right="20"/>
        <w:spacing w:after="0" w:line="380" w:lineRule="auto"/>
        <w:rPr>
          <w:sz w:val="20"/>
          <w:szCs w:val="20"/>
          <w:color w:val="auto"/>
        </w:rPr>
      </w:pPr>
      <w:r>
        <w:rPr>
          <w:rFonts w:ascii="Arial" w:cs="Arial" w:eastAsia="Arial" w:hAnsi="Arial"/>
          <w:sz w:val="10"/>
          <w:szCs w:val="10"/>
          <w:u w:val="single" w:color="auto"/>
          <w:color w:val="auto"/>
        </w:rPr>
        <w:t>Revenues</w:t>
      </w:r>
      <w:r>
        <w:rPr>
          <w:rFonts w:ascii="Arial" w:cs="Arial" w:eastAsia="Arial" w:hAnsi="Arial"/>
          <w:sz w:val="10"/>
          <w:szCs w:val="10"/>
          <w:color w:val="auto"/>
        </w:rPr>
        <w:t xml:space="preserve"> – The Company records leasing revenue pursuant to the Master Lease. For the six months ended June 30, 2016, we recognized leasing revenues of $337.6 million related to the Master Lease. For the period from April 24, 2015 to December 31, 2015, we recognized leasing revenues of $458.6 million related to the Master Lease, which includes $0.8 million of TCI revenue recognized as a result of upgrades made by Windstream to the Distribution Systems.</w:t>
      </w:r>
    </w:p>
    <w:p>
      <w:pPr>
        <w:spacing w:after="0" w:line="68"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329170" cy="368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8"/>
          </w:cols>
          <w:pgMar w:left="212" w:top="131" w:right="199" w:bottom="1440" w:gutter="0" w:footer="0" w:header="0"/>
        </w:sectPr>
      </w:pPr>
    </w:p>
    <w:bookmarkStart w:id="80" w:name="page81"/>
    <w:bookmarkEnd w:id="80"/>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Uniti Group Inc.</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the Consolidated Financial Statements – Continued</w:t>
      </w:r>
    </w:p>
    <w:p>
      <w:pPr>
        <w:spacing w:after="0" w:line="303" w:lineRule="exact"/>
        <w:rPr>
          <w:sz w:val="20"/>
          <w:szCs w:val="20"/>
          <w:color w:val="auto"/>
        </w:rPr>
      </w:pPr>
    </w:p>
    <w:p>
      <w:pPr>
        <w:spacing w:after="0" w:line="263" w:lineRule="auto"/>
        <w:rPr>
          <w:sz w:val="20"/>
          <w:szCs w:val="20"/>
          <w:color w:val="auto"/>
        </w:rPr>
      </w:pPr>
      <w:r>
        <w:rPr>
          <w:rFonts w:ascii="Arial" w:cs="Arial" w:eastAsia="Arial" w:hAnsi="Arial"/>
          <w:sz w:val="12"/>
          <w:szCs w:val="12"/>
          <w:u w:val="single" w:color="auto"/>
          <w:color w:val="auto"/>
        </w:rPr>
        <w:t>General and Administrative Expenses</w:t>
      </w:r>
      <w:r>
        <w:rPr>
          <w:rFonts w:ascii="Arial" w:cs="Arial" w:eastAsia="Arial" w:hAnsi="Arial"/>
          <w:sz w:val="12"/>
          <w:szCs w:val="12"/>
          <w:color w:val="auto"/>
        </w:rPr>
        <w:t xml:space="preserve"> – We are party to a Transition Services Agreement (“TSA”) pursuant to which Windstream and its affiliates provide, on an interim basis, various services, including but not limited to information technology services, payment processing and collection services, financial and tax services, regulatory compliance and other support services. On April 1, 2016, the TSA ceased and we incurred $19,000 of related TSA expense for the three months ended March 31, 2016. For the period from April 24, 2015 to December 31, 2015, we incurred $0.1 million of expense under the TSA.</w:t>
      </w:r>
    </w:p>
    <w:p>
      <w:pPr>
        <w:spacing w:after="0" w:line="123" w:lineRule="exact"/>
        <w:rPr>
          <w:sz w:val="20"/>
          <w:szCs w:val="20"/>
          <w:color w:val="auto"/>
        </w:rPr>
      </w:pPr>
    </w:p>
    <w:p>
      <w:pPr>
        <w:ind w:right="60"/>
        <w:spacing w:after="0" w:line="257" w:lineRule="auto"/>
        <w:rPr>
          <w:sz w:val="20"/>
          <w:szCs w:val="20"/>
          <w:color w:val="auto"/>
        </w:rPr>
      </w:pPr>
      <w:r>
        <w:rPr>
          <w:rFonts w:ascii="Arial" w:cs="Arial" w:eastAsia="Arial" w:hAnsi="Arial"/>
          <w:sz w:val="12"/>
          <w:szCs w:val="12"/>
          <w:u w:val="single" w:color="auto"/>
          <w:color w:val="auto"/>
        </w:rPr>
        <w:t>CLEC Operating Expenses</w:t>
      </w:r>
      <w:r>
        <w:rPr>
          <w:rFonts w:ascii="Arial" w:cs="Arial" w:eastAsia="Arial" w:hAnsi="Arial"/>
          <w:sz w:val="12"/>
          <w:szCs w:val="12"/>
          <w:color w:val="auto"/>
        </w:rPr>
        <w:t xml:space="preserve"> – We are party to a Wholesale Master Services Agreement (“Wholesale Agreement”) and a Master Services Agreement with Windstream related to the Consumer CLEC Business. Under the Wholesale Agreement, Windstream provides us transport services (local and long distance telecommunications service), provisioning services (directory assistance, directory listing, service activation and service changes), and repair services (routine and emergency network maintenance, network audits and network security). Under the Master Services Agreement, Windstream provides billing and collections services to Uniti. During the six months ended June 30, 2016, we incurred expenses of $6.6 million and $0.9 million related to the Wholesale Agreement and Master Services Agreement, respectively. During the period from April 24, 2015 to December 31, 2015 we incurred expenses of $10.1 million and $1.1 million related to the Wholesale Agreement and Master Services Agreement, respectively.</w:t>
      </w:r>
    </w:p>
    <w:p>
      <w:pPr>
        <w:spacing w:after="0" w:line="126" w:lineRule="exact"/>
        <w:rPr>
          <w:sz w:val="20"/>
          <w:szCs w:val="20"/>
          <w:color w:val="auto"/>
        </w:rPr>
      </w:pPr>
    </w:p>
    <w:p>
      <w:pPr>
        <w:ind w:right="40"/>
        <w:spacing w:after="0" w:line="286" w:lineRule="auto"/>
        <w:rPr>
          <w:sz w:val="20"/>
          <w:szCs w:val="20"/>
          <w:color w:val="auto"/>
        </w:rPr>
      </w:pPr>
      <w:r>
        <w:rPr>
          <w:rFonts w:ascii="Arial" w:cs="Arial" w:eastAsia="Arial" w:hAnsi="Arial"/>
          <w:sz w:val="11"/>
          <w:szCs w:val="11"/>
          <w:u w:val="single" w:color="auto"/>
          <w:color w:val="auto"/>
        </w:rPr>
        <w:t>Employee Matters Agreement</w:t>
      </w:r>
      <w:r>
        <w:rPr>
          <w:rFonts w:ascii="Arial" w:cs="Arial" w:eastAsia="Arial" w:hAnsi="Arial"/>
          <w:sz w:val="11"/>
          <w:szCs w:val="11"/>
          <w:color w:val="auto"/>
        </w:rPr>
        <w:t xml:space="preserve"> – We are party to an Employee Matters Agreement (“Employee Matters Agreement”) with Windstream that governs the respective compensation and employee benefit obligations of the Company and Windstream in connection with and following the Spin-Off. Under the Employee Matters Agreement, if requested by a Windstream employee, the Company is required to withhold shares to satisfy the employee’s tax obligations arising from the recognition of income and the vesting of shares related to awards of Uniti restricted stock held by the employee that were granted in connection with the Spin-Off. In that case, the Company must pay to Windstream an amount of cash equal to the amount required to be withheld to satisfy minimum statutory tax withholding obligations or, at the request of Windstream, remit such cash directly to the applicable taxing authorities. During the six months ended June 30, 2016, we withheld 91,412 common shares to satisfy these minimum statutory tax-withholding obligations and delivered $1.9 million to Windstream for remittance to the applicable taxing authorities.</w:t>
      </w:r>
    </w:p>
    <w:p>
      <w:pPr>
        <w:spacing w:after="0" w:line="111" w:lineRule="exact"/>
        <w:rPr>
          <w:sz w:val="20"/>
          <w:szCs w:val="20"/>
          <w:color w:val="auto"/>
        </w:rPr>
      </w:pPr>
    </w:p>
    <w:p>
      <w:pPr>
        <w:ind w:right="100"/>
        <w:spacing w:after="0" w:line="276" w:lineRule="auto"/>
        <w:rPr>
          <w:sz w:val="20"/>
          <w:szCs w:val="20"/>
          <w:color w:val="auto"/>
        </w:rPr>
      </w:pPr>
      <w:r>
        <w:rPr>
          <w:rFonts w:ascii="Arial" w:cs="Arial" w:eastAsia="Arial" w:hAnsi="Arial"/>
          <w:sz w:val="12"/>
          <w:szCs w:val="12"/>
          <w:u w:val="single" w:color="auto"/>
          <w:color w:val="auto"/>
        </w:rPr>
        <w:t>Tower Purchase</w:t>
      </w:r>
      <w:r>
        <w:rPr>
          <w:rFonts w:ascii="Arial" w:cs="Arial" w:eastAsia="Arial" w:hAnsi="Arial"/>
          <w:sz w:val="12"/>
          <w:szCs w:val="12"/>
          <w:color w:val="auto"/>
        </w:rPr>
        <w:t xml:space="preserve"> – In May, 2016, we completed the previously announced transaction with Windstream to acquire 32 wireless towers owned by Windstream and operating rights for 49 wireless towers previously conveyed to the Company in the Spin-Off for a purchase price of approximately $3 million.</w:t>
      </w:r>
    </w:p>
    <w:p>
      <w:pPr>
        <w:spacing w:after="0" w:line="115" w:lineRule="exact"/>
        <w:rPr>
          <w:sz w:val="20"/>
          <w:szCs w:val="20"/>
          <w:color w:val="auto"/>
        </w:rPr>
      </w:pPr>
    </w:p>
    <w:p>
      <w:pPr>
        <w:ind w:right="60"/>
        <w:spacing w:after="0" w:line="283" w:lineRule="auto"/>
        <w:rPr>
          <w:sz w:val="20"/>
          <w:szCs w:val="20"/>
          <w:color w:val="auto"/>
        </w:rPr>
      </w:pPr>
      <w:r>
        <w:rPr>
          <w:rFonts w:ascii="Arial" w:cs="Arial" w:eastAsia="Arial" w:hAnsi="Arial"/>
          <w:sz w:val="11"/>
          <w:szCs w:val="11"/>
          <w:u w:val="single" w:color="auto"/>
          <w:color w:val="auto"/>
        </w:rPr>
        <w:t>Lease Amendment</w:t>
      </w:r>
      <w:r>
        <w:rPr>
          <w:rFonts w:ascii="Arial" w:cs="Arial" w:eastAsia="Arial" w:hAnsi="Arial"/>
          <w:sz w:val="11"/>
          <w:szCs w:val="11"/>
          <w:color w:val="auto"/>
        </w:rPr>
        <w:t xml:space="preserve"> – During the quarter ended March 31, 2016, we amended the Master Lease with Windstream (the “Master Lease Amendment”) to allow for the transfer of ownership rights or exchanges of indefeasible rights of use (an “IRU”) and other long term rights in certain fiber and associated assets constituting leased property under the Master Lease. We will enter into such transactions pursuant to certain fiber exchange agreements under which we will grant to a third party ownership rights in certain fiber assets or an IRU in certain fiber assets that constitute leased property under the Master Lease in exchange for Uniti receiving ownership rights in certain fiber assets or an IRU in certain fiber assets of the third party, which we will then lease to Windstream as leased property under the Master Lease. Under the terms of the Master Lease Amendment, Windstream is responsible for any taxes imposed on Uniti related to the sale, exchange or other disposition of the fiber assets delivered to a third party or the granting of rights to the leased property that arise from fiber exchange agreements. As of June 30, 2016, no such transactions had been consummated. The Master Lease Amendment also permits us to install, own and operate certain wireless communication towers, antennas and related equipment on designated portions of the leased property.</w:t>
      </w:r>
    </w:p>
    <w:p>
      <w:pPr>
        <w:spacing w:after="0" w:line="114" w:lineRule="exact"/>
        <w:rPr>
          <w:sz w:val="20"/>
          <w:szCs w:val="20"/>
          <w:color w:val="auto"/>
        </w:rPr>
      </w:pPr>
    </w:p>
    <w:p>
      <w:pPr>
        <w:ind w:right="460"/>
        <w:spacing w:after="0" w:line="276" w:lineRule="auto"/>
        <w:rPr>
          <w:sz w:val="20"/>
          <w:szCs w:val="20"/>
          <w:color w:val="auto"/>
        </w:rPr>
      </w:pPr>
      <w:r>
        <w:rPr>
          <w:rFonts w:ascii="Arial" w:cs="Arial" w:eastAsia="Arial" w:hAnsi="Arial"/>
          <w:sz w:val="12"/>
          <w:szCs w:val="12"/>
          <w:u w:val="single" w:color="auto"/>
          <w:color w:val="auto"/>
        </w:rPr>
        <w:t>Landlord Funded Capital Expense</w:t>
      </w:r>
      <w:r>
        <w:rPr>
          <w:rFonts w:ascii="Arial" w:cs="Arial" w:eastAsia="Arial" w:hAnsi="Arial"/>
          <w:sz w:val="12"/>
          <w:szCs w:val="12"/>
          <w:color w:val="auto"/>
        </w:rPr>
        <w:t xml:space="preserve"> – Windstream Holdings requested, and we funded, $43.1 million of capital expenditures related to the Distribution Systems on December 29, 2015. Monthly rent paid by Windstream increased in accordance with the Master Lease effective as of the date we provided the funding, which equates to approximately $3.5 million of incremental rent per year.</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81" w:name="page82"/>
    <w:bookmarkEnd w:id="81"/>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2"/>
          <w:szCs w:val="12"/>
          <w:b w:val="1"/>
          <w:bCs w:val="1"/>
          <w:color w:val="auto"/>
        </w:rPr>
        <w:t>Uniti Group Inc.</w:t>
      </w:r>
    </w:p>
    <w:p>
      <w:pPr>
        <w:spacing w:after="0" w:line="6" w:lineRule="exact"/>
        <w:rPr>
          <w:sz w:val="20"/>
          <w:szCs w:val="20"/>
          <w:color w:val="auto"/>
        </w:rPr>
      </w:pPr>
    </w:p>
    <w:p>
      <w:pPr>
        <w:jc w:val="center"/>
        <w:ind w:right="-59"/>
        <w:spacing w:after="0"/>
        <w:rPr>
          <w:sz w:val="20"/>
          <w:szCs w:val="20"/>
          <w:color w:val="auto"/>
        </w:rPr>
      </w:pPr>
      <w:r>
        <w:rPr>
          <w:rFonts w:ascii="Arial" w:cs="Arial" w:eastAsia="Arial" w:hAnsi="Arial"/>
          <w:sz w:val="12"/>
          <w:szCs w:val="12"/>
          <w:b w:val="1"/>
          <w:bCs w:val="1"/>
          <w:color w:val="auto"/>
        </w:rPr>
        <w:t>Notes to the Consolidated Financial Statements – Continued</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12. Earnings Per Share</w:t>
      </w:r>
    </w:p>
    <w:p>
      <w:pPr>
        <w:spacing w:after="0" w:line="82" w:lineRule="exact"/>
        <w:rPr>
          <w:sz w:val="20"/>
          <w:szCs w:val="20"/>
          <w:color w:val="auto"/>
        </w:rPr>
      </w:pPr>
    </w:p>
    <w:p>
      <w:pPr>
        <w:ind w:right="300"/>
        <w:spacing w:after="0" w:line="276" w:lineRule="auto"/>
        <w:rPr>
          <w:sz w:val="20"/>
          <w:szCs w:val="20"/>
          <w:color w:val="auto"/>
        </w:rPr>
      </w:pPr>
      <w:r>
        <w:rPr>
          <w:rFonts w:ascii="Arial" w:cs="Arial" w:eastAsia="Arial" w:hAnsi="Arial"/>
          <w:sz w:val="12"/>
          <w:szCs w:val="12"/>
          <w:color w:val="auto"/>
        </w:rPr>
        <w:t xml:space="preserve">Our restricted stock awards are considered participating securities as they receive non-forfeitable rights to dividends at the same rate as common stock. As participating securities, we included these instruments in the computation of earnings per share under the two-class method described in FASB ASC 260, </w:t>
      </w:r>
      <w:r>
        <w:rPr>
          <w:rFonts w:ascii="Arial" w:cs="Arial" w:eastAsia="Arial" w:hAnsi="Arial"/>
          <w:sz w:val="12"/>
          <w:szCs w:val="12"/>
          <w:i w:val="1"/>
          <w:iCs w:val="1"/>
          <w:color w:val="auto"/>
        </w:rPr>
        <w:t>Earnings per Share</w:t>
      </w:r>
      <w:r>
        <w:rPr>
          <w:rFonts w:ascii="Arial" w:cs="Arial" w:eastAsia="Arial" w:hAnsi="Arial"/>
          <w:sz w:val="12"/>
          <w:szCs w:val="12"/>
          <w:color w:val="auto"/>
        </w:rPr>
        <w:t>.</w:t>
      </w:r>
    </w:p>
    <w:p>
      <w:pPr>
        <w:spacing w:after="0" w:line="115" w:lineRule="exact"/>
        <w:rPr>
          <w:sz w:val="20"/>
          <w:szCs w:val="20"/>
          <w:color w:val="auto"/>
        </w:rPr>
      </w:pPr>
    </w:p>
    <w:p>
      <w:pPr>
        <w:spacing w:after="0" w:line="340" w:lineRule="auto"/>
        <w:rPr>
          <w:sz w:val="20"/>
          <w:szCs w:val="20"/>
          <w:color w:val="auto"/>
        </w:rPr>
      </w:pPr>
      <w:r>
        <w:rPr>
          <w:rFonts w:ascii="Arial" w:cs="Arial" w:eastAsia="Arial" w:hAnsi="Arial"/>
          <w:sz w:val="10"/>
          <w:szCs w:val="10"/>
          <w:color w:val="auto"/>
        </w:rPr>
        <w:t>We also issue PSUs; however these units contain forfeitable rights to receive dividends and are therefore considered non-participating restrictive shares and are not dilutive under the two-class method until performance conditions are met. During the years ended December 31, 2017 and 2016, approximately 76,000 and 220,000 PSUs, respectively, were excluded from the computation of diluted net loss per share because their effect is anti-dilutive as a result of our net loss for these periods. For the period from April 24, 2015 through December 31, 2015, approximately 61,000 PSUs were excluded from the computation of diluted earnings per share as their performance conditions had not been met.</w:t>
      </w:r>
    </w:p>
    <w:p>
      <w:pPr>
        <w:spacing w:after="0" w:line="88" w:lineRule="exact"/>
        <w:rPr>
          <w:sz w:val="20"/>
          <w:szCs w:val="20"/>
          <w:color w:val="auto"/>
        </w:rPr>
      </w:pPr>
    </w:p>
    <w:p>
      <w:pPr>
        <w:ind w:right="20"/>
        <w:spacing w:after="0" w:line="323" w:lineRule="auto"/>
        <w:rPr>
          <w:rFonts w:ascii="Arial" w:cs="Arial" w:eastAsia="Arial" w:hAnsi="Arial"/>
          <w:sz w:val="11"/>
          <w:szCs w:val="11"/>
          <w:color w:val="auto"/>
        </w:rPr>
      </w:pPr>
      <w:r>
        <w:rPr>
          <w:rFonts w:ascii="Arial" w:cs="Arial" w:eastAsia="Arial" w:hAnsi="Arial"/>
          <w:sz w:val="11"/>
          <w:szCs w:val="11"/>
          <w:color w:val="auto"/>
        </w:rPr>
        <w:t>The earnings per share impact of the Series A Shares (</w:t>
      </w:r>
      <w:hyperlink r:id="rId88">
        <w:r>
          <w:rPr>
            <w:rFonts w:ascii="Arial" w:cs="Arial" w:eastAsia="Arial" w:hAnsi="Arial"/>
            <w:sz w:val="11"/>
            <w:szCs w:val="11"/>
            <w:u w:val="single" w:color="auto"/>
            <w:color w:val="auto"/>
          </w:rPr>
          <w:t>See Note 1</w:t>
        </w:r>
      </w:hyperlink>
      <w:r>
        <w:rPr>
          <w:rFonts w:ascii="Arial" w:cs="Arial" w:eastAsia="Arial" w:hAnsi="Arial"/>
          <w:sz w:val="11"/>
          <w:szCs w:val="11"/>
          <w:color w:val="auto"/>
        </w:rPr>
        <w:t>8) is calculated using the net share settlement method, whereby the redemption value of the instrument is assumed to be settled in cash and only the conversion premium, if any, is assumed to be settled in shares. The Series A Shares provide Uniti the option to cash or share settle the instrument, and it is our policy to settle the instrument in cash upon conversion.</w:t>
      </w:r>
    </w:p>
    <w:p>
      <w:pPr>
        <w:spacing w:after="0" w:line="92" w:lineRule="exact"/>
        <w:rPr>
          <w:sz w:val="20"/>
          <w:szCs w:val="20"/>
          <w:color w:val="auto"/>
        </w:rPr>
      </w:pPr>
    </w:p>
    <w:p>
      <w:pPr>
        <w:ind w:right="420"/>
        <w:spacing w:after="0" w:line="276" w:lineRule="auto"/>
        <w:rPr>
          <w:sz w:val="20"/>
          <w:szCs w:val="20"/>
          <w:color w:val="auto"/>
        </w:rPr>
      </w:pPr>
      <w:r>
        <w:rPr>
          <w:rFonts w:ascii="Arial" w:cs="Arial" w:eastAsia="Arial" w:hAnsi="Arial"/>
          <w:sz w:val="12"/>
          <w:szCs w:val="12"/>
          <w:color w:val="auto"/>
        </w:rPr>
        <w:t>The Hunt merger agreement provides for the issuance of additional common shares upon the achievement of certain defined revenue milestones. See Note 4. The earnings per share impact of the Hunt Contingent Consideration is calculated under the method described in ASC 260 for the treatment of contingently issuable shares in weighted-average shares outstanding.</w:t>
      </w:r>
    </w:p>
    <w:p>
      <w:pPr>
        <w:spacing w:after="0" w:line="115"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00"/>
          </w:cols>
          <w:pgMar w:left="220" w:top="130" w:right="279" w:bottom="1440" w:gutter="0" w:footer="0" w:header="0"/>
        </w:sectPr>
      </w:pPr>
    </w:p>
    <w:bookmarkStart w:id="82" w:name="page83"/>
    <w:bookmarkEnd w:id="82"/>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Uniti Group Inc.</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Notes to the Consolidated Financial Statements – Continued</w:t>
      </w:r>
    </w:p>
    <w:p>
      <w:pPr>
        <w:spacing w:after="0" w:line="303" w:lineRule="exact"/>
        <w:rPr>
          <w:sz w:val="20"/>
          <w:szCs w:val="20"/>
          <w:color w:val="auto"/>
        </w:rPr>
      </w:pPr>
    </w:p>
    <w:p>
      <w:pPr>
        <w:spacing w:after="0"/>
        <w:rPr>
          <w:sz w:val="20"/>
          <w:szCs w:val="20"/>
          <w:color w:val="auto"/>
        </w:rPr>
      </w:pPr>
      <w:r>
        <w:rPr>
          <w:rFonts w:ascii="Arial" w:cs="Arial" w:eastAsia="Arial" w:hAnsi="Arial"/>
          <w:sz w:val="12"/>
          <w:szCs w:val="12"/>
          <w:color w:val="auto"/>
        </w:rPr>
        <w:t>The following sets forth the computation of basic and diluted earnings per share under the two-class method: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228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0"/>
                <w:szCs w:val="10"/>
                <w:b w:val="1"/>
                <w:bCs w:val="1"/>
                <w:color w:val="auto"/>
              </w:rPr>
              <w:t>Year Ended December 31,</w:t>
            </w:r>
          </w:p>
        </w:tc>
        <w:tc>
          <w:tcPr>
            <w:tcW w:w="124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32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89"/>
              </w:rPr>
              <w:t>Period from</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4440" w:type="dxa"/>
            <w:vAlign w:val="bottom"/>
          </w:tcPr>
          <w:p>
            <w:pPr>
              <w:spacing w:after="0"/>
              <w:rPr>
                <w:sz w:val="20"/>
                <w:szCs w:val="20"/>
                <w:color w:val="auto"/>
              </w:rPr>
            </w:pPr>
            <w:r>
              <w:rPr>
                <w:rFonts w:ascii="Arial" w:cs="Arial" w:eastAsia="Arial" w:hAnsi="Arial"/>
                <w:sz w:val="10"/>
                <w:szCs w:val="10"/>
                <w:color w:val="auto"/>
              </w:rPr>
              <w:t>(Thousands, except per share data)</w:t>
            </w: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20" w:type="dxa"/>
            <w:vAlign w:val="bottom"/>
          </w:tcPr>
          <w:p>
            <w:pPr>
              <w:jc w:val="right"/>
              <w:ind w:right="782"/>
              <w:spacing w:after="0"/>
              <w:rPr>
                <w:sz w:val="20"/>
                <w:szCs w:val="20"/>
                <w:color w:val="auto"/>
              </w:rPr>
            </w:pPr>
            <w:r>
              <w:rPr>
                <w:rFonts w:ascii="Arial" w:cs="Arial" w:eastAsia="Arial" w:hAnsi="Arial"/>
                <w:sz w:val="10"/>
                <w:szCs w:val="10"/>
                <w:b w:val="1"/>
                <w:bCs w:val="1"/>
                <w:color w:val="auto"/>
              </w:rPr>
              <w:t>2017</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40" w:type="dxa"/>
            <w:vAlign w:val="bottom"/>
          </w:tcPr>
          <w:p>
            <w:pPr>
              <w:jc w:val="right"/>
              <w:ind w:right="781"/>
              <w:spacing w:after="0"/>
              <w:rPr>
                <w:sz w:val="20"/>
                <w:szCs w:val="20"/>
                <w:color w:val="auto"/>
              </w:rPr>
            </w:pPr>
            <w:r>
              <w:rPr>
                <w:rFonts w:ascii="Arial" w:cs="Arial" w:eastAsia="Arial" w:hAnsi="Arial"/>
                <w:sz w:val="10"/>
                <w:szCs w:val="10"/>
                <w:b w:val="1"/>
                <w:bCs w:val="1"/>
                <w:color w:val="auto"/>
              </w:rPr>
              <w:t>2016</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32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88"/>
              </w:rPr>
              <w:t>April 24 - December 31, 2015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4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Basic earnings per share:</w:t>
            </w:r>
          </w:p>
        </w:tc>
        <w:tc>
          <w:tcPr>
            <w:tcW w:w="14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2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440" w:type="dxa"/>
            <w:vAlign w:val="bottom"/>
            <w:shd w:val="clear" w:color="auto" w:fill="CFF0FC"/>
          </w:tcPr>
          <w:p>
            <w:pPr>
              <w:spacing w:after="0"/>
              <w:rPr>
                <w:sz w:val="20"/>
                <w:szCs w:val="20"/>
                <w:color w:val="auto"/>
              </w:rPr>
            </w:pPr>
            <w:r>
              <w:rPr>
                <w:rFonts w:ascii="Arial" w:cs="Arial" w:eastAsia="Arial" w:hAnsi="Arial"/>
                <w:sz w:val="12"/>
                <w:szCs w:val="12"/>
                <w:color w:val="auto"/>
              </w:rPr>
              <w:t>Numerator:</w:t>
            </w:r>
          </w:p>
        </w:tc>
        <w:tc>
          <w:tcPr>
            <w:tcW w:w="14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4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2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2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440" w:type="dxa"/>
            <w:vAlign w:val="bottom"/>
          </w:tcPr>
          <w:p>
            <w:pPr>
              <w:ind w:left="160"/>
              <w:spacing w:after="0"/>
              <w:rPr>
                <w:sz w:val="20"/>
                <w:szCs w:val="20"/>
                <w:color w:val="auto"/>
              </w:rPr>
            </w:pPr>
            <w:r>
              <w:rPr>
                <w:rFonts w:ascii="Arial" w:cs="Arial" w:eastAsia="Arial" w:hAnsi="Arial"/>
                <w:sz w:val="12"/>
                <w:szCs w:val="12"/>
                <w:color w:val="auto"/>
              </w:rPr>
              <w:t>Net (loss) income attributable to shareholders</w:t>
            </w:r>
          </w:p>
        </w:tc>
        <w:tc>
          <w:tcPr>
            <w:tcW w:w="580" w:type="dxa"/>
            <w:vAlign w:val="bottom"/>
            <w:gridSpan w:val="2"/>
          </w:tcPr>
          <w:p>
            <w:pPr>
              <w:jc w:val="right"/>
              <w:ind w:right="330"/>
              <w:spacing w:after="0"/>
              <w:rPr>
                <w:sz w:val="20"/>
                <w:szCs w:val="20"/>
                <w:color w:val="auto"/>
              </w:rPr>
            </w:pPr>
            <w:r>
              <w:rPr>
                <w:rFonts w:ascii="Arial" w:cs="Arial" w:eastAsia="Arial" w:hAnsi="Arial"/>
                <w:sz w:val="12"/>
                <w:szCs w:val="12"/>
                <w:color w:val="auto"/>
              </w:rPr>
              <w:t>$</w:t>
            </w:r>
          </w:p>
        </w:tc>
        <w:tc>
          <w:tcPr>
            <w:tcW w:w="1560" w:type="dxa"/>
            <w:vAlign w:val="bottom"/>
            <w:gridSpan w:val="2"/>
          </w:tcPr>
          <w:p>
            <w:pPr>
              <w:jc w:val="right"/>
              <w:ind w:right="100"/>
              <w:spacing w:after="0"/>
              <w:rPr>
                <w:sz w:val="20"/>
                <w:szCs w:val="20"/>
                <w:color w:val="auto"/>
              </w:rPr>
            </w:pPr>
            <w:r>
              <w:rPr>
                <w:rFonts w:ascii="Arial" w:cs="Arial" w:eastAsia="Arial" w:hAnsi="Arial"/>
                <w:sz w:val="12"/>
                <w:szCs w:val="12"/>
                <w:color w:val="auto"/>
              </w:rPr>
              <w:t>(9,439)</w:t>
            </w:r>
          </w:p>
        </w:tc>
        <w:tc>
          <w:tcPr>
            <w:tcW w:w="720" w:type="dxa"/>
            <w:vAlign w:val="bottom"/>
            <w:gridSpan w:val="2"/>
          </w:tcPr>
          <w:p>
            <w:pPr>
              <w:jc w:val="right"/>
              <w:ind w:right="540"/>
              <w:spacing w:after="0"/>
              <w:rPr>
                <w:sz w:val="20"/>
                <w:szCs w:val="20"/>
                <w:color w:val="auto"/>
              </w:rPr>
            </w:pPr>
            <w:r>
              <w:rPr>
                <w:rFonts w:ascii="Arial" w:cs="Arial" w:eastAsia="Arial" w:hAnsi="Arial"/>
                <w:sz w:val="12"/>
                <w:szCs w:val="12"/>
                <w:color w:val="auto"/>
              </w:rPr>
              <w:t>$</w:t>
            </w:r>
          </w:p>
        </w:tc>
        <w:tc>
          <w:tcPr>
            <w:tcW w:w="1400" w:type="dxa"/>
            <w:vAlign w:val="bottom"/>
            <w:gridSpan w:val="2"/>
          </w:tcPr>
          <w:p>
            <w:pPr>
              <w:jc w:val="right"/>
              <w:ind w:right="120"/>
              <w:spacing w:after="0"/>
              <w:rPr>
                <w:sz w:val="20"/>
                <w:szCs w:val="20"/>
                <w:color w:val="auto"/>
              </w:rPr>
            </w:pPr>
            <w:r>
              <w:rPr>
                <w:rFonts w:ascii="Arial" w:cs="Arial" w:eastAsia="Arial" w:hAnsi="Arial"/>
                <w:sz w:val="12"/>
                <w:szCs w:val="12"/>
                <w:color w:val="auto"/>
              </w:rPr>
              <w:t>(212)</w:t>
            </w:r>
          </w:p>
        </w:tc>
        <w:tc>
          <w:tcPr>
            <w:tcW w:w="4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2200" w:type="dxa"/>
            <w:vAlign w:val="bottom"/>
          </w:tcPr>
          <w:p>
            <w:pPr>
              <w:jc w:val="right"/>
              <w:spacing w:after="0"/>
              <w:rPr>
                <w:sz w:val="20"/>
                <w:szCs w:val="20"/>
                <w:color w:val="auto"/>
              </w:rPr>
            </w:pPr>
            <w:r>
              <w:rPr>
                <w:rFonts w:ascii="Arial" w:cs="Arial" w:eastAsia="Arial" w:hAnsi="Arial"/>
                <w:sz w:val="12"/>
                <w:szCs w:val="12"/>
                <w:color w:val="auto"/>
              </w:rPr>
              <w:t>24,870</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440" w:type="dxa"/>
            <w:vAlign w:val="bottom"/>
            <w:shd w:val="clear" w:color="auto" w:fill="CFF0FC"/>
          </w:tcPr>
          <w:p>
            <w:pPr>
              <w:ind w:left="320"/>
              <w:spacing w:after="0"/>
              <w:rPr>
                <w:sz w:val="20"/>
                <w:szCs w:val="20"/>
                <w:color w:val="auto"/>
              </w:rPr>
            </w:pPr>
            <w:r>
              <w:rPr>
                <w:rFonts w:ascii="Arial" w:cs="Arial" w:eastAsia="Arial" w:hAnsi="Arial"/>
                <w:sz w:val="12"/>
                <w:szCs w:val="12"/>
                <w:color w:val="auto"/>
              </w:rPr>
              <w:t>Less: Income allocated to participating securities</w:t>
            </w:r>
          </w:p>
        </w:tc>
        <w:tc>
          <w:tcPr>
            <w:tcW w:w="14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56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(1,509)</w:t>
            </w:r>
          </w:p>
        </w:tc>
        <w:tc>
          <w:tcPr>
            <w:tcW w:w="12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40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(1,557)</w:t>
            </w:r>
          </w:p>
        </w:tc>
        <w:tc>
          <w:tcPr>
            <w:tcW w:w="10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23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(1,152)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440" w:type="dxa"/>
            <w:vAlign w:val="bottom"/>
          </w:tcPr>
          <w:p>
            <w:pPr>
              <w:ind w:left="480"/>
              <w:spacing w:after="0"/>
              <w:rPr>
                <w:sz w:val="20"/>
                <w:szCs w:val="20"/>
                <w:color w:val="auto"/>
              </w:rPr>
            </w:pPr>
            <w:r>
              <w:rPr>
                <w:rFonts w:ascii="Arial" w:cs="Arial" w:eastAsia="Arial" w:hAnsi="Arial"/>
                <w:sz w:val="12"/>
                <w:szCs w:val="12"/>
                <w:color w:val="auto"/>
              </w:rPr>
              <w:t>Dividends declared on convertible preferred stock</w:t>
            </w: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2"/>
                <w:szCs w:val="12"/>
                <w:color w:val="auto"/>
              </w:rPr>
              <w:t>(2,624)</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2"/>
                <w:szCs w:val="12"/>
                <w:color w:val="auto"/>
              </w:rPr>
              <w:t>(1,743)</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3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440" w:type="dxa"/>
            <w:vAlign w:val="bottom"/>
            <w:shd w:val="clear" w:color="auto" w:fill="CFF0FC"/>
          </w:tcPr>
          <w:p>
            <w:pPr>
              <w:ind w:left="480"/>
              <w:spacing w:after="0"/>
              <w:rPr>
                <w:sz w:val="20"/>
                <w:szCs w:val="20"/>
                <w:color w:val="auto"/>
              </w:rPr>
            </w:pPr>
            <w:r>
              <w:rPr>
                <w:rFonts w:ascii="Arial" w:cs="Arial" w:eastAsia="Arial" w:hAnsi="Arial"/>
                <w:sz w:val="12"/>
                <w:szCs w:val="12"/>
                <w:color w:val="auto"/>
              </w:rPr>
              <w:t>Amortization of discount on convertible preferred stock</w:t>
            </w:r>
          </w:p>
        </w:tc>
        <w:tc>
          <w:tcPr>
            <w:tcW w:w="14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56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(2,980)</w:t>
            </w:r>
          </w:p>
        </w:tc>
        <w:tc>
          <w:tcPr>
            <w:tcW w:w="12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40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(1,985)</w:t>
            </w:r>
          </w:p>
        </w:tc>
        <w:tc>
          <w:tcPr>
            <w:tcW w:w="10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232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40" w:type="dxa"/>
            <w:vAlign w:val="bottom"/>
            <w:vMerge w:val="restart"/>
          </w:tcPr>
          <w:p>
            <w:pPr>
              <w:ind w:left="160"/>
              <w:spacing w:after="0"/>
              <w:rPr>
                <w:sz w:val="20"/>
                <w:szCs w:val="20"/>
                <w:color w:val="auto"/>
              </w:rPr>
            </w:pPr>
            <w:r>
              <w:rPr>
                <w:rFonts w:ascii="Arial" w:cs="Arial" w:eastAsia="Arial" w:hAnsi="Arial"/>
                <w:sz w:val="12"/>
                <w:szCs w:val="12"/>
                <w:color w:val="auto"/>
              </w:rPr>
              <w:t>Net (loss) income attributable to common shares</w:t>
            </w:r>
          </w:p>
        </w:tc>
        <w:tc>
          <w:tcPr>
            <w:tcW w:w="1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4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jc w:val="right"/>
              <w:ind w:right="330"/>
              <w:spacing w:after="0"/>
              <w:rPr>
                <w:sz w:val="20"/>
                <w:szCs w:val="20"/>
                <w:color w:val="auto"/>
              </w:rPr>
            </w:pPr>
            <w:r>
              <w:rPr>
                <w:rFonts w:ascii="Arial" w:cs="Arial" w:eastAsia="Arial" w:hAnsi="Arial"/>
                <w:sz w:val="10"/>
                <w:szCs w:val="10"/>
                <w:color w:val="auto"/>
                <w:w w:val="71"/>
              </w:rPr>
              <w:t>$</w:t>
            </w:r>
          </w:p>
        </w:tc>
        <w:tc>
          <w:tcPr>
            <w:tcW w:w="1560" w:type="dxa"/>
            <w:vAlign w:val="bottom"/>
            <w:gridSpan w:val="2"/>
          </w:tcPr>
          <w:p>
            <w:pPr>
              <w:jc w:val="right"/>
              <w:ind w:right="100"/>
              <w:spacing w:after="0"/>
              <w:rPr>
                <w:sz w:val="20"/>
                <w:szCs w:val="20"/>
                <w:color w:val="auto"/>
              </w:rPr>
            </w:pPr>
            <w:r>
              <w:rPr>
                <w:rFonts w:ascii="Arial" w:cs="Arial" w:eastAsia="Arial" w:hAnsi="Arial"/>
                <w:sz w:val="12"/>
                <w:szCs w:val="12"/>
                <w:color w:val="auto"/>
              </w:rPr>
              <w:t>(16,552)</w:t>
            </w:r>
          </w:p>
        </w:tc>
        <w:tc>
          <w:tcPr>
            <w:tcW w:w="720" w:type="dxa"/>
            <w:vAlign w:val="bottom"/>
            <w:gridSpan w:val="2"/>
          </w:tcPr>
          <w:p>
            <w:pPr>
              <w:jc w:val="right"/>
              <w:ind w:right="540"/>
              <w:spacing w:after="0"/>
              <w:rPr>
                <w:sz w:val="20"/>
                <w:szCs w:val="20"/>
                <w:color w:val="auto"/>
              </w:rPr>
            </w:pPr>
            <w:r>
              <w:rPr>
                <w:rFonts w:ascii="Arial" w:cs="Arial" w:eastAsia="Arial" w:hAnsi="Arial"/>
                <w:sz w:val="12"/>
                <w:szCs w:val="12"/>
                <w:color w:val="auto"/>
              </w:rPr>
              <w:t>$</w:t>
            </w:r>
          </w:p>
        </w:tc>
        <w:tc>
          <w:tcPr>
            <w:tcW w:w="1400" w:type="dxa"/>
            <w:vAlign w:val="bottom"/>
            <w:gridSpan w:val="2"/>
          </w:tcPr>
          <w:p>
            <w:pPr>
              <w:jc w:val="right"/>
              <w:ind w:right="120"/>
              <w:spacing w:after="0"/>
              <w:rPr>
                <w:sz w:val="20"/>
                <w:szCs w:val="20"/>
                <w:color w:val="auto"/>
              </w:rPr>
            </w:pPr>
            <w:r>
              <w:rPr>
                <w:rFonts w:ascii="Arial" w:cs="Arial" w:eastAsia="Arial" w:hAnsi="Arial"/>
                <w:sz w:val="12"/>
                <w:szCs w:val="12"/>
                <w:color w:val="auto"/>
              </w:rPr>
              <w:t>(5,497)</w:t>
            </w:r>
          </w:p>
        </w:tc>
        <w:tc>
          <w:tcPr>
            <w:tcW w:w="4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2200" w:type="dxa"/>
            <w:vAlign w:val="bottom"/>
          </w:tcPr>
          <w:p>
            <w:pPr>
              <w:jc w:val="right"/>
              <w:spacing w:after="0"/>
              <w:rPr>
                <w:sz w:val="20"/>
                <w:szCs w:val="20"/>
                <w:color w:val="auto"/>
              </w:rPr>
            </w:pPr>
            <w:r>
              <w:rPr>
                <w:rFonts w:ascii="Arial" w:cs="Arial" w:eastAsia="Arial" w:hAnsi="Arial"/>
                <w:sz w:val="12"/>
                <w:szCs w:val="12"/>
                <w:color w:val="auto"/>
              </w:rPr>
              <w:t>23,718</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440" w:type="dxa"/>
            <w:vAlign w:val="bottom"/>
            <w:shd w:val="clear" w:color="auto" w:fill="CFF0FC"/>
          </w:tcPr>
          <w:p>
            <w:pPr>
              <w:spacing w:after="0"/>
              <w:rPr>
                <w:sz w:val="20"/>
                <w:szCs w:val="20"/>
                <w:color w:val="auto"/>
              </w:rPr>
            </w:pPr>
            <w:r>
              <w:rPr>
                <w:rFonts w:ascii="Arial" w:cs="Arial" w:eastAsia="Arial" w:hAnsi="Arial"/>
                <w:sz w:val="12"/>
                <w:szCs w:val="12"/>
                <w:color w:val="auto"/>
              </w:rPr>
              <w:t>Denominator:</w:t>
            </w:r>
          </w:p>
        </w:tc>
        <w:tc>
          <w:tcPr>
            <w:tcW w:w="14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4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2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2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440" w:type="dxa"/>
            <w:vAlign w:val="bottom"/>
            <w:tcBorders>
              <w:bottom w:val="single" w:sz="8" w:color="CFF0FC"/>
            </w:tcBorders>
          </w:tcPr>
          <w:p>
            <w:pPr>
              <w:ind w:left="160"/>
              <w:spacing w:after="0"/>
              <w:rPr>
                <w:sz w:val="20"/>
                <w:szCs w:val="20"/>
                <w:color w:val="auto"/>
              </w:rPr>
            </w:pPr>
            <w:r>
              <w:rPr>
                <w:rFonts w:ascii="Arial" w:cs="Arial" w:eastAsia="Arial" w:hAnsi="Arial"/>
                <w:sz w:val="12"/>
                <w:szCs w:val="12"/>
                <w:color w:val="auto"/>
              </w:rPr>
              <w:t>Basic weighted-average common shares outstanding</w:t>
            </w:r>
          </w:p>
        </w:tc>
        <w:tc>
          <w:tcPr>
            <w:tcW w:w="140" w:type="dxa"/>
            <w:vAlign w:val="bottom"/>
            <w:tcBorders>
              <w:bottom w:val="single" w:sz="8" w:color="CFF0FC"/>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168,693</w:t>
            </w:r>
          </w:p>
        </w:tc>
        <w:tc>
          <w:tcPr>
            <w:tcW w:w="14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152,473</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149,835</w:t>
            </w:r>
          </w:p>
        </w:tc>
        <w:tc>
          <w:tcPr>
            <w:tcW w:w="12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440" w:type="dxa"/>
            <w:vAlign w:val="bottom"/>
            <w:shd w:val="clear" w:color="auto" w:fill="CFF0FC"/>
          </w:tcPr>
          <w:p>
            <w:pPr>
              <w:spacing w:after="0"/>
              <w:rPr>
                <w:sz w:val="20"/>
                <w:szCs w:val="20"/>
                <w:color w:val="auto"/>
              </w:rPr>
            </w:pPr>
            <w:r>
              <w:rPr>
                <w:rFonts w:ascii="Arial" w:cs="Arial" w:eastAsia="Arial" w:hAnsi="Arial"/>
                <w:sz w:val="12"/>
                <w:szCs w:val="12"/>
                <w:color w:val="auto"/>
              </w:rPr>
              <w:t>Basic (loss) earnings per common share</w:t>
            </w:r>
          </w:p>
        </w:tc>
        <w:tc>
          <w:tcPr>
            <w:tcW w:w="140" w:type="dxa"/>
            <w:vAlign w:val="bottom"/>
            <w:shd w:val="clear" w:color="auto" w:fill="CFF0FC"/>
          </w:tcPr>
          <w:p>
            <w:pPr>
              <w:spacing w:after="0"/>
              <w:rPr>
                <w:sz w:val="12"/>
                <w:szCs w:val="12"/>
                <w:color w:val="auto"/>
              </w:rPr>
            </w:pPr>
          </w:p>
        </w:tc>
        <w:tc>
          <w:tcPr>
            <w:tcW w:w="440" w:type="dxa"/>
            <w:vAlign w:val="bottom"/>
            <w:shd w:val="clear" w:color="auto" w:fill="CFF0FC"/>
          </w:tcPr>
          <w:p>
            <w:pPr>
              <w:jc w:val="right"/>
              <w:ind w:right="330"/>
              <w:spacing w:after="0"/>
              <w:rPr>
                <w:sz w:val="20"/>
                <w:szCs w:val="20"/>
                <w:color w:val="auto"/>
              </w:rPr>
            </w:pPr>
            <w:r>
              <w:rPr>
                <w:rFonts w:ascii="Arial" w:cs="Arial" w:eastAsia="Arial" w:hAnsi="Arial"/>
                <w:sz w:val="10"/>
                <w:szCs w:val="10"/>
                <w:color w:val="auto"/>
                <w:w w:val="71"/>
              </w:rPr>
              <w:t>$</w:t>
            </w:r>
          </w:p>
        </w:tc>
        <w:tc>
          <w:tcPr>
            <w:tcW w:w="156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(0.10)</w:t>
            </w:r>
          </w:p>
        </w:tc>
        <w:tc>
          <w:tcPr>
            <w:tcW w:w="720" w:type="dxa"/>
            <w:vAlign w:val="bottom"/>
            <w:gridSpan w:val="2"/>
            <w:shd w:val="clear" w:color="auto" w:fill="CFF0FC"/>
          </w:tcPr>
          <w:p>
            <w:pPr>
              <w:jc w:val="right"/>
              <w:ind w:right="540"/>
              <w:spacing w:after="0"/>
              <w:rPr>
                <w:sz w:val="20"/>
                <w:szCs w:val="20"/>
                <w:color w:val="auto"/>
              </w:rPr>
            </w:pPr>
            <w:r>
              <w:rPr>
                <w:rFonts w:ascii="Arial" w:cs="Arial" w:eastAsia="Arial" w:hAnsi="Arial"/>
                <w:sz w:val="12"/>
                <w:szCs w:val="12"/>
                <w:color w:val="auto"/>
              </w:rPr>
              <w:t>$</w:t>
            </w:r>
          </w:p>
        </w:tc>
        <w:tc>
          <w:tcPr>
            <w:tcW w:w="140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(0.04)</w:t>
            </w:r>
          </w:p>
        </w:tc>
        <w:tc>
          <w:tcPr>
            <w:tcW w:w="460" w:type="dxa"/>
            <w:vAlign w:val="bottom"/>
            <w:gridSpan w:val="2"/>
            <w:shd w:val="clear" w:color="auto" w:fill="CFF0FC"/>
          </w:tcPr>
          <w:p>
            <w:pPr>
              <w:jc w:val="right"/>
              <w:ind w:right="300"/>
              <w:spacing w:after="0"/>
              <w:rPr>
                <w:sz w:val="20"/>
                <w:szCs w:val="20"/>
                <w:color w:val="auto"/>
              </w:rPr>
            </w:pPr>
            <w:r>
              <w:rPr>
                <w:rFonts w:ascii="Arial" w:cs="Arial" w:eastAsia="Arial" w:hAnsi="Arial"/>
                <w:sz w:val="12"/>
                <w:szCs w:val="12"/>
                <w:color w:val="auto"/>
              </w:rPr>
              <w:t>$</w:t>
            </w:r>
          </w:p>
        </w:tc>
        <w:tc>
          <w:tcPr>
            <w:tcW w:w="22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0.16</w:t>
            </w:r>
          </w:p>
        </w:tc>
        <w:tc>
          <w:tcPr>
            <w:tcW w:w="12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444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260" w:type="dxa"/>
            <w:vAlign w:val="bottom"/>
            <w:gridSpan w:val="2"/>
            <w:shd w:val="clear" w:color="auto" w:fill="CFF0FC"/>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86"/>
        </w:trPr>
        <w:tc>
          <w:tcPr>
            <w:tcW w:w="4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0"/>
                <w:szCs w:val="10"/>
                <w:b w:val="1"/>
                <w:bCs w:val="1"/>
                <w:color w:val="auto"/>
              </w:rPr>
              <w:t>Year Ended December 31,</w:t>
            </w:r>
          </w:p>
        </w:tc>
        <w:tc>
          <w:tcPr>
            <w:tcW w:w="12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32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89"/>
              </w:rPr>
              <w:t>Period from</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440" w:type="dxa"/>
            <w:vAlign w:val="bottom"/>
          </w:tcPr>
          <w:p>
            <w:pPr>
              <w:spacing w:after="0"/>
              <w:rPr>
                <w:sz w:val="20"/>
                <w:szCs w:val="20"/>
                <w:color w:val="auto"/>
              </w:rPr>
            </w:pPr>
            <w:r>
              <w:rPr>
                <w:rFonts w:ascii="Arial" w:cs="Arial" w:eastAsia="Arial" w:hAnsi="Arial"/>
                <w:sz w:val="10"/>
                <w:szCs w:val="10"/>
                <w:color w:val="auto"/>
              </w:rPr>
              <w:t>(Thousands, except per share data)</w:t>
            </w: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20" w:type="dxa"/>
            <w:vAlign w:val="bottom"/>
          </w:tcPr>
          <w:p>
            <w:pPr>
              <w:jc w:val="right"/>
              <w:ind w:right="782"/>
              <w:spacing w:after="0"/>
              <w:rPr>
                <w:sz w:val="20"/>
                <w:szCs w:val="20"/>
                <w:color w:val="auto"/>
              </w:rPr>
            </w:pPr>
            <w:r>
              <w:rPr>
                <w:rFonts w:ascii="Arial" w:cs="Arial" w:eastAsia="Arial" w:hAnsi="Arial"/>
                <w:sz w:val="10"/>
                <w:szCs w:val="10"/>
                <w:b w:val="1"/>
                <w:bCs w:val="1"/>
                <w:color w:val="auto"/>
              </w:rPr>
              <w:t>2017</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40" w:type="dxa"/>
            <w:vAlign w:val="bottom"/>
          </w:tcPr>
          <w:p>
            <w:pPr>
              <w:jc w:val="right"/>
              <w:ind w:right="781"/>
              <w:spacing w:after="0"/>
              <w:rPr>
                <w:sz w:val="20"/>
                <w:szCs w:val="20"/>
                <w:color w:val="auto"/>
              </w:rPr>
            </w:pPr>
            <w:r>
              <w:rPr>
                <w:rFonts w:ascii="Arial" w:cs="Arial" w:eastAsia="Arial" w:hAnsi="Arial"/>
                <w:sz w:val="10"/>
                <w:szCs w:val="10"/>
                <w:b w:val="1"/>
                <w:bCs w:val="1"/>
                <w:color w:val="auto"/>
              </w:rPr>
              <w:t>2016</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32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88"/>
              </w:rPr>
              <w:t>April 24 - December 31, 2015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4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Diluted earnings per share:</w:t>
            </w:r>
          </w:p>
        </w:tc>
        <w:tc>
          <w:tcPr>
            <w:tcW w:w="14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2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440" w:type="dxa"/>
            <w:vAlign w:val="bottom"/>
            <w:shd w:val="clear" w:color="auto" w:fill="CFF0FC"/>
          </w:tcPr>
          <w:p>
            <w:pPr>
              <w:spacing w:after="0"/>
              <w:rPr>
                <w:sz w:val="20"/>
                <w:szCs w:val="20"/>
                <w:color w:val="auto"/>
              </w:rPr>
            </w:pPr>
            <w:r>
              <w:rPr>
                <w:rFonts w:ascii="Arial" w:cs="Arial" w:eastAsia="Arial" w:hAnsi="Arial"/>
                <w:sz w:val="12"/>
                <w:szCs w:val="12"/>
                <w:color w:val="auto"/>
              </w:rPr>
              <w:t>Numerator:</w:t>
            </w:r>
          </w:p>
        </w:tc>
        <w:tc>
          <w:tcPr>
            <w:tcW w:w="14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4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2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2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440" w:type="dxa"/>
            <w:vAlign w:val="bottom"/>
          </w:tcPr>
          <w:p>
            <w:pPr>
              <w:ind w:left="160"/>
              <w:spacing w:after="0"/>
              <w:rPr>
                <w:sz w:val="20"/>
                <w:szCs w:val="20"/>
                <w:color w:val="auto"/>
              </w:rPr>
            </w:pPr>
            <w:r>
              <w:rPr>
                <w:rFonts w:ascii="Arial" w:cs="Arial" w:eastAsia="Arial" w:hAnsi="Arial"/>
                <w:sz w:val="12"/>
                <w:szCs w:val="12"/>
                <w:color w:val="auto"/>
              </w:rPr>
              <w:t>Net (loss) income attributable to shareholders</w:t>
            </w:r>
          </w:p>
        </w:tc>
        <w:tc>
          <w:tcPr>
            <w:tcW w:w="580" w:type="dxa"/>
            <w:vAlign w:val="bottom"/>
            <w:gridSpan w:val="2"/>
          </w:tcPr>
          <w:p>
            <w:pPr>
              <w:jc w:val="right"/>
              <w:ind w:right="330"/>
              <w:spacing w:after="0"/>
              <w:rPr>
                <w:sz w:val="20"/>
                <w:szCs w:val="20"/>
                <w:color w:val="auto"/>
              </w:rPr>
            </w:pPr>
            <w:r>
              <w:rPr>
                <w:rFonts w:ascii="Arial" w:cs="Arial" w:eastAsia="Arial" w:hAnsi="Arial"/>
                <w:sz w:val="12"/>
                <w:szCs w:val="12"/>
                <w:color w:val="auto"/>
              </w:rPr>
              <w:t>$</w:t>
            </w:r>
          </w:p>
        </w:tc>
        <w:tc>
          <w:tcPr>
            <w:tcW w:w="1560" w:type="dxa"/>
            <w:vAlign w:val="bottom"/>
            <w:gridSpan w:val="2"/>
          </w:tcPr>
          <w:p>
            <w:pPr>
              <w:jc w:val="right"/>
              <w:ind w:right="100"/>
              <w:spacing w:after="0"/>
              <w:rPr>
                <w:sz w:val="20"/>
                <w:szCs w:val="20"/>
                <w:color w:val="auto"/>
              </w:rPr>
            </w:pPr>
            <w:r>
              <w:rPr>
                <w:rFonts w:ascii="Arial" w:cs="Arial" w:eastAsia="Arial" w:hAnsi="Arial"/>
                <w:sz w:val="12"/>
                <w:szCs w:val="12"/>
                <w:color w:val="auto"/>
              </w:rPr>
              <w:t>(9,439)</w:t>
            </w:r>
          </w:p>
        </w:tc>
        <w:tc>
          <w:tcPr>
            <w:tcW w:w="720" w:type="dxa"/>
            <w:vAlign w:val="bottom"/>
            <w:gridSpan w:val="2"/>
          </w:tcPr>
          <w:p>
            <w:pPr>
              <w:jc w:val="right"/>
              <w:ind w:right="540"/>
              <w:spacing w:after="0"/>
              <w:rPr>
                <w:sz w:val="20"/>
                <w:szCs w:val="20"/>
                <w:color w:val="auto"/>
              </w:rPr>
            </w:pPr>
            <w:r>
              <w:rPr>
                <w:rFonts w:ascii="Arial" w:cs="Arial" w:eastAsia="Arial" w:hAnsi="Arial"/>
                <w:sz w:val="12"/>
                <w:szCs w:val="12"/>
                <w:color w:val="auto"/>
              </w:rPr>
              <w:t>$</w:t>
            </w:r>
          </w:p>
        </w:tc>
        <w:tc>
          <w:tcPr>
            <w:tcW w:w="1400" w:type="dxa"/>
            <w:vAlign w:val="bottom"/>
            <w:gridSpan w:val="2"/>
          </w:tcPr>
          <w:p>
            <w:pPr>
              <w:jc w:val="right"/>
              <w:ind w:right="120"/>
              <w:spacing w:after="0"/>
              <w:rPr>
                <w:sz w:val="20"/>
                <w:szCs w:val="20"/>
                <w:color w:val="auto"/>
              </w:rPr>
            </w:pPr>
            <w:r>
              <w:rPr>
                <w:rFonts w:ascii="Arial" w:cs="Arial" w:eastAsia="Arial" w:hAnsi="Arial"/>
                <w:sz w:val="12"/>
                <w:szCs w:val="12"/>
                <w:color w:val="auto"/>
              </w:rPr>
              <w:t>(212)</w:t>
            </w:r>
          </w:p>
        </w:tc>
        <w:tc>
          <w:tcPr>
            <w:tcW w:w="4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2200" w:type="dxa"/>
            <w:vAlign w:val="bottom"/>
          </w:tcPr>
          <w:p>
            <w:pPr>
              <w:jc w:val="right"/>
              <w:spacing w:after="0"/>
              <w:rPr>
                <w:sz w:val="20"/>
                <w:szCs w:val="20"/>
                <w:color w:val="auto"/>
              </w:rPr>
            </w:pPr>
            <w:r>
              <w:rPr>
                <w:rFonts w:ascii="Arial" w:cs="Arial" w:eastAsia="Arial" w:hAnsi="Arial"/>
                <w:sz w:val="12"/>
                <w:szCs w:val="12"/>
                <w:color w:val="auto"/>
              </w:rPr>
              <w:t>24,870</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440" w:type="dxa"/>
            <w:vAlign w:val="bottom"/>
            <w:shd w:val="clear" w:color="auto" w:fill="CFF0FC"/>
          </w:tcPr>
          <w:p>
            <w:pPr>
              <w:ind w:left="320"/>
              <w:spacing w:after="0"/>
              <w:rPr>
                <w:sz w:val="20"/>
                <w:szCs w:val="20"/>
                <w:color w:val="auto"/>
              </w:rPr>
            </w:pPr>
            <w:r>
              <w:rPr>
                <w:rFonts w:ascii="Arial" w:cs="Arial" w:eastAsia="Arial" w:hAnsi="Arial"/>
                <w:sz w:val="12"/>
                <w:szCs w:val="12"/>
                <w:color w:val="auto"/>
              </w:rPr>
              <w:t>Less: Income allocated to participating securities</w:t>
            </w:r>
          </w:p>
        </w:tc>
        <w:tc>
          <w:tcPr>
            <w:tcW w:w="14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56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(1,509)</w:t>
            </w:r>
          </w:p>
        </w:tc>
        <w:tc>
          <w:tcPr>
            <w:tcW w:w="12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40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(1,557)</w:t>
            </w:r>
          </w:p>
        </w:tc>
        <w:tc>
          <w:tcPr>
            <w:tcW w:w="10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23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(1,152)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440" w:type="dxa"/>
            <w:vAlign w:val="bottom"/>
          </w:tcPr>
          <w:p>
            <w:pPr>
              <w:ind w:left="480"/>
              <w:spacing w:after="0"/>
              <w:rPr>
                <w:sz w:val="20"/>
                <w:szCs w:val="20"/>
                <w:color w:val="auto"/>
              </w:rPr>
            </w:pPr>
            <w:r>
              <w:rPr>
                <w:rFonts w:ascii="Arial" w:cs="Arial" w:eastAsia="Arial" w:hAnsi="Arial"/>
                <w:sz w:val="12"/>
                <w:szCs w:val="12"/>
                <w:color w:val="auto"/>
              </w:rPr>
              <w:t>Dividends declared on convertible preferred stock</w:t>
            </w: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2"/>
                <w:szCs w:val="12"/>
                <w:color w:val="auto"/>
              </w:rPr>
              <w:t>(2,624)</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2"/>
                <w:szCs w:val="12"/>
                <w:color w:val="auto"/>
              </w:rPr>
              <w:t>(1,743)</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3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440" w:type="dxa"/>
            <w:vAlign w:val="bottom"/>
            <w:shd w:val="clear" w:color="auto" w:fill="CFF0FC"/>
          </w:tcPr>
          <w:p>
            <w:pPr>
              <w:ind w:left="480"/>
              <w:spacing w:after="0"/>
              <w:rPr>
                <w:sz w:val="20"/>
                <w:szCs w:val="20"/>
                <w:color w:val="auto"/>
              </w:rPr>
            </w:pPr>
            <w:r>
              <w:rPr>
                <w:rFonts w:ascii="Arial" w:cs="Arial" w:eastAsia="Arial" w:hAnsi="Arial"/>
                <w:sz w:val="12"/>
                <w:szCs w:val="12"/>
                <w:color w:val="auto"/>
              </w:rPr>
              <w:t>Amortization of discount on convertible preferred stock</w:t>
            </w:r>
          </w:p>
        </w:tc>
        <w:tc>
          <w:tcPr>
            <w:tcW w:w="14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56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(2,980)</w:t>
            </w:r>
          </w:p>
        </w:tc>
        <w:tc>
          <w:tcPr>
            <w:tcW w:w="12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40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(1,985)</w:t>
            </w:r>
          </w:p>
        </w:tc>
        <w:tc>
          <w:tcPr>
            <w:tcW w:w="10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232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440" w:type="dxa"/>
            <w:vAlign w:val="bottom"/>
          </w:tcPr>
          <w:p>
            <w:pPr>
              <w:ind w:left="480"/>
              <w:spacing w:after="0"/>
              <w:rPr>
                <w:sz w:val="20"/>
                <w:szCs w:val="20"/>
                <w:color w:val="auto"/>
              </w:rPr>
            </w:pPr>
            <w:r>
              <w:rPr>
                <w:rFonts w:ascii="Arial" w:cs="Arial" w:eastAsia="Arial" w:hAnsi="Arial"/>
                <w:sz w:val="12"/>
                <w:szCs w:val="12"/>
                <w:color w:val="auto"/>
                <w:w w:val="98"/>
              </w:rPr>
              <w:t>Mark-to-market gain on share settled contingent consideration arrangments</w:t>
            </w: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2"/>
                <w:szCs w:val="12"/>
                <w:color w:val="auto"/>
              </w:rPr>
              <w:t>(4,944)</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3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40" w:type="dxa"/>
            <w:vAlign w:val="bottom"/>
            <w:vMerge w:val="restart"/>
            <w:shd w:val="clear" w:color="auto" w:fill="CFF0FC"/>
          </w:tcPr>
          <w:p>
            <w:pPr>
              <w:ind w:left="160"/>
              <w:spacing w:after="0"/>
              <w:rPr>
                <w:sz w:val="20"/>
                <w:szCs w:val="20"/>
                <w:color w:val="auto"/>
              </w:rPr>
            </w:pPr>
            <w:r>
              <w:rPr>
                <w:rFonts w:ascii="Arial" w:cs="Arial" w:eastAsia="Arial" w:hAnsi="Arial"/>
                <w:sz w:val="12"/>
                <w:szCs w:val="12"/>
                <w:color w:val="auto"/>
              </w:rPr>
              <w:t>Net (loss) income attributable to common shares</w:t>
            </w:r>
          </w:p>
        </w:tc>
        <w:tc>
          <w:tcPr>
            <w:tcW w:w="14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440" w:type="dxa"/>
            <w:vAlign w:val="bottom"/>
            <w:vMerge w:val="continue"/>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40" w:type="dxa"/>
            <w:vAlign w:val="bottom"/>
            <w:shd w:val="clear" w:color="auto" w:fill="CFF0FC"/>
          </w:tcPr>
          <w:p>
            <w:pPr>
              <w:jc w:val="right"/>
              <w:ind w:right="330"/>
              <w:spacing w:after="0"/>
              <w:rPr>
                <w:sz w:val="20"/>
                <w:szCs w:val="20"/>
                <w:color w:val="auto"/>
              </w:rPr>
            </w:pPr>
            <w:r>
              <w:rPr>
                <w:rFonts w:ascii="Arial" w:cs="Arial" w:eastAsia="Arial" w:hAnsi="Arial"/>
                <w:sz w:val="10"/>
                <w:szCs w:val="10"/>
                <w:color w:val="auto"/>
                <w:w w:val="71"/>
              </w:rPr>
              <w:t>$</w:t>
            </w:r>
          </w:p>
        </w:tc>
        <w:tc>
          <w:tcPr>
            <w:tcW w:w="156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(21,496)</w:t>
            </w:r>
          </w:p>
        </w:tc>
        <w:tc>
          <w:tcPr>
            <w:tcW w:w="720" w:type="dxa"/>
            <w:vAlign w:val="bottom"/>
            <w:gridSpan w:val="2"/>
            <w:shd w:val="clear" w:color="auto" w:fill="CFF0FC"/>
          </w:tcPr>
          <w:p>
            <w:pPr>
              <w:jc w:val="right"/>
              <w:ind w:right="540"/>
              <w:spacing w:after="0"/>
              <w:rPr>
                <w:sz w:val="20"/>
                <w:szCs w:val="20"/>
                <w:color w:val="auto"/>
              </w:rPr>
            </w:pPr>
            <w:r>
              <w:rPr>
                <w:rFonts w:ascii="Arial" w:cs="Arial" w:eastAsia="Arial" w:hAnsi="Arial"/>
                <w:sz w:val="12"/>
                <w:szCs w:val="12"/>
                <w:color w:val="auto"/>
              </w:rPr>
              <w:t>$</w:t>
            </w:r>
          </w:p>
        </w:tc>
        <w:tc>
          <w:tcPr>
            <w:tcW w:w="140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(5,497)</w:t>
            </w:r>
          </w:p>
        </w:tc>
        <w:tc>
          <w:tcPr>
            <w:tcW w:w="460" w:type="dxa"/>
            <w:vAlign w:val="bottom"/>
            <w:gridSpan w:val="2"/>
            <w:shd w:val="clear" w:color="auto" w:fill="CFF0FC"/>
          </w:tcPr>
          <w:p>
            <w:pPr>
              <w:jc w:val="right"/>
              <w:ind w:right="300"/>
              <w:spacing w:after="0"/>
              <w:rPr>
                <w:sz w:val="20"/>
                <w:szCs w:val="20"/>
                <w:color w:val="auto"/>
              </w:rPr>
            </w:pPr>
            <w:r>
              <w:rPr>
                <w:rFonts w:ascii="Arial" w:cs="Arial" w:eastAsia="Arial" w:hAnsi="Arial"/>
                <w:sz w:val="12"/>
                <w:szCs w:val="12"/>
                <w:color w:val="auto"/>
              </w:rPr>
              <w:t>$</w:t>
            </w:r>
          </w:p>
        </w:tc>
        <w:tc>
          <w:tcPr>
            <w:tcW w:w="22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23,718</w:t>
            </w:r>
          </w:p>
        </w:tc>
        <w:tc>
          <w:tcPr>
            <w:tcW w:w="12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440" w:type="dxa"/>
            <w:vAlign w:val="bottom"/>
          </w:tcPr>
          <w:p>
            <w:pPr>
              <w:spacing w:after="0"/>
              <w:rPr>
                <w:sz w:val="20"/>
                <w:szCs w:val="20"/>
                <w:color w:val="auto"/>
              </w:rPr>
            </w:pPr>
            <w:r>
              <w:rPr>
                <w:rFonts w:ascii="Arial" w:cs="Arial" w:eastAsia="Arial" w:hAnsi="Arial"/>
                <w:sz w:val="12"/>
                <w:szCs w:val="12"/>
                <w:color w:val="auto"/>
              </w:rPr>
              <w:t>Denominator:</w:t>
            </w: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440" w:type="dxa"/>
            <w:vAlign w:val="bottom"/>
            <w:shd w:val="clear" w:color="auto" w:fill="CFF0FC"/>
          </w:tcPr>
          <w:p>
            <w:pPr>
              <w:ind w:left="160"/>
              <w:spacing w:after="0"/>
              <w:rPr>
                <w:sz w:val="20"/>
                <w:szCs w:val="20"/>
                <w:color w:val="auto"/>
              </w:rPr>
            </w:pPr>
            <w:r>
              <w:rPr>
                <w:rFonts w:ascii="Arial" w:cs="Arial" w:eastAsia="Arial" w:hAnsi="Arial"/>
                <w:sz w:val="12"/>
                <w:szCs w:val="12"/>
                <w:color w:val="auto"/>
              </w:rPr>
              <w:t>Basic weighted-average common shares outstanding</w:t>
            </w:r>
          </w:p>
        </w:tc>
        <w:tc>
          <w:tcPr>
            <w:tcW w:w="14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168,693</w:t>
            </w: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152,473</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22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149,835</w:t>
            </w: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440" w:type="dxa"/>
            <w:vAlign w:val="bottom"/>
          </w:tcPr>
          <w:p>
            <w:pPr>
              <w:ind w:left="320"/>
              <w:spacing w:after="0"/>
              <w:rPr>
                <w:sz w:val="20"/>
                <w:szCs w:val="20"/>
                <w:color w:val="auto"/>
              </w:rPr>
            </w:pPr>
            <w:r>
              <w:rPr>
                <w:rFonts w:ascii="Arial" w:cs="Arial" w:eastAsia="Arial" w:hAnsi="Arial"/>
                <w:sz w:val="12"/>
                <w:szCs w:val="12"/>
                <w:color w:val="auto"/>
              </w:rPr>
              <w:t>Contingent consideration (See Note 5)</w:t>
            </w: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296</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3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440" w:type="dxa"/>
            <w:vAlign w:val="bottom"/>
            <w:shd w:val="clear" w:color="auto" w:fill="CFF0FC"/>
          </w:tcPr>
          <w:p>
            <w:pPr>
              <w:ind w:left="320"/>
              <w:spacing w:after="0"/>
              <w:rPr>
                <w:sz w:val="20"/>
                <w:szCs w:val="20"/>
                <w:color w:val="auto"/>
              </w:rPr>
            </w:pPr>
            <w:r>
              <w:rPr>
                <w:rFonts w:ascii="Arial" w:cs="Arial" w:eastAsia="Arial" w:hAnsi="Arial"/>
                <w:sz w:val="12"/>
                <w:szCs w:val="12"/>
                <w:color w:val="auto"/>
              </w:rPr>
              <w:t>Effect of dilutive non-participating securities</w:t>
            </w:r>
          </w:p>
        </w:tc>
        <w:tc>
          <w:tcPr>
            <w:tcW w:w="14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56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232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440" w:type="dxa"/>
            <w:vAlign w:val="bottom"/>
            <w:tcBorders>
              <w:bottom w:val="single" w:sz="8" w:color="CFF0FC"/>
            </w:tcBorders>
          </w:tcPr>
          <w:p>
            <w:pPr>
              <w:ind w:left="160"/>
              <w:spacing w:after="0"/>
              <w:rPr>
                <w:sz w:val="20"/>
                <w:szCs w:val="20"/>
                <w:color w:val="auto"/>
              </w:rPr>
            </w:pPr>
            <w:r>
              <w:rPr>
                <w:rFonts w:ascii="Arial" w:cs="Arial" w:eastAsia="Arial" w:hAnsi="Arial"/>
                <w:sz w:val="12"/>
                <w:szCs w:val="12"/>
                <w:color w:val="auto"/>
              </w:rPr>
              <w:t>Weighted-average shares for dilutive earnings per common share</w:t>
            </w:r>
          </w:p>
        </w:tc>
        <w:tc>
          <w:tcPr>
            <w:tcW w:w="140" w:type="dxa"/>
            <w:vAlign w:val="bottom"/>
            <w:tcBorders>
              <w:bottom w:val="single" w:sz="8" w:color="CFF0FC"/>
            </w:tcBorders>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168,989</w:t>
            </w:r>
          </w:p>
        </w:tc>
        <w:tc>
          <w:tcPr>
            <w:tcW w:w="14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60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152,473</w:t>
            </w:r>
          </w:p>
        </w:tc>
        <w:tc>
          <w:tcPr>
            <w:tcW w:w="16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2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149,835</w:t>
            </w:r>
          </w:p>
        </w:tc>
        <w:tc>
          <w:tcPr>
            <w:tcW w:w="120" w:type="dxa"/>
            <w:vAlign w:val="bottom"/>
            <w:tcBorders>
              <w:bottom w:val="single" w:sz="8" w:color="CFF0F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40" w:type="dxa"/>
            <w:vAlign w:val="bottom"/>
            <w:shd w:val="clear" w:color="auto" w:fill="CFF0FC"/>
          </w:tcPr>
          <w:p>
            <w:pPr>
              <w:spacing w:after="0"/>
              <w:rPr>
                <w:sz w:val="20"/>
                <w:szCs w:val="20"/>
                <w:color w:val="auto"/>
              </w:rPr>
            </w:pPr>
            <w:r>
              <w:rPr>
                <w:rFonts w:ascii="Arial" w:cs="Arial" w:eastAsia="Arial" w:hAnsi="Arial"/>
                <w:sz w:val="12"/>
                <w:szCs w:val="12"/>
                <w:color w:val="auto"/>
              </w:rPr>
              <w:t>Dilutive (loss) earnings per common share</w:t>
            </w:r>
          </w:p>
        </w:tc>
        <w:tc>
          <w:tcPr>
            <w:tcW w:w="580" w:type="dxa"/>
            <w:vAlign w:val="bottom"/>
            <w:gridSpan w:val="2"/>
            <w:shd w:val="clear" w:color="auto" w:fill="CFF0FC"/>
          </w:tcPr>
          <w:p>
            <w:pPr>
              <w:jc w:val="right"/>
              <w:ind w:right="330"/>
              <w:spacing w:after="0"/>
              <w:rPr>
                <w:sz w:val="20"/>
                <w:szCs w:val="20"/>
                <w:color w:val="auto"/>
              </w:rPr>
            </w:pPr>
            <w:r>
              <w:rPr>
                <w:rFonts w:ascii="Arial" w:cs="Arial" w:eastAsia="Arial" w:hAnsi="Arial"/>
                <w:sz w:val="12"/>
                <w:szCs w:val="12"/>
                <w:color w:val="auto"/>
              </w:rPr>
              <w:t>$</w:t>
            </w:r>
          </w:p>
        </w:tc>
        <w:tc>
          <w:tcPr>
            <w:tcW w:w="156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(0.13)</w:t>
            </w:r>
          </w:p>
        </w:tc>
        <w:tc>
          <w:tcPr>
            <w:tcW w:w="720" w:type="dxa"/>
            <w:vAlign w:val="bottom"/>
            <w:gridSpan w:val="2"/>
            <w:shd w:val="clear" w:color="auto" w:fill="CFF0FC"/>
          </w:tcPr>
          <w:p>
            <w:pPr>
              <w:jc w:val="right"/>
              <w:ind w:right="540"/>
              <w:spacing w:after="0"/>
              <w:rPr>
                <w:sz w:val="20"/>
                <w:szCs w:val="20"/>
                <w:color w:val="auto"/>
              </w:rPr>
            </w:pPr>
            <w:r>
              <w:rPr>
                <w:rFonts w:ascii="Arial" w:cs="Arial" w:eastAsia="Arial" w:hAnsi="Arial"/>
                <w:sz w:val="12"/>
                <w:szCs w:val="12"/>
                <w:color w:val="auto"/>
              </w:rPr>
              <w:t>$</w:t>
            </w:r>
          </w:p>
        </w:tc>
        <w:tc>
          <w:tcPr>
            <w:tcW w:w="140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(0.04)</w:t>
            </w:r>
          </w:p>
        </w:tc>
        <w:tc>
          <w:tcPr>
            <w:tcW w:w="460" w:type="dxa"/>
            <w:vAlign w:val="bottom"/>
            <w:gridSpan w:val="2"/>
            <w:shd w:val="clear" w:color="auto" w:fill="CFF0FC"/>
          </w:tcPr>
          <w:p>
            <w:pPr>
              <w:jc w:val="right"/>
              <w:ind w:right="300"/>
              <w:spacing w:after="0"/>
              <w:rPr>
                <w:sz w:val="20"/>
                <w:szCs w:val="20"/>
                <w:color w:val="auto"/>
              </w:rPr>
            </w:pPr>
            <w:r>
              <w:rPr>
                <w:rFonts w:ascii="Arial" w:cs="Arial" w:eastAsia="Arial" w:hAnsi="Arial"/>
                <w:sz w:val="12"/>
                <w:szCs w:val="12"/>
                <w:color w:val="auto"/>
              </w:rPr>
              <w:t>$</w:t>
            </w:r>
          </w:p>
        </w:tc>
        <w:tc>
          <w:tcPr>
            <w:tcW w:w="22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0.16</w:t>
            </w:r>
          </w:p>
        </w:tc>
        <w:tc>
          <w:tcPr>
            <w:tcW w:w="12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12"/>
        </w:trPr>
        <w:tc>
          <w:tcPr>
            <w:tcW w:w="444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jc w:val="right"/>
              <w:ind w:right="582"/>
              <w:spacing w:after="0"/>
              <w:rPr>
                <w:sz w:val="20"/>
                <w:szCs w:val="20"/>
                <w:color w:val="auto"/>
              </w:rPr>
            </w:pPr>
            <w:r>
              <w:rPr>
                <w:rFonts w:ascii="Arial" w:cs="Arial" w:eastAsia="Arial" w:hAnsi="Arial"/>
                <w:sz w:val="12"/>
                <w:szCs w:val="12"/>
                <w:color w:val="auto"/>
              </w:rPr>
              <w:t>83</w:t>
            </w:r>
          </w:p>
        </w:tc>
        <w:tc>
          <w:tcPr>
            <w:tcW w:w="14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2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44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440" w:type="dxa"/>
            <w:vAlign w:val="bottom"/>
            <w:tcBorders>
              <w:bottom w:val="single" w:sz="8" w:color="9A9A9A"/>
            </w:tcBorders>
          </w:tcPr>
          <w:p>
            <w:pPr>
              <w:spacing w:after="0"/>
              <w:rPr>
                <w:sz w:val="6"/>
                <w:szCs w:val="6"/>
                <w:color w:val="auto"/>
              </w:rPr>
            </w:pPr>
          </w:p>
        </w:tc>
        <w:tc>
          <w:tcPr>
            <w:tcW w:w="142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124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220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7280275</wp:posOffset>
            </wp:positionH>
            <wp:positionV relativeFrom="paragraph">
              <wp:posOffset>-23495</wp:posOffset>
            </wp:positionV>
            <wp:extent cx="31115" cy="368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0"/>
          </w:cols>
          <w:pgMar w:left="220" w:top="131" w:right="179" w:bottom="1440" w:gutter="0" w:footer="0" w:header="0"/>
        </w:sectPr>
      </w:pPr>
    </w:p>
    <w:bookmarkStart w:id="83" w:name="page84"/>
    <w:bookmarkEnd w:id="83"/>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Uniti Group Inc.</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Notes to the Consolidated Financial Statements – Continued</w:t>
      </w:r>
    </w:p>
    <w:p>
      <w:pPr>
        <w:spacing w:after="0" w:line="29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13. Segment Information</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color w:val="auto"/>
        </w:rPr>
        <w:t>Our management, including our chief executive officer, who is our chief operating decision maker, manages our operations as four operating business segments in addition to our corporate operations and include:</w:t>
      </w:r>
    </w:p>
    <w:p>
      <w:pPr>
        <w:spacing w:after="0" w:line="150" w:lineRule="exact"/>
        <w:rPr>
          <w:sz w:val="20"/>
          <w:szCs w:val="20"/>
          <w:color w:val="auto"/>
        </w:rPr>
      </w:pPr>
    </w:p>
    <w:p>
      <w:pPr>
        <w:ind w:right="260"/>
        <w:spacing w:after="0" w:line="276" w:lineRule="auto"/>
        <w:rPr>
          <w:sz w:val="20"/>
          <w:szCs w:val="20"/>
          <w:color w:val="auto"/>
        </w:rPr>
      </w:pPr>
      <w:r>
        <w:rPr>
          <w:rFonts w:ascii="Arial" w:cs="Arial" w:eastAsia="Arial" w:hAnsi="Arial"/>
          <w:sz w:val="12"/>
          <w:szCs w:val="12"/>
          <w:i w:val="1"/>
          <w:iCs w:val="1"/>
          <w:u w:val="single" w:color="auto"/>
          <w:color w:val="auto"/>
        </w:rPr>
        <w:t>Leasing</w:t>
      </w:r>
      <w:r>
        <w:rPr>
          <w:rFonts w:ascii="Arial" w:cs="Arial" w:eastAsia="Arial" w:hAnsi="Arial"/>
          <w:sz w:val="12"/>
          <w:szCs w:val="12"/>
          <w:color w:val="auto"/>
        </w:rPr>
        <w:t>: Represents our REIT operations and includes the results from our leasing programs, Uniti Leasing, which is engaged in the acquisition of mission-critical communications assets and leasing them back to anchor customers on</w:t>
      </w:r>
      <w:r>
        <w:rPr>
          <w:rFonts w:ascii="Arial" w:cs="Arial" w:eastAsia="Arial" w:hAnsi="Arial"/>
          <w:sz w:val="12"/>
          <w:szCs w:val="12"/>
          <w:i w:val="1"/>
          <w:iCs w:val="1"/>
          <w:color w:val="auto"/>
        </w:rPr>
        <w:t xml:space="preserve"> </w:t>
      </w:r>
      <w:r>
        <w:rPr>
          <w:rFonts w:ascii="Arial" w:cs="Arial" w:eastAsia="Arial" w:hAnsi="Arial"/>
          <w:sz w:val="12"/>
          <w:szCs w:val="12"/>
          <w:color w:val="auto"/>
        </w:rPr>
        <w:t>either an exclusive or shared-tenant basis.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Fiber Infrastructure</w:t>
      </w:r>
      <w:r>
        <w:rPr>
          <w:rFonts w:ascii="Arial" w:cs="Arial" w:eastAsia="Arial" w:hAnsi="Arial"/>
          <w:sz w:val="12"/>
          <w:szCs w:val="12"/>
          <w:color w:val="auto"/>
        </w:rPr>
        <w:t>: Represents the operations of our fiber business, Uniti Fiber, which is a leading provider of infrastructure solutions, including cell site backhaul and dark fiber, to the telecommunications industry.</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Towers</w:t>
      </w:r>
      <w:r>
        <w:rPr>
          <w:rFonts w:ascii="Arial" w:cs="Arial" w:eastAsia="Arial" w:hAnsi="Arial"/>
          <w:sz w:val="12"/>
          <w:szCs w:val="12"/>
          <w:color w:val="auto"/>
        </w:rPr>
        <w:t>: Represents the operations of our towers business, Uniti Towers, through which we acquire and construct tower and tower-related real estate in the United States and Latin America.</w:t>
      </w:r>
    </w:p>
    <w:p>
      <w:pPr>
        <w:spacing w:after="0" w:line="150" w:lineRule="exact"/>
        <w:rPr>
          <w:sz w:val="20"/>
          <w:szCs w:val="20"/>
          <w:color w:val="auto"/>
        </w:rPr>
      </w:pPr>
    </w:p>
    <w:p>
      <w:pPr>
        <w:ind w:right="60"/>
        <w:spacing w:after="0" w:line="276" w:lineRule="auto"/>
        <w:rPr>
          <w:sz w:val="20"/>
          <w:szCs w:val="20"/>
          <w:color w:val="auto"/>
        </w:rPr>
      </w:pPr>
      <w:r>
        <w:rPr>
          <w:rFonts w:ascii="Arial" w:cs="Arial" w:eastAsia="Arial" w:hAnsi="Arial"/>
          <w:sz w:val="12"/>
          <w:szCs w:val="12"/>
          <w:i w:val="1"/>
          <w:iCs w:val="1"/>
          <w:u w:val="single" w:color="auto"/>
          <w:color w:val="auto"/>
        </w:rPr>
        <w:t>Consumer CLEC</w:t>
      </w:r>
      <w:r>
        <w:rPr>
          <w:rFonts w:ascii="Arial" w:cs="Arial" w:eastAsia="Arial" w:hAnsi="Arial"/>
          <w:sz w:val="12"/>
          <w:szCs w:val="12"/>
          <w:color w:val="auto"/>
        </w:rPr>
        <w:t>: Represents the operations of Talk America Services (“Talk America”) through which we operate the Consumer CLEC Business, that prior to the Spin-Off was reported as an integrated operation within Windstream. Talk</w:t>
      </w:r>
      <w:r>
        <w:rPr>
          <w:rFonts w:ascii="Arial" w:cs="Arial" w:eastAsia="Arial" w:hAnsi="Arial"/>
          <w:sz w:val="12"/>
          <w:szCs w:val="12"/>
          <w:i w:val="1"/>
          <w:iCs w:val="1"/>
          <w:color w:val="auto"/>
        </w:rPr>
        <w:t xml:space="preserve"> </w:t>
      </w:r>
      <w:r>
        <w:rPr>
          <w:rFonts w:ascii="Arial" w:cs="Arial" w:eastAsia="Arial" w:hAnsi="Arial"/>
          <w:sz w:val="12"/>
          <w:szCs w:val="12"/>
          <w:color w:val="auto"/>
        </w:rPr>
        <w:t>America provides local telephone, high-speed internet and long distance services to customers in the eastern and central United States.</w:t>
      </w:r>
    </w:p>
    <w:p>
      <w:pPr>
        <w:spacing w:after="0" w:line="115" w:lineRule="exact"/>
        <w:rPr>
          <w:sz w:val="20"/>
          <w:szCs w:val="20"/>
          <w:color w:val="auto"/>
        </w:rPr>
      </w:pPr>
    </w:p>
    <w:p>
      <w:pPr>
        <w:ind w:right="440"/>
        <w:spacing w:after="0" w:line="276" w:lineRule="auto"/>
        <w:rPr>
          <w:sz w:val="20"/>
          <w:szCs w:val="20"/>
          <w:color w:val="auto"/>
        </w:rPr>
      </w:pPr>
      <w:r>
        <w:rPr>
          <w:rFonts w:ascii="Arial" w:cs="Arial" w:eastAsia="Arial" w:hAnsi="Arial"/>
          <w:sz w:val="12"/>
          <w:szCs w:val="12"/>
          <w:i w:val="1"/>
          <w:iCs w:val="1"/>
          <w:u w:val="single" w:color="auto"/>
          <w:color w:val="auto"/>
        </w:rPr>
        <w:t>Corporate</w:t>
      </w:r>
      <w:r>
        <w:rPr>
          <w:rFonts w:ascii="Arial" w:cs="Arial" w:eastAsia="Arial" w:hAnsi="Arial"/>
          <w:sz w:val="12"/>
          <w:szCs w:val="12"/>
          <w:i w:val="1"/>
          <w:iCs w:val="1"/>
          <w:color w:val="auto"/>
        </w:rPr>
        <w:t xml:space="preserve">: </w:t>
      </w:r>
      <w:r>
        <w:rPr>
          <w:rFonts w:ascii="Arial" w:cs="Arial" w:eastAsia="Arial" w:hAnsi="Arial"/>
          <w:sz w:val="12"/>
          <w:szCs w:val="12"/>
          <w:color w:val="auto"/>
        </w:rPr>
        <w:t>Represents our corporate and back office functions. Certain costs and expenses, primarily related to headcount, insurance, professional fees and similar charges, that are directly attributable to operations of our business</w:t>
      </w:r>
      <w:r>
        <w:rPr>
          <w:rFonts w:ascii="Arial" w:cs="Arial" w:eastAsia="Arial" w:hAnsi="Arial"/>
          <w:sz w:val="12"/>
          <w:szCs w:val="12"/>
          <w:i w:val="1"/>
          <w:iCs w:val="1"/>
          <w:color w:val="auto"/>
        </w:rPr>
        <w:t xml:space="preserve"> </w:t>
      </w:r>
      <w:r>
        <w:rPr>
          <w:rFonts w:ascii="Arial" w:cs="Arial" w:eastAsia="Arial" w:hAnsi="Arial"/>
          <w:sz w:val="12"/>
          <w:szCs w:val="12"/>
          <w:color w:val="auto"/>
        </w:rPr>
        <w:t>segments are allocated to the respective segments.</w:t>
      </w:r>
    </w:p>
    <w:p>
      <w:pPr>
        <w:spacing w:after="0" w:line="43" w:lineRule="exact"/>
        <w:rPr>
          <w:sz w:val="20"/>
          <w:szCs w:val="20"/>
          <w:color w:val="auto"/>
        </w:rPr>
      </w:pPr>
    </w:p>
    <w:p>
      <w:pPr>
        <w:spacing w:after="0" w:line="257" w:lineRule="auto"/>
        <w:rPr>
          <w:sz w:val="20"/>
          <w:szCs w:val="20"/>
          <w:color w:val="auto"/>
        </w:rPr>
      </w:pPr>
      <w:r>
        <w:rPr>
          <w:rFonts w:ascii="Arial" w:cs="Arial" w:eastAsia="Arial" w:hAnsi="Arial"/>
          <w:sz w:val="12"/>
          <w:szCs w:val="12"/>
          <w:color w:val="auto"/>
        </w:rPr>
        <w:t>Management evaluates the performance of each segment using Adjusted EBITDA, which is a segment performance measure defined as net income determined in accordance with GAAP, before interest expense, provision for income taxes, depreciation and amortization, stock-based compensation expense, the impact, which may be recurring in nature, of transaction related expenses, the write off of unamortized deferred financing costs, costs incurred as a result of the early repayment of debt, changes in the fair value of contingent consideration and financial instruments, and other similar items. The Company believes that net income, as defined by GAAP, is the most appropriate earnings metric; however we believe that Adjusted EBITDA serves as a useful supplement to net income because it allows investors, analysts and management to evaluate the performance of our segments in a manner that is comparable period over period. Adjusted EBITDA should not be considered as an alternative to net income as determined in accordance with GAAP.</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131" w:right="219" w:bottom="1440" w:gutter="0" w:footer="0" w:header="0"/>
        </w:sectPr>
      </w:pPr>
    </w:p>
    <w:bookmarkStart w:id="84" w:name="page85"/>
    <w:bookmarkEnd w:id="84"/>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Uniti Group Inc.</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Notes to the Consolidated Financial Statements – Continued</w:t>
      </w:r>
    </w:p>
    <w:p>
      <w:pPr>
        <w:spacing w:after="0" w:line="303" w:lineRule="exact"/>
        <w:rPr>
          <w:sz w:val="20"/>
          <w:szCs w:val="20"/>
          <w:color w:val="auto"/>
        </w:rPr>
      </w:pPr>
    </w:p>
    <w:p>
      <w:pPr>
        <w:spacing w:after="0"/>
        <w:rPr>
          <w:sz w:val="20"/>
          <w:szCs w:val="20"/>
          <w:color w:val="auto"/>
        </w:rPr>
      </w:pPr>
      <w:r>
        <w:rPr>
          <w:rFonts w:ascii="Arial" w:cs="Arial" w:eastAsia="Arial" w:hAnsi="Arial"/>
          <w:sz w:val="12"/>
          <w:szCs w:val="12"/>
          <w:color w:val="auto"/>
        </w:rPr>
        <w:t>Selected financial data related to our segments is presented below for the years ended December 31, 2017 and 2016 and for the period from April 24, 2015 to December 31, 2015:</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260" w:type="dxa"/>
            <w:vAlign w:val="bottom"/>
            <w:tcBorders>
              <w:bottom w:val="single" w:sz="8" w:color="auto"/>
            </w:tcBorders>
            <w:gridSpan w:val="6"/>
          </w:tcPr>
          <w:p>
            <w:pPr>
              <w:jc w:val="right"/>
              <w:ind w:right="700"/>
              <w:spacing w:after="0"/>
              <w:rPr>
                <w:sz w:val="20"/>
                <w:szCs w:val="20"/>
                <w:color w:val="auto"/>
              </w:rPr>
            </w:pPr>
            <w:r>
              <w:rPr>
                <w:rFonts w:ascii="Arial" w:cs="Arial" w:eastAsia="Arial" w:hAnsi="Arial"/>
                <w:sz w:val="10"/>
                <w:szCs w:val="10"/>
                <w:b w:val="1"/>
                <w:bCs w:val="1"/>
                <w:color w:val="auto"/>
              </w:rPr>
              <w:t>Year Ended December 31, 2017</w:t>
            </w:r>
          </w:p>
        </w:tc>
        <w:tc>
          <w:tcPr>
            <w:tcW w:w="1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4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9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tcPr>
          <w:p>
            <w:pPr>
              <w:jc w:val="center"/>
              <w:ind w:right="42"/>
              <w:spacing w:after="0" w:line="83" w:lineRule="exact"/>
              <w:rPr>
                <w:sz w:val="20"/>
                <w:szCs w:val="20"/>
                <w:color w:val="auto"/>
              </w:rPr>
            </w:pPr>
            <w:r>
              <w:rPr>
                <w:rFonts w:ascii="Arial" w:cs="Arial" w:eastAsia="Arial" w:hAnsi="Arial"/>
                <w:sz w:val="8"/>
                <w:szCs w:val="8"/>
                <w:b w:val="1"/>
                <w:bCs w:val="1"/>
                <w:color w:val="auto"/>
              </w:rPr>
              <w:t>Total of Reportable</w:t>
            </w: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4220" w:type="dxa"/>
            <w:vAlign w:val="bottom"/>
            <w:tcBorders>
              <w:bottom w:val="single" w:sz="8" w:color="auto"/>
            </w:tcBorders>
          </w:tcPr>
          <w:p>
            <w:pPr>
              <w:spacing w:after="0" w:line="114" w:lineRule="exact"/>
              <w:rPr>
                <w:sz w:val="20"/>
                <w:szCs w:val="20"/>
                <w:color w:val="auto"/>
              </w:rPr>
            </w:pPr>
            <w:r>
              <w:rPr>
                <w:rFonts w:ascii="Arial" w:cs="Arial" w:eastAsia="Arial" w:hAnsi="Arial"/>
                <w:sz w:val="10"/>
                <w:szCs w:val="10"/>
                <w:color w:val="auto"/>
              </w:rPr>
              <w:t>(Thousands)</w:t>
            </w:r>
          </w:p>
        </w:tc>
        <w:tc>
          <w:tcPr>
            <w:tcW w:w="120" w:type="dxa"/>
            <w:vAlign w:val="bottom"/>
            <w:tcBorders>
              <w:bottom w:val="single" w:sz="8" w:color="CFF0FC"/>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jc w:val="right"/>
              <w:ind w:right="262"/>
              <w:spacing w:after="0" w:line="114" w:lineRule="exact"/>
              <w:rPr>
                <w:sz w:val="20"/>
                <w:szCs w:val="20"/>
                <w:color w:val="auto"/>
              </w:rPr>
            </w:pPr>
            <w:r>
              <w:rPr>
                <w:rFonts w:ascii="Arial" w:cs="Arial" w:eastAsia="Arial" w:hAnsi="Arial"/>
                <w:sz w:val="10"/>
                <w:szCs w:val="10"/>
                <w:b w:val="1"/>
                <w:bCs w:val="1"/>
                <w:color w:val="auto"/>
              </w:rPr>
              <w:t>Leasing</w:t>
            </w:r>
          </w:p>
        </w:tc>
        <w:tc>
          <w:tcPr>
            <w:tcW w:w="240" w:type="dxa"/>
            <w:vAlign w:val="bottom"/>
            <w:tcBorders>
              <w:bottom w:val="single" w:sz="8" w:color="CFF0FC"/>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jc w:val="right"/>
              <w:ind w:right="22"/>
              <w:spacing w:after="0" w:line="114" w:lineRule="exact"/>
              <w:rPr>
                <w:sz w:val="20"/>
                <w:szCs w:val="20"/>
                <w:color w:val="auto"/>
              </w:rPr>
            </w:pPr>
            <w:r>
              <w:rPr>
                <w:rFonts w:ascii="Arial" w:cs="Arial" w:eastAsia="Arial" w:hAnsi="Arial"/>
                <w:sz w:val="10"/>
                <w:szCs w:val="10"/>
                <w:b w:val="1"/>
                <w:bCs w:val="1"/>
                <w:color w:val="auto"/>
                <w:w w:val="86"/>
              </w:rPr>
              <w:t>Fiber Infrastructure</w:t>
            </w:r>
          </w:p>
        </w:tc>
        <w:tc>
          <w:tcPr>
            <w:tcW w:w="160" w:type="dxa"/>
            <w:vAlign w:val="bottom"/>
            <w:tcBorders>
              <w:bottom w:val="single" w:sz="8" w:color="CFF0FC"/>
            </w:tcBorders>
          </w:tcPr>
          <w:p>
            <w:pPr>
              <w:spacing w:after="0"/>
              <w:rPr>
                <w:sz w:val="9"/>
                <w:szCs w:val="9"/>
                <w:color w:val="auto"/>
              </w:rPr>
            </w:pPr>
          </w:p>
        </w:tc>
        <w:tc>
          <w:tcPr>
            <w:tcW w:w="60" w:type="dxa"/>
            <w:vAlign w:val="bottom"/>
            <w:tcBorders>
              <w:bottom w:val="single" w:sz="8" w:color="CFF0FC"/>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jc w:val="right"/>
              <w:ind w:right="283"/>
              <w:spacing w:after="0" w:line="114" w:lineRule="exact"/>
              <w:rPr>
                <w:sz w:val="20"/>
                <w:szCs w:val="20"/>
                <w:color w:val="auto"/>
              </w:rPr>
            </w:pPr>
            <w:r>
              <w:rPr>
                <w:rFonts w:ascii="Arial" w:cs="Arial" w:eastAsia="Arial" w:hAnsi="Arial"/>
                <w:sz w:val="10"/>
                <w:szCs w:val="10"/>
                <w:b w:val="1"/>
                <w:bCs w:val="1"/>
                <w:color w:val="auto"/>
              </w:rPr>
              <w:t>Towers</w:t>
            </w:r>
          </w:p>
        </w:tc>
        <w:tc>
          <w:tcPr>
            <w:tcW w:w="200" w:type="dxa"/>
            <w:vAlign w:val="bottom"/>
            <w:tcBorders>
              <w:bottom w:val="single" w:sz="8" w:color="CFF0FC"/>
            </w:tcBorders>
          </w:tcPr>
          <w:p>
            <w:pPr>
              <w:spacing w:after="0"/>
              <w:rPr>
                <w:sz w:val="9"/>
                <w:szCs w:val="9"/>
                <w:color w:val="auto"/>
              </w:rPr>
            </w:pPr>
          </w:p>
        </w:tc>
        <w:tc>
          <w:tcPr>
            <w:tcW w:w="80" w:type="dxa"/>
            <w:vAlign w:val="bottom"/>
            <w:tcBorders>
              <w:bottom w:val="single" w:sz="8" w:color="CFF0FC"/>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jc w:val="right"/>
              <w:ind w:right="62"/>
              <w:spacing w:after="0" w:line="114" w:lineRule="exact"/>
              <w:rPr>
                <w:sz w:val="20"/>
                <w:szCs w:val="20"/>
                <w:color w:val="auto"/>
              </w:rPr>
            </w:pPr>
            <w:r>
              <w:rPr>
                <w:rFonts w:ascii="Arial" w:cs="Arial" w:eastAsia="Arial" w:hAnsi="Arial"/>
                <w:sz w:val="10"/>
                <w:szCs w:val="10"/>
                <w:b w:val="1"/>
                <w:bCs w:val="1"/>
                <w:color w:val="auto"/>
                <w:w w:val="93"/>
              </w:rPr>
              <w:t>Consumer CLEC</w:t>
            </w:r>
          </w:p>
        </w:tc>
        <w:tc>
          <w:tcPr>
            <w:tcW w:w="240" w:type="dxa"/>
            <w:vAlign w:val="bottom"/>
            <w:tcBorders>
              <w:bottom w:val="single" w:sz="8" w:color="CFF0FC"/>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jc w:val="right"/>
              <w:ind w:right="222"/>
              <w:spacing w:after="0" w:line="114" w:lineRule="exact"/>
              <w:rPr>
                <w:sz w:val="20"/>
                <w:szCs w:val="20"/>
                <w:color w:val="auto"/>
              </w:rPr>
            </w:pPr>
            <w:r>
              <w:rPr>
                <w:rFonts w:ascii="Arial" w:cs="Arial" w:eastAsia="Arial" w:hAnsi="Arial"/>
                <w:sz w:val="10"/>
                <w:szCs w:val="10"/>
                <w:b w:val="1"/>
                <w:bCs w:val="1"/>
                <w:color w:val="auto"/>
              </w:rPr>
              <w:t>Corporate</w:t>
            </w:r>
          </w:p>
        </w:tc>
        <w:tc>
          <w:tcPr>
            <w:tcW w:w="120" w:type="dxa"/>
            <w:vAlign w:val="bottom"/>
            <w:tcBorders>
              <w:bottom w:val="single" w:sz="8" w:color="CFF0FC"/>
            </w:tcBorders>
          </w:tcPr>
          <w:p>
            <w:pPr>
              <w:spacing w:after="0"/>
              <w:rPr>
                <w:sz w:val="9"/>
                <w:szCs w:val="9"/>
                <w:color w:val="auto"/>
              </w:rPr>
            </w:pPr>
          </w:p>
        </w:tc>
        <w:tc>
          <w:tcPr>
            <w:tcW w:w="100" w:type="dxa"/>
            <w:vAlign w:val="bottom"/>
            <w:tcBorders>
              <w:bottom w:val="single" w:sz="8" w:color="CFF0FC"/>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jc w:val="center"/>
              <w:ind w:right="42"/>
              <w:spacing w:after="0" w:line="114" w:lineRule="exact"/>
              <w:rPr>
                <w:sz w:val="20"/>
                <w:szCs w:val="20"/>
                <w:color w:val="auto"/>
              </w:rPr>
            </w:pPr>
            <w:r>
              <w:rPr>
                <w:rFonts w:ascii="Arial" w:cs="Arial" w:eastAsia="Arial" w:hAnsi="Arial"/>
                <w:sz w:val="10"/>
                <w:szCs w:val="10"/>
                <w:b w:val="1"/>
                <w:bCs w:val="1"/>
                <w:color w:val="auto"/>
                <w:w w:val="83"/>
              </w:rPr>
              <w:t>Segments</w:t>
            </w:r>
          </w:p>
        </w:tc>
        <w:tc>
          <w:tcPr>
            <w:tcW w:w="120" w:type="dxa"/>
            <w:vAlign w:val="bottom"/>
            <w:tcBorders>
              <w:bottom w:val="single" w:sz="8" w:color="CFF0FC"/>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4220" w:type="dxa"/>
            <w:vAlign w:val="bottom"/>
            <w:shd w:val="clear" w:color="auto" w:fill="CFF0FC"/>
          </w:tcPr>
          <w:p>
            <w:pPr>
              <w:spacing w:after="0"/>
              <w:rPr>
                <w:sz w:val="20"/>
                <w:szCs w:val="20"/>
                <w:color w:val="auto"/>
              </w:rPr>
            </w:pPr>
            <w:r>
              <w:rPr>
                <w:rFonts w:ascii="Arial" w:cs="Arial" w:eastAsia="Arial" w:hAnsi="Arial"/>
                <w:sz w:val="12"/>
                <w:szCs w:val="12"/>
                <w:color w:val="auto"/>
              </w:rPr>
              <w:t>Revenues</w:t>
            </w:r>
          </w:p>
        </w:tc>
        <w:tc>
          <w:tcPr>
            <w:tcW w:w="30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685,099</w:t>
            </w: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202,791</w:t>
            </w:r>
          </w:p>
        </w:tc>
        <w:tc>
          <w:tcPr>
            <w:tcW w:w="160" w:type="dxa"/>
            <w:vAlign w:val="bottom"/>
            <w:shd w:val="clear" w:color="auto" w:fill="CFF0FC"/>
          </w:tcPr>
          <w:p>
            <w:pPr>
              <w:spacing w:after="0"/>
              <w:rPr>
                <w:sz w:val="12"/>
                <w:szCs w:val="12"/>
                <w:color w:val="auto"/>
              </w:rPr>
            </w:pPr>
          </w:p>
        </w:tc>
        <w:tc>
          <w:tcPr>
            <w:tcW w:w="26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10,055</w:t>
            </w:r>
          </w:p>
        </w:tc>
        <w:tc>
          <w:tcPr>
            <w:tcW w:w="200" w:type="dxa"/>
            <w:vAlign w:val="bottom"/>
            <w:shd w:val="clear" w:color="auto" w:fill="CFF0FC"/>
          </w:tcPr>
          <w:p>
            <w:pPr>
              <w:spacing w:after="0"/>
              <w:rPr>
                <w:sz w:val="12"/>
                <w:szCs w:val="12"/>
                <w:color w:val="auto"/>
              </w:rPr>
            </w:pPr>
          </w:p>
        </w:tc>
        <w:tc>
          <w:tcPr>
            <w:tcW w:w="16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18,087</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50"/>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2"/>
                <w:szCs w:val="12"/>
                <w:color w:val="auto"/>
              </w:rPr>
            </w:pP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916,032</w:t>
            </w:r>
          </w:p>
        </w:tc>
        <w:tc>
          <w:tcPr>
            <w:tcW w:w="12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220" w:type="dxa"/>
            <w:vAlign w:val="bottom"/>
            <w:shd w:val="clear" w:color="auto" w:fill="CFF0FC"/>
          </w:tcPr>
          <w:p>
            <w:pPr>
              <w:spacing w:after="0"/>
              <w:rPr>
                <w:sz w:val="20"/>
                <w:szCs w:val="20"/>
                <w:color w:val="auto"/>
              </w:rPr>
            </w:pPr>
            <w:r>
              <w:rPr>
                <w:rFonts w:ascii="Arial" w:cs="Arial" w:eastAsia="Arial" w:hAnsi="Arial"/>
                <w:sz w:val="12"/>
                <w:szCs w:val="12"/>
                <w:color w:val="auto"/>
              </w:rPr>
              <w:t>Adjusted EBITDA</w:t>
            </w:r>
          </w:p>
        </w:tc>
        <w:tc>
          <w:tcPr>
            <w:tcW w:w="30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683,651</w:t>
            </w:r>
          </w:p>
        </w:tc>
        <w:tc>
          <w:tcPr>
            <w:tcW w:w="240" w:type="dxa"/>
            <w:vAlign w:val="bottom"/>
            <w:shd w:val="clear" w:color="auto" w:fill="CFF0FC"/>
          </w:tcPr>
          <w:p>
            <w:pPr>
              <w:spacing w:after="0"/>
              <w:rPr>
                <w:sz w:val="13"/>
                <w:szCs w:val="13"/>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83,987</w:t>
            </w:r>
          </w:p>
        </w:tc>
        <w:tc>
          <w:tcPr>
            <w:tcW w:w="160" w:type="dxa"/>
            <w:vAlign w:val="bottom"/>
            <w:shd w:val="clear" w:color="auto" w:fill="CFF0FC"/>
          </w:tcPr>
          <w:p>
            <w:pPr>
              <w:spacing w:after="0"/>
              <w:rPr>
                <w:sz w:val="13"/>
                <w:szCs w:val="13"/>
                <w:color w:val="auto"/>
              </w:rPr>
            </w:pPr>
          </w:p>
        </w:tc>
        <w:tc>
          <w:tcPr>
            <w:tcW w:w="26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(831)</w:t>
            </w:r>
          </w:p>
        </w:tc>
        <w:tc>
          <w:tcPr>
            <w:tcW w:w="16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4,556</w:t>
            </w:r>
          </w:p>
        </w:tc>
        <w:tc>
          <w:tcPr>
            <w:tcW w:w="24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50"/>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(21,839)</w:t>
            </w: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749,524</w:t>
            </w: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220" w:type="dxa"/>
            <w:vAlign w:val="bottom"/>
          </w:tcPr>
          <w:p>
            <w:pPr>
              <w:spacing w:after="0"/>
              <w:rPr>
                <w:sz w:val="20"/>
                <w:szCs w:val="20"/>
                <w:color w:val="auto"/>
              </w:rPr>
            </w:pPr>
            <w:r>
              <w:rPr>
                <w:rFonts w:ascii="Arial" w:cs="Arial" w:eastAsia="Arial" w:hAnsi="Arial"/>
                <w:sz w:val="12"/>
                <w:szCs w:val="12"/>
                <w:color w:val="auto"/>
              </w:rPr>
              <w:t>Adjusted EBITDA margin</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2"/>
                <w:szCs w:val="12"/>
                <w:color w:val="auto"/>
              </w:rPr>
              <w:t>99.8%</w:t>
            </w:r>
          </w:p>
        </w:tc>
        <w:tc>
          <w:tcPr>
            <w:tcW w:w="60" w:type="dxa"/>
            <w:vAlign w:val="bottom"/>
          </w:tcPr>
          <w:p>
            <w:pPr>
              <w:spacing w:after="0"/>
              <w:rPr>
                <w:sz w:val="13"/>
                <w:szCs w:val="13"/>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2"/>
                <w:szCs w:val="12"/>
                <w:color w:val="auto"/>
              </w:rPr>
              <w:t>41.4%</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2"/>
                <w:szCs w:val="12"/>
                <w:color w:val="auto"/>
              </w:rPr>
              <w:t>(8.3%)</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2"/>
                <w:szCs w:val="12"/>
                <w:color w:val="auto"/>
              </w:rPr>
              <w:t>25.2%</w:t>
            </w:r>
          </w:p>
        </w:tc>
        <w:tc>
          <w:tcPr>
            <w:tcW w:w="1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2"/>
                <w:szCs w:val="12"/>
                <w:color w:val="auto"/>
              </w:rPr>
              <w:t>81.8%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220" w:type="dxa"/>
            <w:vAlign w:val="bottom"/>
            <w:shd w:val="clear" w:color="auto" w:fill="CFF0FC"/>
          </w:tcPr>
          <w:p>
            <w:pPr>
              <w:spacing w:after="0"/>
              <w:rPr>
                <w:sz w:val="20"/>
                <w:szCs w:val="20"/>
                <w:color w:val="auto"/>
              </w:rPr>
            </w:pPr>
            <w:r>
              <w:rPr>
                <w:rFonts w:ascii="Arial" w:cs="Arial" w:eastAsia="Arial" w:hAnsi="Arial"/>
                <w:sz w:val="12"/>
                <w:szCs w:val="12"/>
                <w:color w:val="auto"/>
              </w:rPr>
              <w:t>Less:</w:t>
            </w: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220" w:type="dxa"/>
            <w:vAlign w:val="bottom"/>
          </w:tcPr>
          <w:p>
            <w:pPr>
              <w:ind w:left="80"/>
              <w:spacing w:after="0"/>
              <w:rPr>
                <w:sz w:val="20"/>
                <w:szCs w:val="20"/>
                <w:color w:val="auto"/>
              </w:rPr>
            </w:pPr>
            <w:r>
              <w:rPr>
                <w:rFonts w:ascii="Arial" w:cs="Arial" w:eastAsia="Arial" w:hAnsi="Arial"/>
                <w:sz w:val="12"/>
                <w:szCs w:val="12"/>
                <w:color w:val="auto"/>
              </w:rPr>
              <w:t>Interest expense</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305,994</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220" w:type="dxa"/>
            <w:vAlign w:val="bottom"/>
            <w:shd w:val="clear" w:color="auto" w:fill="CFF0FC"/>
          </w:tcPr>
          <w:p>
            <w:pPr>
              <w:ind w:left="80"/>
              <w:spacing w:after="0"/>
              <w:rPr>
                <w:sz w:val="20"/>
                <w:szCs w:val="20"/>
                <w:color w:val="auto"/>
              </w:rPr>
            </w:pPr>
            <w:r>
              <w:rPr>
                <w:rFonts w:ascii="Arial" w:cs="Arial" w:eastAsia="Arial" w:hAnsi="Arial"/>
                <w:sz w:val="12"/>
                <w:szCs w:val="12"/>
                <w:color w:val="auto"/>
              </w:rPr>
              <w:t>Depreciation and amortization</w:t>
            </w: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347,999</w:t>
            </w:r>
          </w:p>
        </w:tc>
        <w:tc>
          <w:tcPr>
            <w:tcW w:w="2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78,307</w:t>
            </w:r>
          </w:p>
        </w:tc>
        <w:tc>
          <w:tcPr>
            <w:tcW w:w="1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4,907</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80" w:type="dxa"/>
            <w:vAlign w:val="bottom"/>
            <w:shd w:val="clear" w:color="auto" w:fill="CFF0FC"/>
          </w:tcPr>
          <w:p>
            <w:pPr>
              <w:jc w:val="right"/>
              <w:ind w:right="522"/>
              <w:spacing w:after="0"/>
              <w:rPr>
                <w:sz w:val="20"/>
                <w:szCs w:val="20"/>
                <w:color w:val="auto"/>
              </w:rPr>
            </w:pPr>
            <w:r>
              <w:rPr>
                <w:rFonts w:ascii="Arial" w:cs="Arial" w:eastAsia="Arial" w:hAnsi="Arial"/>
                <w:sz w:val="12"/>
                <w:szCs w:val="12"/>
                <w:color w:val="auto"/>
                <w:w w:val="93"/>
              </w:rPr>
              <w:t>2,607</w:t>
            </w:r>
          </w:p>
        </w:tc>
        <w:tc>
          <w:tcPr>
            <w:tcW w:w="2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385</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434,205</w:t>
            </w: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220" w:type="dxa"/>
            <w:vAlign w:val="bottom"/>
          </w:tcPr>
          <w:p>
            <w:pPr>
              <w:ind w:left="80"/>
              <w:spacing w:after="0"/>
              <w:rPr>
                <w:sz w:val="20"/>
                <w:szCs w:val="20"/>
                <w:color w:val="auto"/>
              </w:rPr>
            </w:pPr>
            <w:r>
              <w:rPr>
                <w:rFonts w:ascii="Arial" w:cs="Arial" w:eastAsia="Arial" w:hAnsi="Arial"/>
                <w:sz w:val="12"/>
                <w:szCs w:val="12"/>
                <w:color w:val="auto"/>
              </w:rPr>
              <w:t>Other expense</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11,284</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220" w:type="dxa"/>
            <w:vAlign w:val="bottom"/>
            <w:shd w:val="clear" w:color="auto" w:fill="CFF0FC"/>
          </w:tcPr>
          <w:p>
            <w:pPr>
              <w:ind w:left="80"/>
              <w:spacing w:after="0"/>
              <w:rPr>
                <w:sz w:val="20"/>
                <w:szCs w:val="20"/>
                <w:color w:val="auto"/>
              </w:rPr>
            </w:pPr>
            <w:r>
              <w:rPr>
                <w:rFonts w:ascii="Arial" w:cs="Arial" w:eastAsia="Arial" w:hAnsi="Arial"/>
                <w:sz w:val="12"/>
                <w:szCs w:val="12"/>
                <w:color w:val="auto"/>
              </w:rPr>
              <w:t>Transaction related costs</w:t>
            </w: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38,005</w:t>
            </w: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220" w:type="dxa"/>
            <w:vAlign w:val="bottom"/>
          </w:tcPr>
          <w:p>
            <w:pPr>
              <w:ind w:left="80"/>
              <w:spacing w:after="0"/>
              <w:rPr>
                <w:sz w:val="20"/>
                <w:szCs w:val="20"/>
                <w:color w:val="auto"/>
              </w:rPr>
            </w:pPr>
            <w:r>
              <w:rPr>
                <w:rFonts w:ascii="Arial" w:cs="Arial" w:eastAsia="Arial" w:hAnsi="Arial"/>
                <w:sz w:val="12"/>
                <w:szCs w:val="12"/>
                <w:color w:val="auto"/>
              </w:rPr>
              <w:t>Stock-based compensation</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7,713</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220" w:type="dxa"/>
            <w:vAlign w:val="bottom"/>
            <w:shd w:val="clear" w:color="auto" w:fill="CFF0FC"/>
          </w:tcPr>
          <w:p>
            <w:pPr>
              <w:ind w:left="80"/>
              <w:spacing w:after="0"/>
              <w:rPr>
                <w:sz w:val="20"/>
                <w:szCs w:val="20"/>
                <w:color w:val="auto"/>
              </w:rPr>
            </w:pPr>
            <w:r>
              <w:rPr>
                <w:rFonts w:ascii="Arial" w:cs="Arial" w:eastAsia="Arial" w:hAnsi="Arial"/>
                <w:sz w:val="12"/>
                <w:szCs w:val="12"/>
                <w:color w:val="auto"/>
              </w:rPr>
              <w:t>Income tax benefit</w:t>
            </w: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(38,849)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220" w:type="dxa"/>
            <w:vAlign w:val="bottom"/>
            <w:vMerge w:val="restart"/>
          </w:tcPr>
          <w:p>
            <w:pPr>
              <w:spacing w:after="0"/>
              <w:rPr>
                <w:sz w:val="20"/>
                <w:szCs w:val="20"/>
                <w:color w:val="auto"/>
              </w:rPr>
            </w:pPr>
            <w:r>
              <w:rPr>
                <w:rFonts w:ascii="Arial" w:cs="Arial" w:eastAsia="Arial" w:hAnsi="Arial"/>
                <w:sz w:val="12"/>
                <w:szCs w:val="12"/>
                <w:color w:val="auto"/>
              </w:rPr>
              <w:t>Net loss</w:t>
            </w: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2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2"/>
                <w:szCs w:val="12"/>
                <w:color w:val="auto"/>
              </w:rPr>
              <w:t>(8,828)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2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c>
          <w:tcPr>
            <w:tcW w:w="78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90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78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88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8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90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220" w:type="dxa"/>
            <w:vAlign w:val="bottom"/>
          </w:tcPr>
          <w:p>
            <w:pPr>
              <w:spacing w:after="0"/>
              <w:rPr>
                <w:sz w:val="20"/>
                <w:szCs w:val="20"/>
                <w:color w:val="auto"/>
              </w:rPr>
            </w:pPr>
            <w:r>
              <w:rPr>
                <w:rFonts w:ascii="Arial" w:cs="Arial" w:eastAsia="Arial" w:hAnsi="Arial"/>
                <w:sz w:val="12"/>
                <w:szCs w:val="12"/>
                <w:color w:val="auto"/>
              </w:rPr>
              <w:t xml:space="preserve">Capital expenditures </w:t>
            </w:r>
            <w:r>
              <w:rPr>
                <w:rFonts w:ascii="Arial" w:cs="Arial" w:eastAsia="Arial" w:hAnsi="Arial"/>
                <w:sz w:val="10"/>
                <w:szCs w:val="10"/>
                <w:color w:val="auto"/>
              </w:rPr>
              <w:t>(1)</w:t>
            </w:r>
          </w:p>
        </w:tc>
        <w:tc>
          <w:tcPr>
            <w:tcW w:w="3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152,918</w:t>
            </w:r>
          </w:p>
        </w:tc>
        <w:tc>
          <w:tcPr>
            <w:tcW w:w="160" w:type="dxa"/>
            <w:vAlign w:val="bottom"/>
          </w:tcPr>
          <w:p>
            <w:pPr>
              <w:spacing w:after="0"/>
              <w:rPr>
                <w:sz w:val="13"/>
                <w:szCs w:val="13"/>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104,540</w:t>
            </w:r>
          </w:p>
        </w:tc>
        <w:tc>
          <w:tcPr>
            <w:tcW w:w="200" w:type="dxa"/>
            <w:vAlign w:val="bottom"/>
          </w:tcPr>
          <w:p>
            <w:pPr>
              <w:spacing w:after="0"/>
              <w:rPr>
                <w:sz w:val="13"/>
                <w:szCs w:val="13"/>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63</w:t>
            </w:r>
          </w:p>
        </w:tc>
        <w:tc>
          <w:tcPr>
            <w:tcW w:w="120" w:type="dxa"/>
            <w:vAlign w:val="bottom"/>
          </w:tcPr>
          <w:p>
            <w:pPr>
              <w:spacing w:after="0"/>
              <w:rPr>
                <w:sz w:val="13"/>
                <w:szCs w:val="13"/>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257,521</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6"/>
        </w:trPr>
        <w:tc>
          <w:tcPr>
            <w:tcW w:w="4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6"/>
          </w:tcPr>
          <w:p>
            <w:pPr>
              <w:jc w:val="right"/>
              <w:ind w:right="700"/>
              <w:spacing w:after="0"/>
              <w:rPr>
                <w:sz w:val="20"/>
                <w:szCs w:val="20"/>
                <w:color w:val="auto"/>
              </w:rPr>
            </w:pPr>
            <w:r>
              <w:rPr>
                <w:rFonts w:ascii="Arial" w:cs="Arial" w:eastAsia="Arial" w:hAnsi="Arial"/>
                <w:sz w:val="10"/>
                <w:szCs w:val="10"/>
                <w:b w:val="1"/>
                <w:bCs w:val="1"/>
                <w:color w:val="auto"/>
              </w:rPr>
              <w:t>Year Ended December 31, 2016</w:t>
            </w: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4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9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tcPr>
          <w:p>
            <w:pPr>
              <w:jc w:val="center"/>
              <w:ind w:right="42"/>
              <w:spacing w:after="0" w:line="83" w:lineRule="exact"/>
              <w:rPr>
                <w:sz w:val="20"/>
                <w:szCs w:val="20"/>
                <w:color w:val="auto"/>
              </w:rPr>
            </w:pPr>
            <w:r>
              <w:rPr>
                <w:rFonts w:ascii="Arial" w:cs="Arial" w:eastAsia="Arial" w:hAnsi="Arial"/>
                <w:sz w:val="8"/>
                <w:szCs w:val="8"/>
                <w:b w:val="1"/>
                <w:bCs w:val="1"/>
                <w:color w:val="auto"/>
              </w:rPr>
              <w:t>Total of Reportable</w:t>
            </w: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4220" w:type="dxa"/>
            <w:vAlign w:val="bottom"/>
            <w:tcBorders>
              <w:bottom w:val="single" w:sz="8" w:color="auto"/>
            </w:tcBorders>
          </w:tcPr>
          <w:p>
            <w:pPr>
              <w:spacing w:after="0" w:line="114" w:lineRule="exact"/>
              <w:rPr>
                <w:sz w:val="20"/>
                <w:szCs w:val="20"/>
                <w:color w:val="auto"/>
              </w:rPr>
            </w:pPr>
            <w:r>
              <w:rPr>
                <w:rFonts w:ascii="Arial" w:cs="Arial" w:eastAsia="Arial" w:hAnsi="Arial"/>
                <w:sz w:val="10"/>
                <w:szCs w:val="10"/>
                <w:color w:val="auto"/>
              </w:rPr>
              <w:t>(Thousands)</w:t>
            </w:r>
          </w:p>
        </w:tc>
        <w:tc>
          <w:tcPr>
            <w:tcW w:w="120" w:type="dxa"/>
            <w:vAlign w:val="bottom"/>
            <w:tcBorders>
              <w:bottom w:val="single" w:sz="8" w:color="CFF0FC"/>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jc w:val="right"/>
              <w:ind w:right="262"/>
              <w:spacing w:after="0" w:line="114" w:lineRule="exact"/>
              <w:rPr>
                <w:sz w:val="20"/>
                <w:szCs w:val="20"/>
                <w:color w:val="auto"/>
              </w:rPr>
            </w:pPr>
            <w:r>
              <w:rPr>
                <w:rFonts w:ascii="Arial" w:cs="Arial" w:eastAsia="Arial" w:hAnsi="Arial"/>
                <w:sz w:val="10"/>
                <w:szCs w:val="10"/>
                <w:b w:val="1"/>
                <w:bCs w:val="1"/>
                <w:color w:val="auto"/>
              </w:rPr>
              <w:t>Leasing</w:t>
            </w:r>
          </w:p>
        </w:tc>
        <w:tc>
          <w:tcPr>
            <w:tcW w:w="240" w:type="dxa"/>
            <w:vAlign w:val="bottom"/>
            <w:tcBorders>
              <w:bottom w:val="single" w:sz="8" w:color="CFF0FC"/>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jc w:val="right"/>
              <w:ind w:right="22"/>
              <w:spacing w:after="0" w:line="114" w:lineRule="exact"/>
              <w:rPr>
                <w:sz w:val="20"/>
                <w:szCs w:val="20"/>
                <w:color w:val="auto"/>
              </w:rPr>
            </w:pPr>
            <w:r>
              <w:rPr>
                <w:rFonts w:ascii="Arial" w:cs="Arial" w:eastAsia="Arial" w:hAnsi="Arial"/>
                <w:sz w:val="10"/>
                <w:szCs w:val="10"/>
                <w:b w:val="1"/>
                <w:bCs w:val="1"/>
                <w:color w:val="auto"/>
                <w:w w:val="86"/>
              </w:rPr>
              <w:t>Fiber Infrastructure</w:t>
            </w:r>
          </w:p>
        </w:tc>
        <w:tc>
          <w:tcPr>
            <w:tcW w:w="160" w:type="dxa"/>
            <w:vAlign w:val="bottom"/>
            <w:tcBorders>
              <w:bottom w:val="single" w:sz="8" w:color="CFF0FC"/>
            </w:tcBorders>
          </w:tcPr>
          <w:p>
            <w:pPr>
              <w:spacing w:after="0"/>
              <w:rPr>
                <w:sz w:val="9"/>
                <w:szCs w:val="9"/>
                <w:color w:val="auto"/>
              </w:rPr>
            </w:pPr>
          </w:p>
        </w:tc>
        <w:tc>
          <w:tcPr>
            <w:tcW w:w="60" w:type="dxa"/>
            <w:vAlign w:val="bottom"/>
            <w:tcBorders>
              <w:bottom w:val="single" w:sz="8" w:color="CFF0FC"/>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jc w:val="right"/>
              <w:ind w:right="283"/>
              <w:spacing w:after="0" w:line="114" w:lineRule="exact"/>
              <w:rPr>
                <w:sz w:val="20"/>
                <w:szCs w:val="20"/>
                <w:color w:val="auto"/>
              </w:rPr>
            </w:pPr>
            <w:r>
              <w:rPr>
                <w:rFonts w:ascii="Arial" w:cs="Arial" w:eastAsia="Arial" w:hAnsi="Arial"/>
                <w:sz w:val="10"/>
                <w:szCs w:val="10"/>
                <w:b w:val="1"/>
                <w:bCs w:val="1"/>
                <w:color w:val="auto"/>
              </w:rPr>
              <w:t>Towers</w:t>
            </w:r>
          </w:p>
        </w:tc>
        <w:tc>
          <w:tcPr>
            <w:tcW w:w="200" w:type="dxa"/>
            <w:vAlign w:val="bottom"/>
            <w:tcBorders>
              <w:bottom w:val="single" w:sz="8" w:color="CFF0FC"/>
            </w:tcBorders>
          </w:tcPr>
          <w:p>
            <w:pPr>
              <w:spacing w:after="0"/>
              <w:rPr>
                <w:sz w:val="9"/>
                <w:szCs w:val="9"/>
                <w:color w:val="auto"/>
              </w:rPr>
            </w:pPr>
          </w:p>
        </w:tc>
        <w:tc>
          <w:tcPr>
            <w:tcW w:w="80" w:type="dxa"/>
            <w:vAlign w:val="bottom"/>
            <w:tcBorders>
              <w:bottom w:val="single" w:sz="8" w:color="CFF0FC"/>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jc w:val="right"/>
              <w:ind w:right="62"/>
              <w:spacing w:after="0" w:line="114" w:lineRule="exact"/>
              <w:rPr>
                <w:sz w:val="20"/>
                <w:szCs w:val="20"/>
                <w:color w:val="auto"/>
              </w:rPr>
            </w:pPr>
            <w:r>
              <w:rPr>
                <w:rFonts w:ascii="Arial" w:cs="Arial" w:eastAsia="Arial" w:hAnsi="Arial"/>
                <w:sz w:val="10"/>
                <w:szCs w:val="10"/>
                <w:b w:val="1"/>
                <w:bCs w:val="1"/>
                <w:color w:val="auto"/>
                <w:w w:val="93"/>
              </w:rPr>
              <w:t>Consumer CLEC</w:t>
            </w:r>
          </w:p>
        </w:tc>
        <w:tc>
          <w:tcPr>
            <w:tcW w:w="240" w:type="dxa"/>
            <w:vAlign w:val="bottom"/>
            <w:tcBorders>
              <w:bottom w:val="single" w:sz="8" w:color="CFF0FC"/>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jc w:val="right"/>
              <w:ind w:right="222"/>
              <w:spacing w:after="0" w:line="114" w:lineRule="exact"/>
              <w:rPr>
                <w:sz w:val="20"/>
                <w:szCs w:val="20"/>
                <w:color w:val="auto"/>
              </w:rPr>
            </w:pPr>
            <w:r>
              <w:rPr>
                <w:rFonts w:ascii="Arial" w:cs="Arial" w:eastAsia="Arial" w:hAnsi="Arial"/>
                <w:sz w:val="10"/>
                <w:szCs w:val="10"/>
                <w:b w:val="1"/>
                <w:bCs w:val="1"/>
                <w:color w:val="auto"/>
              </w:rPr>
              <w:t>Corporate</w:t>
            </w:r>
          </w:p>
        </w:tc>
        <w:tc>
          <w:tcPr>
            <w:tcW w:w="120" w:type="dxa"/>
            <w:vAlign w:val="bottom"/>
            <w:tcBorders>
              <w:bottom w:val="single" w:sz="8" w:color="CFF0FC"/>
            </w:tcBorders>
          </w:tcPr>
          <w:p>
            <w:pPr>
              <w:spacing w:after="0"/>
              <w:rPr>
                <w:sz w:val="9"/>
                <w:szCs w:val="9"/>
                <w:color w:val="auto"/>
              </w:rPr>
            </w:pPr>
          </w:p>
        </w:tc>
        <w:tc>
          <w:tcPr>
            <w:tcW w:w="100" w:type="dxa"/>
            <w:vAlign w:val="bottom"/>
            <w:tcBorders>
              <w:bottom w:val="single" w:sz="8" w:color="CFF0FC"/>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jc w:val="center"/>
              <w:ind w:right="42"/>
              <w:spacing w:after="0" w:line="114" w:lineRule="exact"/>
              <w:rPr>
                <w:sz w:val="20"/>
                <w:szCs w:val="20"/>
                <w:color w:val="auto"/>
              </w:rPr>
            </w:pPr>
            <w:r>
              <w:rPr>
                <w:rFonts w:ascii="Arial" w:cs="Arial" w:eastAsia="Arial" w:hAnsi="Arial"/>
                <w:sz w:val="10"/>
                <w:szCs w:val="10"/>
                <w:b w:val="1"/>
                <w:bCs w:val="1"/>
                <w:color w:val="auto"/>
                <w:w w:val="83"/>
              </w:rPr>
              <w:t>Segments</w:t>
            </w:r>
          </w:p>
        </w:tc>
        <w:tc>
          <w:tcPr>
            <w:tcW w:w="120" w:type="dxa"/>
            <w:vAlign w:val="bottom"/>
            <w:tcBorders>
              <w:bottom w:val="single" w:sz="8" w:color="CFF0FC"/>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4220" w:type="dxa"/>
            <w:vAlign w:val="bottom"/>
            <w:shd w:val="clear" w:color="auto" w:fill="CFF0FC"/>
          </w:tcPr>
          <w:p>
            <w:pPr>
              <w:spacing w:after="0"/>
              <w:rPr>
                <w:sz w:val="20"/>
                <w:szCs w:val="20"/>
                <w:color w:val="auto"/>
              </w:rPr>
            </w:pPr>
            <w:r>
              <w:rPr>
                <w:rFonts w:ascii="Arial" w:cs="Arial" w:eastAsia="Arial" w:hAnsi="Arial"/>
                <w:sz w:val="12"/>
                <w:szCs w:val="12"/>
                <w:color w:val="auto"/>
              </w:rPr>
              <w:t>Revenues</w:t>
            </w:r>
          </w:p>
        </w:tc>
        <w:tc>
          <w:tcPr>
            <w:tcW w:w="30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676,868</w:t>
            </w: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70,568</w:t>
            </w:r>
          </w:p>
        </w:tc>
        <w:tc>
          <w:tcPr>
            <w:tcW w:w="160" w:type="dxa"/>
            <w:vAlign w:val="bottom"/>
            <w:shd w:val="clear" w:color="auto" w:fill="CFF0FC"/>
          </w:tcPr>
          <w:p>
            <w:pPr>
              <w:spacing w:after="0"/>
              <w:rPr>
                <w:sz w:val="12"/>
                <w:szCs w:val="12"/>
                <w:color w:val="auto"/>
              </w:rPr>
            </w:pPr>
          </w:p>
        </w:tc>
        <w:tc>
          <w:tcPr>
            <w:tcW w:w="26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500</w:t>
            </w:r>
          </w:p>
        </w:tc>
        <w:tc>
          <w:tcPr>
            <w:tcW w:w="200" w:type="dxa"/>
            <w:vAlign w:val="bottom"/>
            <w:shd w:val="clear" w:color="auto" w:fill="CFF0FC"/>
          </w:tcPr>
          <w:p>
            <w:pPr>
              <w:spacing w:after="0"/>
              <w:rPr>
                <w:sz w:val="12"/>
                <w:szCs w:val="12"/>
                <w:color w:val="auto"/>
              </w:rPr>
            </w:pPr>
          </w:p>
        </w:tc>
        <w:tc>
          <w:tcPr>
            <w:tcW w:w="16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22,472</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50"/>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2"/>
                <w:szCs w:val="12"/>
                <w:color w:val="auto"/>
              </w:rPr>
            </w:pP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770,408</w:t>
            </w:r>
          </w:p>
        </w:tc>
        <w:tc>
          <w:tcPr>
            <w:tcW w:w="12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220" w:type="dxa"/>
            <w:vAlign w:val="bottom"/>
          </w:tcPr>
          <w:p>
            <w:pPr>
              <w:spacing w:after="0"/>
              <w:rPr>
                <w:sz w:val="13"/>
                <w:szCs w:val="13"/>
                <w:color w:val="auto"/>
              </w:rPr>
            </w:pPr>
          </w:p>
        </w:tc>
        <w:tc>
          <w:tcPr>
            <w:tcW w:w="300" w:type="dxa"/>
            <w:vAlign w:val="bottom"/>
            <w:gridSpan w:val="2"/>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gridSpan w:val="2"/>
          </w:tcPr>
          <w:p>
            <w:pPr>
              <w:spacing w:after="0"/>
              <w:rPr>
                <w:sz w:val="13"/>
                <w:szCs w:val="13"/>
                <w:color w:val="auto"/>
              </w:rPr>
            </w:pPr>
          </w:p>
        </w:tc>
        <w:tc>
          <w:tcPr>
            <w:tcW w:w="980" w:type="dxa"/>
            <w:vAlign w:val="bottom"/>
            <w:gridSpan w:val="2"/>
          </w:tcPr>
          <w:p>
            <w:pPr>
              <w:spacing w:after="0"/>
              <w:rPr>
                <w:sz w:val="13"/>
                <w:szCs w:val="13"/>
                <w:color w:val="auto"/>
              </w:rPr>
            </w:pPr>
          </w:p>
        </w:tc>
        <w:tc>
          <w:tcPr>
            <w:tcW w:w="160" w:type="dxa"/>
            <w:vAlign w:val="bottom"/>
            <w:gridSpan w:val="2"/>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spacing w:after="0"/>
              <w:rPr>
                <w:sz w:val="13"/>
                <w:szCs w:val="13"/>
                <w:color w:val="auto"/>
              </w:rPr>
            </w:pPr>
          </w:p>
        </w:tc>
        <w:tc>
          <w:tcPr>
            <w:tcW w:w="180" w:type="dxa"/>
            <w:vAlign w:val="bottom"/>
            <w:gridSpan w:val="2"/>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220" w:type="dxa"/>
            <w:vAlign w:val="bottom"/>
            <w:shd w:val="clear" w:color="auto" w:fill="CFF0FC"/>
          </w:tcPr>
          <w:p>
            <w:pPr>
              <w:spacing w:after="0"/>
              <w:rPr>
                <w:sz w:val="20"/>
                <w:szCs w:val="20"/>
                <w:color w:val="auto"/>
              </w:rPr>
            </w:pPr>
            <w:r>
              <w:rPr>
                <w:rFonts w:ascii="Arial" w:cs="Arial" w:eastAsia="Arial" w:hAnsi="Arial"/>
                <w:sz w:val="12"/>
                <w:szCs w:val="12"/>
                <w:color w:val="auto"/>
              </w:rPr>
              <w:t>Adjusted EBITDA</w:t>
            </w:r>
          </w:p>
        </w:tc>
        <w:tc>
          <w:tcPr>
            <w:tcW w:w="30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675,114</w:t>
            </w:r>
          </w:p>
        </w:tc>
        <w:tc>
          <w:tcPr>
            <w:tcW w:w="240" w:type="dxa"/>
            <w:vAlign w:val="bottom"/>
            <w:shd w:val="clear" w:color="auto" w:fill="CFF0FC"/>
          </w:tcPr>
          <w:p>
            <w:pPr>
              <w:spacing w:after="0"/>
              <w:rPr>
                <w:sz w:val="13"/>
                <w:szCs w:val="13"/>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25,912</w:t>
            </w:r>
          </w:p>
        </w:tc>
        <w:tc>
          <w:tcPr>
            <w:tcW w:w="160" w:type="dxa"/>
            <w:vAlign w:val="bottom"/>
            <w:shd w:val="clear" w:color="auto" w:fill="CFF0FC"/>
          </w:tcPr>
          <w:p>
            <w:pPr>
              <w:spacing w:after="0"/>
              <w:rPr>
                <w:sz w:val="13"/>
                <w:szCs w:val="13"/>
                <w:color w:val="auto"/>
              </w:rPr>
            </w:pPr>
          </w:p>
        </w:tc>
        <w:tc>
          <w:tcPr>
            <w:tcW w:w="26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(1,123)</w:t>
            </w:r>
          </w:p>
        </w:tc>
        <w:tc>
          <w:tcPr>
            <w:tcW w:w="16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5,074</w:t>
            </w:r>
          </w:p>
        </w:tc>
        <w:tc>
          <w:tcPr>
            <w:tcW w:w="24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50"/>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(14,793)</w:t>
            </w: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690,184</w:t>
            </w: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220" w:type="dxa"/>
            <w:vAlign w:val="bottom"/>
          </w:tcPr>
          <w:p>
            <w:pPr>
              <w:spacing w:after="0"/>
              <w:rPr>
                <w:sz w:val="20"/>
                <w:szCs w:val="20"/>
                <w:color w:val="auto"/>
              </w:rPr>
            </w:pPr>
            <w:r>
              <w:rPr>
                <w:rFonts w:ascii="Arial" w:cs="Arial" w:eastAsia="Arial" w:hAnsi="Arial"/>
                <w:sz w:val="12"/>
                <w:szCs w:val="12"/>
                <w:color w:val="auto"/>
              </w:rPr>
              <w:t>Adjusted EBITDA margin</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2"/>
                <w:szCs w:val="12"/>
                <w:color w:val="auto"/>
              </w:rPr>
              <w:t>99.7%</w:t>
            </w:r>
          </w:p>
        </w:tc>
        <w:tc>
          <w:tcPr>
            <w:tcW w:w="60" w:type="dxa"/>
            <w:vAlign w:val="bottom"/>
          </w:tcPr>
          <w:p>
            <w:pPr>
              <w:spacing w:after="0"/>
              <w:rPr>
                <w:sz w:val="13"/>
                <w:szCs w:val="13"/>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2"/>
                <w:szCs w:val="12"/>
                <w:color w:val="auto"/>
              </w:rPr>
              <w:t>36.7%</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2"/>
                <w:szCs w:val="12"/>
                <w:color w:val="auto"/>
              </w:rPr>
              <w:t>(224.6%)</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2"/>
                <w:szCs w:val="12"/>
                <w:color w:val="auto"/>
              </w:rPr>
              <w:t>22.6%</w:t>
            </w:r>
          </w:p>
        </w:tc>
        <w:tc>
          <w:tcPr>
            <w:tcW w:w="1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2"/>
                <w:szCs w:val="12"/>
                <w:color w:val="auto"/>
              </w:rPr>
              <w:t>89.6%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220" w:type="dxa"/>
            <w:vAlign w:val="bottom"/>
            <w:shd w:val="clear" w:color="auto" w:fill="CFF0FC"/>
          </w:tcPr>
          <w:p>
            <w:pPr>
              <w:spacing w:after="0"/>
              <w:rPr>
                <w:sz w:val="20"/>
                <w:szCs w:val="20"/>
                <w:color w:val="auto"/>
              </w:rPr>
            </w:pPr>
            <w:r>
              <w:rPr>
                <w:rFonts w:ascii="Arial" w:cs="Arial" w:eastAsia="Arial" w:hAnsi="Arial"/>
                <w:sz w:val="12"/>
                <w:szCs w:val="12"/>
                <w:color w:val="auto"/>
              </w:rPr>
              <w:t>Less:</w:t>
            </w: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220" w:type="dxa"/>
            <w:vAlign w:val="bottom"/>
          </w:tcPr>
          <w:p>
            <w:pPr>
              <w:ind w:left="80"/>
              <w:spacing w:after="0"/>
              <w:rPr>
                <w:sz w:val="20"/>
                <w:szCs w:val="20"/>
                <w:color w:val="auto"/>
              </w:rPr>
            </w:pPr>
            <w:r>
              <w:rPr>
                <w:rFonts w:ascii="Arial" w:cs="Arial" w:eastAsia="Arial" w:hAnsi="Arial"/>
                <w:sz w:val="12"/>
                <w:szCs w:val="12"/>
                <w:color w:val="auto"/>
              </w:rPr>
              <w:t>Interest expense</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275,394</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220" w:type="dxa"/>
            <w:vAlign w:val="bottom"/>
            <w:shd w:val="clear" w:color="auto" w:fill="CFF0FC"/>
          </w:tcPr>
          <w:p>
            <w:pPr>
              <w:ind w:left="80"/>
              <w:spacing w:after="0"/>
              <w:rPr>
                <w:sz w:val="20"/>
                <w:szCs w:val="20"/>
                <w:color w:val="auto"/>
              </w:rPr>
            </w:pPr>
            <w:r>
              <w:rPr>
                <w:rFonts w:ascii="Arial" w:cs="Arial" w:eastAsia="Arial" w:hAnsi="Arial"/>
                <w:sz w:val="12"/>
                <w:szCs w:val="12"/>
                <w:color w:val="auto"/>
              </w:rPr>
              <w:t>Depreciation and amortization</w:t>
            </w: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343,368</w:t>
            </w:r>
          </w:p>
        </w:tc>
        <w:tc>
          <w:tcPr>
            <w:tcW w:w="2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28,629</w:t>
            </w:r>
          </w:p>
        </w:tc>
        <w:tc>
          <w:tcPr>
            <w:tcW w:w="1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337</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3,258</w:t>
            </w:r>
          </w:p>
        </w:tc>
        <w:tc>
          <w:tcPr>
            <w:tcW w:w="2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378</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375,970</w:t>
            </w: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220" w:type="dxa"/>
            <w:vAlign w:val="bottom"/>
          </w:tcPr>
          <w:p>
            <w:pPr>
              <w:ind w:left="80"/>
              <w:spacing w:after="0"/>
              <w:rPr>
                <w:sz w:val="20"/>
                <w:szCs w:val="20"/>
                <w:color w:val="auto"/>
              </w:rPr>
            </w:pPr>
            <w:r>
              <w:rPr>
                <w:rFonts w:ascii="Arial" w:cs="Arial" w:eastAsia="Arial" w:hAnsi="Arial"/>
                <w:sz w:val="12"/>
                <w:szCs w:val="12"/>
                <w:color w:val="auto"/>
              </w:rPr>
              <w:t>Other expense</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220" w:type="dxa"/>
            <w:vAlign w:val="bottom"/>
            <w:shd w:val="clear" w:color="auto" w:fill="CFF0FC"/>
          </w:tcPr>
          <w:p>
            <w:pPr>
              <w:ind w:left="80"/>
              <w:spacing w:after="0"/>
              <w:rPr>
                <w:sz w:val="20"/>
                <w:szCs w:val="20"/>
                <w:color w:val="auto"/>
              </w:rPr>
            </w:pPr>
            <w:r>
              <w:rPr>
                <w:rFonts w:ascii="Arial" w:cs="Arial" w:eastAsia="Arial" w:hAnsi="Arial"/>
                <w:sz w:val="12"/>
                <w:szCs w:val="12"/>
                <w:color w:val="auto"/>
              </w:rPr>
              <w:t>Transaction related costs</w:t>
            </w: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33,669</w:t>
            </w: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220" w:type="dxa"/>
            <w:vAlign w:val="bottom"/>
          </w:tcPr>
          <w:p>
            <w:pPr>
              <w:ind w:left="80"/>
              <w:spacing w:after="0"/>
              <w:rPr>
                <w:sz w:val="20"/>
                <w:szCs w:val="20"/>
                <w:color w:val="auto"/>
              </w:rPr>
            </w:pPr>
            <w:r>
              <w:rPr>
                <w:rFonts w:ascii="Arial" w:cs="Arial" w:eastAsia="Arial" w:hAnsi="Arial"/>
                <w:sz w:val="12"/>
                <w:szCs w:val="12"/>
                <w:color w:val="auto"/>
              </w:rPr>
              <w:t>Stock-based compensation</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4,846</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220" w:type="dxa"/>
            <w:vAlign w:val="bottom"/>
            <w:shd w:val="clear" w:color="auto" w:fill="CFF0FC"/>
          </w:tcPr>
          <w:p>
            <w:pPr>
              <w:ind w:left="80"/>
              <w:spacing w:after="0"/>
              <w:rPr>
                <w:sz w:val="20"/>
                <w:szCs w:val="20"/>
                <w:color w:val="auto"/>
              </w:rPr>
            </w:pPr>
            <w:r>
              <w:rPr>
                <w:rFonts w:ascii="Arial" w:cs="Arial" w:eastAsia="Arial" w:hAnsi="Arial"/>
                <w:sz w:val="12"/>
                <w:szCs w:val="12"/>
                <w:color w:val="auto"/>
              </w:rPr>
              <w:t>Income tax expense</w:t>
            </w: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517</w:t>
            </w: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220" w:type="dxa"/>
            <w:vAlign w:val="bottom"/>
          </w:tcPr>
          <w:p>
            <w:pPr>
              <w:spacing w:after="0"/>
              <w:rPr>
                <w:sz w:val="20"/>
                <w:szCs w:val="20"/>
                <w:color w:val="auto"/>
              </w:rPr>
            </w:pPr>
            <w:r>
              <w:rPr>
                <w:rFonts w:ascii="Arial" w:cs="Arial" w:eastAsia="Arial" w:hAnsi="Arial"/>
                <w:sz w:val="12"/>
                <w:szCs w:val="12"/>
                <w:color w:val="auto"/>
              </w:rPr>
              <w:t>Net loss</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2"/>
                <w:szCs w:val="12"/>
                <w:color w:val="auto"/>
              </w:rPr>
              <w:t>(212)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2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c>
          <w:tcPr>
            <w:tcW w:w="78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90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78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88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8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90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220" w:type="dxa"/>
            <w:vAlign w:val="bottom"/>
          </w:tcPr>
          <w:p>
            <w:pPr>
              <w:spacing w:after="0"/>
              <w:rPr>
                <w:sz w:val="20"/>
                <w:szCs w:val="20"/>
                <w:color w:val="auto"/>
              </w:rPr>
            </w:pPr>
            <w:r>
              <w:rPr>
                <w:rFonts w:ascii="Arial" w:cs="Arial" w:eastAsia="Arial" w:hAnsi="Arial"/>
                <w:sz w:val="12"/>
                <w:szCs w:val="12"/>
                <w:color w:val="auto"/>
              </w:rPr>
              <w:t xml:space="preserve">Capital expenditures </w:t>
            </w:r>
            <w:r>
              <w:rPr>
                <w:rFonts w:ascii="Arial" w:cs="Arial" w:eastAsia="Arial" w:hAnsi="Arial"/>
                <w:sz w:val="10"/>
                <w:szCs w:val="10"/>
                <w:color w:val="auto"/>
              </w:rPr>
              <w:t>(1)</w:t>
            </w:r>
          </w:p>
        </w:tc>
        <w:tc>
          <w:tcPr>
            <w:tcW w:w="3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31,006</w:t>
            </w:r>
          </w:p>
        </w:tc>
        <w:tc>
          <w:tcPr>
            <w:tcW w:w="160" w:type="dxa"/>
            <w:vAlign w:val="bottom"/>
          </w:tcPr>
          <w:p>
            <w:pPr>
              <w:spacing w:after="0"/>
              <w:rPr>
                <w:sz w:val="13"/>
                <w:szCs w:val="13"/>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15,262</w:t>
            </w:r>
          </w:p>
        </w:tc>
        <w:tc>
          <w:tcPr>
            <w:tcW w:w="200" w:type="dxa"/>
            <w:vAlign w:val="bottom"/>
          </w:tcPr>
          <w:p>
            <w:pPr>
              <w:spacing w:after="0"/>
              <w:rPr>
                <w:sz w:val="13"/>
                <w:szCs w:val="13"/>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175</w:t>
            </w:r>
          </w:p>
        </w:tc>
        <w:tc>
          <w:tcPr>
            <w:tcW w:w="120" w:type="dxa"/>
            <w:vAlign w:val="bottom"/>
          </w:tcPr>
          <w:p>
            <w:pPr>
              <w:spacing w:after="0"/>
              <w:rPr>
                <w:sz w:val="13"/>
                <w:szCs w:val="13"/>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46,443</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2"/>
        </w:trPr>
        <w:tc>
          <w:tcPr>
            <w:tcW w:w="4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jc w:val="right"/>
              <w:ind w:right="642"/>
              <w:spacing w:after="0"/>
              <w:rPr>
                <w:sz w:val="20"/>
                <w:szCs w:val="20"/>
                <w:color w:val="auto"/>
              </w:rPr>
            </w:pPr>
            <w:r>
              <w:rPr>
                <w:rFonts w:ascii="Arial" w:cs="Arial" w:eastAsia="Arial" w:hAnsi="Arial"/>
                <w:sz w:val="12"/>
                <w:szCs w:val="12"/>
                <w:color w:val="auto"/>
              </w:rPr>
              <w:t>85</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422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90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90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7280275</wp:posOffset>
            </wp:positionH>
            <wp:positionV relativeFrom="paragraph">
              <wp:posOffset>-23495</wp:posOffset>
            </wp:positionV>
            <wp:extent cx="31115" cy="368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0"/>
          </w:cols>
          <w:pgMar w:left="220" w:top="131" w:right="179" w:bottom="1440" w:gutter="0" w:footer="0" w:header="0"/>
        </w:sectPr>
      </w:pPr>
    </w:p>
    <w:bookmarkStart w:id="85" w:name="page86"/>
    <w:bookmarkEnd w:id="85"/>
    <w:p>
      <w:pPr>
        <w:ind w:left="8"/>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 w:lineRule="exact"/>
        <w:rPr>
          <w:sz w:val="20"/>
          <w:szCs w:val="20"/>
          <w:color w:val="auto"/>
        </w:rPr>
      </w:pPr>
    </w:p>
    <w:p>
      <w:pPr>
        <w:jc w:val="center"/>
        <w:ind w:right="12"/>
        <w:spacing w:after="0"/>
        <w:rPr>
          <w:sz w:val="20"/>
          <w:szCs w:val="20"/>
          <w:color w:val="auto"/>
        </w:rPr>
      </w:pPr>
      <w:r>
        <w:rPr>
          <w:rFonts w:ascii="Arial" w:cs="Arial" w:eastAsia="Arial" w:hAnsi="Arial"/>
          <w:sz w:val="12"/>
          <w:szCs w:val="12"/>
          <w:b w:val="1"/>
          <w:bCs w:val="1"/>
          <w:color w:val="auto"/>
        </w:rPr>
        <w:t>Uniti Group Inc.</w:t>
      </w:r>
    </w:p>
    <w:p>
      <w:pPr>
        <w:spacing w:after="0" w:line="6" w:lineRule="exact"/>
        <w:rPr>
          <w:sz w:val="20"/>
          <w:szCs w:val="20"/>
          <w:color w:val="auto"/>
        </w:rPr>
      </w:pPr>
    </w:p>
    <w:p>
      <w:pPr>
        <w:jc w:val="center"/>
        <w:ind w:right="12"/>
        <w:spacing w:after="0"/>
        <w:rPr>
          <w:sz w:val="20"/>
          <w:szCs w:val="20"/>
          <w:color w:val="auto"/>
        </w:rPr>
      </w:pPr>
      <w:r>
        <w:rPr>
          <w:rFonts w:ascii="Arial" w:cs="Arial" w:eastAsia="Arial" w:hAnsi="Arial"/>
          <w:sz w:val="12"/>
          <w:szCs w:val="12"/>
          <w:b w:val="1"/>
          <w:bCs w:val="1"/>
          <w:color w:val="auto"/>
        </w:rPr>
        <w:t>Notes to the Consolidated Financial Statements – Continued</w:t>
      </w:r>
    </w:p>
    <w:p>
      <w:pPr>
        <w:spacing w:after="0" w:line="215"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4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320" w:type="dxa"/>
            <w:vAlign w:val="bottom"/>
            <w:tcBorders>
              <w:bottom w:val="single" w:sz="8" w:color="auto"/>
            </w:tcBorders>
            <w:gridSpan w:val="5"/>
          </w:tcPr>
          <w:p>
            <w:pPr>
              <w:jc w:val="right"/>
              <w:ind w:right="300"/>
              <w:spacing w:after="0"/>
              <w:rPr>
                <w:sz w:val="20"/>
                <w:szCs w:val="20"/>
                <w:color w:val="auto"/>
              </w:rPr>
            </w:pPr>
            <w:r>
              <w:rPr>
                <w:rFonts w:ascii="Arial" w:cs="Arial" w:eastAsia="Arial" w:hAnsi="Arial"/>
                <w:sz w:val="10"/>
                <w:szCs w:val="10"/>
                <w:b w:val="1"/>
                <w:bCs w:val="1"/>
                <w:color w:val="auto"/>
                <w:w w:val="87"/>
              </w:rPr>
              <w:t>Period from April 24, 2015 to December 31, 2015</w:t>
            </w:r>
          </w:p>
        </w:tc>
        <w:tc>
          <w:tcPr>
            <w:tcW w:w="1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83"/>
        </w:trPr>
        <w:tc>
          <w:tcPr>
            <w:tcW w:w="4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tcPr>
          <w:p>
            <w:pPr>
              <w:jc w:val="right"/>
              <w:ind w:right="42"/>
              <w:spacing w:after="0" w:line="83" w:lineRule="exact"/>
              <w:rPr>
                <w:sz w:val="20"/>
                <w:szCs w:val="20"/>
                <w:color w:val="auto"/>
              </w:rPr>
            </w:pPr>
            <w:r>
              <w:rPr>
                <w:rFonts w:ascii="Arial" w:cs="Arial" w:eastAsia="Arial" w:hAnsi="Arial"/>
                <w:sz w:val="8"/>
                <w:szCs w:val="8"/>
                <w:b w:val="1"/>
                <w:bCs w:val="1"/>
                <w:color w:val="auto"/>
              </w:rPr>
              <w:t>Total of Reportable</w:t>
            </w:r>
          </w:p>
        </w:tc>
        <w:tc>
          <w:tcPr>
            <w:tcW w:w="120" w:type="dxa"/>
            <w:vAlign w:val="bottom"/>
          </w:tcPr>
          <w:p>
            <w:pPr>
              <w:spacing w:after="0"/>
              <w:rPr>
                <w:sz w:val="7"/>
                <w:szCs w:val="7"/>
                <w:color w:val="auto"/>
              </w:rPr>
            </w:pPr>
          </w:p>
        </w:tc>
      </w:tr>
      <w:tr>
        <w:trPr>
          <w:trHeight w:val="114"/>
        </w:trPr>
        <w:tc>
          <w:tcPr>
            <w:tcW w:w="4240" w:type="dxa"/>
            <w:vAlign w:val="bottom"/>
            <w:tcBorders>
              <w:bottom w:val="single" w:sz="8" w:color="auto"/>
            </w:tcBorders>
          </w:tcPr>
          <w:p>
            <w:pPr>
              <w:spacing w:after="0" w:line="114" w:lineRule="exact"/>
              <w:rPr>
                <w:sz w:val="20"/>
                <w:szCs w:val="20"/>
                <w:color w:val="auto"/>
              </w:rPr>
            </w:pPr>
            <w:r>
              <w:rPr>
                <w:rFonts w:ascii="Arial" w:cs="Arial" w:eastAsia="Arial" w:hAnsi="Arial"/>
                <w:sz w:val="10"/>
                <w:szCs w:val="10"/>
                <w:color w:val="auto"/>
              </w:rPr>
              <w:t>(Thousands)</w:t>
            </w:r>
          </w:p>
        </w:tc>
        <w:tc>
          <w:tcPr>
            <w:tcW w:w="120" w:type="dxa"/>
            <w:vAlign w:val="bottom"/>
            <w:tcBorders>
              <w:bottom w:val="single" w:sz="8" w:color="CFF0FC"/>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jc w:val="right"/>
              <w:ind w:right="262"/>
              <w:spacing w:after="0" w:line="114" w:lineRule="exact"/>
              <w:rPr>
                <w:sz w:val="20"/>
                <w:szCs w:val="20"/>
                <w:color w:val="auto"/>
              </w:rPr>
            </w:pPr>
            <w:r>
              <w:rPr>
                <w:rFonts w:ascii="Arial" w:cs="Arial" w:eastAsia="Arial" w:hAnsi="Arial"/>
                <w:sz w:val="10"/>
                <w:szCs w:val="10"/>
                <w:b w:val="1"/>
                <w:bCs w:val="1"/>
                <w:color w:val="auto"/>
              </w:rPr>
              <w:t>Leasing</w:t>
            </w:r>
          </w:p>
        </w:tc>
        <w:tc>
          <w:tcPr>
            <w:tcW w:w="240" w:type="dxa"/>
            <w:vAlign w:val="bottom"/>
            <w:tcBorders>
              <w:bottom w:val="single" w:sz="8" w:color="CFF0FC"/>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jc w:val="right"/>
              <w:ind w:right="22"/>
              <w:spacing w:after="0" w:line="114" w:lineRule="exact"/>
              <w:rPr>
                <w:sz w:val="20"/>
                <w:szCs w:val="20"/>
                <w:color w:val="auto"/>
              </w:rPr>
            </w:pPr>
            <w:r>
              <w:rPr>
                <w:rFonts w:ascii="Arial" w:cs="Arial" w:eastAsia="Arial" w:hAnsi="Arial"/>
                <w:sz w:val="10"/>
                <w:szCs w:val="10"/>
                <w:b w:val="1"/>
                <w:bCs w:val="1"/>
                <w:color w:val="auto"/>
                <w:w w:val="88"/>
              </w:rPr>
              <w:t>Fiber Infrastructure</w:t>
            </w:r>
          </w:p>
        </w:tc>
        <w:tc>
          <w:tcPr>
            <w:tcW w:w="220" w:type="dxa"/>
            <w:vAlign w:val="bottom"/>
            <w:tcBorders>
              <w:bottom w:val="single" w:sz="8" w:color="CFF0FC"/>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jc w:val="right"/>
              <w:ind w:right="283"/>
              <w:spacing w:after="0" w:line="114" w:lineRule="exact"/>
              <w:rPr>
                <w:sz w:val="20"/>
                <w:szCs w:val="20"/>
                <w:color w:val="auto"/>
              </w:rPr>
            </w:pPr>
            <w:r>
              <w:rPr>
                <w:rFonts w:ascii="Arial" w:cs="Arial" w:eastAsia="Arial" w:hAnsi="Arial"/>
                <w:sz w:val="10"/>
                <w:szCs w:val="10"/>
                <w:b w:val="1"/>
                <w:bCs w:val="1"/>
                <w:color w:val="auto"/>
              </w:rPr>
              <w:t>Towers</w:t>
            </w:r>
          </w:p>
        </w:tc>
        <w:tc>
          <w:tcPr>
            <w:tcW w:w="240" w:type="dxa"/>
            <w:vAlign w:val="bottom"/>
            <w:tcBorders>
              <w:bottom w:val="single" w:sz="8" w:color="CFF0FC"/>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jc w:val="right"/>
              <w:ind w:right="62"/>
              <w:spacing w:after="0" w:line="114" w:lineRule="exact"/>
              <w:rPr>
                <w:sz w:val="20"/>
                <w:szCs w:val="20"/>
                <w:color w:val="auto"/>
              </w:rPr>
            </w:pPr>
            <w:r>
              <w:rPr>
                <w:rFonts w:ascii="Arial" w:cs="Arial" w:eastAsia="Arial" w:hAnsi="Arial"/>
                <w:sz w:val="10"/>
                <w:szCs w:val="10"/>
                <w:b w:val="1"/>
                <w:bCs w:val="1"/>
                <w:color w:val="auto"/>
                <w:w w:val="93"/>
              </w:rPr>
              <w:t>Consumer CLEC</w:t>
            </w:r>
          </w:p>
        </w:tc>
        <w:tc>
          <w:tcPr>
            <w:tcW w:w="240" w:type="dxa"/>
            <w:vAlign w:val="bottom"/>
            <w:tcBorders>
              <w:bottom w:val="single" w:sz="8" w:color="CFF0FC"/>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jc w:val="right"/>
              <w:ind w:right="222"/>
              <w:spacing w:after="0" w:line="114" w:lineRule="exact"/>
              <w:rPr>
                <w:sz w:val="20"/>
                <w:szCs w:val="20"/>
                <w:color w:val="auto"/>
              </w:rPr>
            </w:pPr>
            <w:r>
              <w:rPr>
                <w:rFonts w:ascii="Arial" w:cs="Arial" w:eastAsia="Arial" w:hAnsi="Arial"/>
                <w:sz w:val="10"/>
                <w:szCs w:val="10"/>
                <w:b w:val="1"/>
                <w:bCs w:val="1"/>
                <w:color w:val="auto"/>
              </w:rPr>
              <w:t>Corporate</w:t>
            </w:r>
          </w:p>
        </w:tc>
        <w:tc>
          <w:tcPr>
            <w:tcW w:w="140" w:type="dxa"/>
            <w:vAlign w:val="bottom"/>
            <w:tcBorders>
              <w:bottom w:val="single" w:sz="8" w:color="CFF0FC"/>
            </w:tcBorders>
          </w:tcPr>
          <w:p>
            <w:pPr>
              <w:spacing w:after="0"/>
              <w:rPr>
                <w:sz w:val="9"/>
                <w:szCs w:val="9"/>
                <w:color w:val="auto"/>
              </w:rPr>
            </w:pPr>
          </w:p>
        </w:tc>
        <w:tc>
          <w:tcPr>
            <w:tcW w:w="80" w:type="dxa"/>
            <w:vAlign w:val="bottom"/>
            <w:tcBorders>
              <w:bottom w:val="single" w:sz="8" w:color="CFF0FC"/>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jc w:val="right"/>
              <w:ind w:right="242"/>
              <w:spacing w:after="0" w:line="114" w:lineRule="exact"/>
              <w:rPr>
                <w:sz w:val="20"/>
                <w:szCs w:val="20"/>
                <w:color w:val="auto"/>
              </w:rPr>
            </w:pPr>
            <w:r>
              <w:rPr>
                <w:rFonts w:ascii="Arial" w:cs="Arial" w:eastAsia="Arial" w:hAnsi="Arial"/>
                <w:sz w:val="10"/>
                <w:szCs w:val="10"/>
                <w:b w:val="1"/>
                <w:bCs w:val="1"/>
                <w:color w:val="auto"/>
              </w:rPr>
              <w:t>Segments</w:t>
            </w:r>
          </w:p>
        </w:tc>
        <w:tc>
          <w:tcPr>
            <w:tcW w:w="120" w:type="dxa"/>
            <w:vAlign w:val="bottom"/>
            <w:tcBorders>
              <w:bottom w:val="single" w:sz="8" w:color="CFF0FC"/>
            </w:tcBorders>
          </w:tcPr>
          <w:p>
            <w:pPr>
              <w:spacing w:after="0"/>
              <w:rPr>
                <w:sz w:val="9"/>
                <w:szCs w:val="9"/>
                <w:color w:val="auto"/>
              </w:rPr>
            </w:pPr>
          </w:p>
        </w:tc>
      </w:tr>
      <w:tr>
        <w:trPr>
          <w:trHeight w:val="142"/>
        </w:trPr>
        <w:tc>
          <w:tcPr>
            <w:tcW w:w="4240" w:type="dxa"/>
            <w:vAlign w:val="bottom"/>
            <w:shd w:val="clear" w:color="auto" w:fill="CFF0FC"/>
          </w:tcPr>
          <w:p>
            <w:pPr>
              <w:spacing w:after="0"/>
              <w:rPr>
                <w:sz w:val="20"/>
                <w:szCs w:val="20"/>
                <w:color w:val="auto"/>
              </w:rPr>
            </w:pPr>
            <w:r>
              <w:rPr>
                <w:rFonts w:ascii="Arial" w:cs="Arial" w:eastAsia="Arial" w:hAnsi="Arial"/>
                <w:sz w:val="12"/>
                <w:szCs w:val="12"/>
                <w:color w:val="auto"/>
              </w:rPr>
              <w:t>Revenues</w:t>
            </w:r>
          </w:p>
        </w:tc>
        <w:tc>
          <w:tcPr>
            <w:tcW w:w="30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458,614</w:t>
            </w: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17,700</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50"/>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2"/>
                <w:szCs w:val="12"/>
                <w:color w:val="auto"/>
              </w:rPr>
            </w:pPr>
          </w:p>
        </w:tc>
        <w:tc>
          <w:tcPr>
            <w:tcW w:w="16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476,314</w:t>
            </w:r>
          </w:p>
        </w:tc>
        <w:tc>
          <w:tcPr>
            <w:tcW w:w="120" w:type="dxa"/>
            <w:vAlign w:val="bottom"/>
            <w:shd w:val="clear" w:color="auto" w:fill="CFF0FC"/>
          </w:tcPr>
          <w:p>
            <w:pPr>
              <w:spacing w:after="0"/>
              <w:rPr>
                <w:sz w:val="12"/>
                <w:szCs w:val="12"/>
                <w:color w:val="auto"/>
              </w:rPr>
            </w:pPr>
          </w:p>
        </w:tc>
      </w:tr>
      <w:tr>
        <w:trPr>
          <w:trHeight w:val="153"/>
        </w:trPr>
        <w:tc>
          <w:tcPr>
            <w:tcW w:w="4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3"/>
        </w:trPr>
        <w:tc>
          <w:tcPr>
            <w:tcW w:w="4240" w:type="dxa"/>
            <w:vAlign w:val="bottom"/>
            <w:shd w:val="clear" w:color="auto" w:fill="CFF0FC"/>
          </w:tcPr>
          <w:p>
            <w:pPr>
              <w:spacing w:after="0"/>
              <w:rPr>
                <w:sz w:val="20"/>
                <w:szCs w:val="20"/>
                <w:color w:val="auto"/>
              </w:rPr>
            </w:pPr>
            <w:r>
              <w:rPr>
                <w:rFonts w:ascii="Arial" w:cs="Arial" w:eastAsia="Arial" w:hAnsi="Arial"/>
                <w:sz w:val="12"/>
                <w:szCs w:val="12"/>
                <w:color w:val="auto"/>
              </w:rPr>
              <w:t>Adjusted EBITDA</w:t>
            </w:r>
          </w:p>
        </w:tc>
        <w:tc>
          <w:tcPr>
            <w:tcW w:w="30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457,704</w:t>
            </w:r>
          </w:p>
        </w:tc>
        <w:tc>
          <w:tcPr>
            <w:tcW w:w="240" w:type="dxa"/>
            <w:vAlign w:val="bottom"/>
            <w:shd w:val="clear" w:color="auto" w:fill="CFF0FC"/>
          </w:tcPr>
          <w:p>
            <w:pPr>
              <w:spacing w:after="0"/>
              <w:rPr>
                <w:sz w:val="13"/>
                <w:szCs w:val="13"/>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3,957</w:t>
            </w:r>
          </w:p>
        </w:tc>
        <w:tc>
          <w:tcPr>
            <w:tcW w:w="24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50"/>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(8,364)</w:t>
            </w:r>
          </w:p>
        </w:tc>
        <w:tc>
          <w:tcPr>
            <w:tcW w:w="16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453,297</w:t>
            </w:r>
          </w:p>
        </w:tc>
        <w:tc>
          <w:tcPr>
            <w:tcW w:w="120" w:type="dxa"/>
            <w:vAlign w:val="bottom"/>
            <w:shd w:val="clear" w:color="auto" w:fill="CFF0FC"/>
          </w:tcPr>
          <w:p>
            <w:pPr>
              <w:spacing w:after="0"/>
              <w:rPr>
                <w:sz w:val="13"/>
                <w:szCs w:val="13"/>
                <w:color w:val="auto"/>
              </w:rPr>
            </w:pPr>
          </w:p>
        </w:tc>
      </w:tr>
      <w:tr>
        <w:trPr>
          <w:trHeight w:val="153"/>
        </w:trPr>
        <w:tc>
          <w:tcPr>
            <w:tcW w:w="4240" w:type="dxa"/>
            <w:vAlign w:val="bottom"/>
          </w:tcPr>
          <w:p>
            <w:pPr>
              <w:spacing w:after="0"/>
              <w:rPr>
                <w:sz w:val="20"/>
                <w:szCs w:val="20"/>
                <w:color w:val="auto"/>
              </w:rPr>
            </w:pPr>
            <w:r>
              <w:rPr>
                <w:rFonts w:ascii="Arial" w:cs="Arial" w:eastAsia="Arial" w:hAnsi="Arial"/>
                <w:sz w:val="12"/>
                <w:szCs w:val="12"/>
                <w:color w:val="auto"/>
              </w:rPr>
              <w:t>Adjusted EBITDA margin</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2"/>
                <w:szCs w:val="12"/>
                <w:color w:val="auto"/>
              </w:rPr>
              <w:t>99.8%</w:t>
            </w:r>
          </w:p>
        </w:tc>
        <w:tc>
          <w:tcPr>
            <w:tcW w:w="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2"/>
                <w:szCs w:val="12"/>
                <w:color w:val="auto"/>
              </w:rPr>
              <w:t>22.4%</w:t>
            </w:r>
          </w:p>
        </w:tc>
        <w:tc>
          <w:tcPr>
            <w:tcW w:w="1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2"/>
                <w:szCs w:val="12"/>
                <w:color w:val="auto"/>
              </w:rPr>
              <w:t>95.2%</w:t>
            </w:r>
          </w:p>
        </w:tc>
      </w:tr>
      <w:tr>
        <w:trPr>
          <w:trHeight w:val="153"/>
        </w:trPr>
        <w:tc>
          <w:tcPr>
            <w:tcW w:w="4240" w:type="dxa"/>
            <w:vAlign w:val="bottom"/>
            <w:shd w:val="clear" w:color="auto" w:fill="CFF0FC"/>
          </w:tcPr>
          <w:p>
            <w:pPr>
              <w:spacing w:after="0"/>
              <w:rPr>
                <w:sz w:val="20"/>
                <w:szCs w:val="20"/>
                <w:color w:val="auto"/>
              </w:rPr>
            </w:pPr>
            <w:r>
              <w:rPr>
                <w:rFonts w:ascii="Arial" w:cs="Arial" w:eastAsia="Arial" w:hAnsi="Arial"/>
                <w:sz w:val="12"/>
                <w:szCs w:val="12"/>
                <w:color w:val="auto"/>
              </w:rPr>
              <w:t>Less:</w:t>
            </w: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53"/>
        </w:trPr>
        <w:tc>
          <w:tcPr>
            <w:tcW w:w="4240" w:type="dxa"/>
            <w:vAlign w:val="bottom"/>
          </w:tcPr>
          <w:p>
            <w:pPr>
              <w:ind w:left="80"/>
              <w:spacing w:after="0"/>
              <w:rPr>
                <w:sz w:val="20"/>
                <w:szCs w:val="20"/>
                <w:color w:val="auto"/>
              </w:rPr>
            </w:pPr>
            <w:r>
              <w:rPr>
                <w:rFonts w:ascii="Arial" w:cs="Arial" w:eastAsia="Arial" w:hAnsi="Arial"/>
                <w:sz w:val="12"/>
                <w:szCs w:val="12"/>
                <w:color w:val="auto"/>
              </w:rPr>
              <w:t>Interest expense</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181,797</w:t>
            </w:r>
          </w:p>
        </w:tc>
        <w:tc>
          <w:tcPr>
            <w:tcW w:w="120" w:type="dxa"/>
            <w:vAlign w:val="bottom"/>
          </w:tcPr>
          <w:p>
            <w:pPr>
              <w:spacing w:after="0"/>
              <w:rPr>
                <w:sz w:val="13"/>
                <w:szCs w:val="13"/>
                <w:color w:val="auto"/>
              </w:rPr>
            </w:pPr>
          </w:p>
        </w:tc>
      </w:tr>
      <w:tr>
        <w:trPr>
          <w:trHeight w:val="153"/>
        </w:trPr>
        <w:tc>
          <w:tcPr>
            <w:tcW w:w="4240" w:type="dxa"/>
            <w:vAlign w:val="bottom"/>
            <w:shd w:val="clear" w:color="auto" w:fill="CFF0FC"/>
          </w:tcPr>
          <w:p>
            <w:pPr>
              <w:ind w:left="80"/>
              <w:spacing w:after="0"/>
              <w:rPr>
                <w:sz w:val="20"/>
                <w:szCs w:val="20"/>
                <w:color w:val="auto"/>
              </w:rPr>
            </w:pPr>
            <w:r>
              <w:rPr>
                <w:rFonts w:ascii="Arial" w:cs="Arial" w:eastAsia="Arial" w:hAnsi="Arial"/>
                <w:sz w:val="12"/>
                <w:szCs w:val="12"/>
                <w:color w:val="auto"/>
              </w:rPr>
              <w:t>Depreciation and amortization</w:t>
            </w: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235,967</w:t>
            </w:r>
          </w:p>
        </w:tc>
        <w:tc>
          <w:tcPr>
            <w:tcW w:w="2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2,571</w:t>
            </w:r>
          </w:p>
        </w:tc>
        <w:tc>
          <w:tcPr>
            <w:tcW w:w="2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210</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238,748</w:t>
            </w:r>
          </w:p>
        </w:tc>
        <w:tc>
          <w:tcPr>
            <w:tcW w:w="120" w:type="dxa"/>
            <w:vAlign w:val="bottom"/>
            <w:shd w:val="clear" w:color="auto" w:fill="CFF0FC"/>
          </w:tcPr>
          <w:p>
            <w:pPr>
              <w:spacing w:after="0"/>
              <w:rPr>
                <w:sz w:val="13"/>
                <w:szCs w:val="13"/>
                <w:color w:val="auto"/>
              </w:rPr>
            </w:pPr>
          </w:p>
        </w:tc>
      </w:tr>
      <w:tr>
        <w:trPr>
          <w:trHeight w:val="153"/>
        </w:trPr>
        <w:tc>
          <w:tcPr>
            <w:tcW w:w="4240" w:type="dxa"/>
            <w:vAlign w:val="bottom"/>
          </w:tcPr>
          <w:p>
            <w:pPr>
              <w:ind w:left="80"/>
              <w:spacing w:after="0"/>
              <w:rPr>
                <w:sz w:val="20"/>
                <w:szCs w:val="20"/>
                <w:color w:val="auto"/>
              </w:rPr>
            </w:pPr>
            <w:r>
              <w:rPr>
                <w:rFonts w:ascii="Arial" w:cs="Arial" w:eastAsia="Arial" w:hAnsi="Arial"/>
                <w:sz w:val="12"/>
                <w:szCs w:val="12"/>
                <w:color w:val="auto"/>
              </w:rPr>
              <w:t>Other expense</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r>
      <w:tr>
        <w:trPr>
          <w:trHeight w:val="153"/>
        </w:trPr>
        <w:tc>
          <w:tcPr>
            <w:tcW w:w="4240" w:type="dxa"/>
            <w:vAlign w:val="bottom"/>
            <w:shd w:val="clear" w:color="auto" w:fill="CFF0FC"/>
          </w:tcPr>
          <w:p>
            <w:pPr>
              <w:ind w:left="80"/>
              <w:spacing w:after="0"/>
              <w:rPr>
                <w:sz w:val="20"/>
                <w:szCs w:val="20"/>
                <w:color w:val="auto"/>
              </w:rPr>
            </w:pPr>
            <w:r>
              <w:rPr>
                <w:rFonts w:ascii="Arial" w:cs="Arial" w:eastAsia="Arial" w:hAnsi="Arial"/>
                <w:sz w:val="12"/>
                <w:szCs w:val="12"/>
                <w:color w:val="auto"/>
              </w:rPr>
              <w:t>Transaction related costs</w:t>
            </w: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5,210</w:t>
            </w:r>
          </w:p>
        </w:tc>
        <w:tc>
          <w:tcPr>
            <w:tcW w:w="120" w:type="dxa"/>
            <w:vAlign w:val="bottom"/>
            <w:shd w:val="clear" w:color="auto" w:fill="CFF0FC"/>
          </w:tcPr>
          <w:p>
            <w:pPr>
              <w:spacing w:after="0"/>
              <w:rPr>
                <w:sz w:val="13"/>
                <w:szCs w:val="13"/>
                <w:color w:val="auto"/>
              </w:rPr>
            </w:pPr>
          </w:p>
        </w:tc>
      </w:tr>
      <w:tr>
        <w:trPr>
          <w:trHeight w:val="153"/>
        </w:trPr>
        <w:tc>
          <w:tcPr>
            <w:tcW w:w="4240" w:type="dxa"/>
            <w:vAlign w:val="bottom"/>
          </w:tcPr>
          <w:p>
            <w:pPr>
              <w:ind w:left="80"/>
              <w:spacing w:after="0"/>
              <w:rPr>
                <w:sz w:val="20"/>
                <w:szCs w:val="20"/>
                <w:color w:val="auto"/>
              </w:rPr>
            </w:pPr>
            <w:r>
              <w:rPr>
                <w:rFonts w:ascii="Arial" w:cs="Arial" w:eastAsia="Arial" w:hAnsi="Arial"/>
                <w:sz w:val="12"/>
                <w:szCs w:val="12"/>
                <w:color w:val="auto"/>
              </w:rPr>
              <w:t>Stock-based compensation</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1,934</w:t>
            </w:r>
          </w:p>
        </w:tc>
        <w:tc>
          <w:tcPr>
            <w:tcW w:w="120" w:type="dxa"/>
            <w:vAlign w:val="bottom"/>
          </w:tcPr>
          <w:p>
            <w:pPr>
              <w:spacing w:after="0"/>
              <w:rPr>
                <w:sz w:val="13"/>
                <w:szCs w:val="13"/>
                <w:color w:val="auto"/>
              </w:rPr>
            </w:pPr>
          </w:p>
        </w:tc>
      </w:tr>
      <w:tr>
        <w:trPr>
          <w:trHeight w:val="153"/>
        </w:trPr>
        <w:tc>
          <w:tcPr>
            <w:tcW w:w="4240" w:type="dxa"/>
            <w:vAlign w:val="bottom"/>
            <w:shd w:val="clear" w:color="auto" w:fill="CFF0FC"/>
          </w:tcPr>
          <w:p>
            <w:pPr>
              <w:ind w:left="80"/>
              <w:spacing w:after="0"/>
              <w:rPr>
                <w:sz w:val="20"/>
                <w:szCs w:val="20"/>
                <w:color w:val="auto"/>
              </w:rPr>
            </w:pPr>
            <w:r>
              <w:rPr>
                <w:rFonts w:ascii="Arial" w:cs="Arial" w:eastAsia="Arial" w:hAnsi="Arial"/>
                <w:sz w:val="12"/>
                <w:szCs w:val="12"/>
                <w:color w:val="auto"/>
              </w:rPr>
              <w:t>Income tax expense</w:t>
            </w: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738</w:t>
            </w:r>
          </w:p>
        </w:tc>
        <w:tc>
          <w:tcPr>
            <w:tcW w:w="120" w:type="dxa"/>
            <w:vAlign w:val="bottom"/>
            <w:shd w:val="clear" w:color="auto" w:fill="CFF0FC"/>
          </w:tcPr>
          <w:p>
            <w:pPr>
              <w:spacing w:after="0"/>
              <w:rPr>
                <w:sz w:val="13"/>
                <w:szCs w:val="13"/>
                <w:color w:val="auto"/>
              </w:rPr>
            </w:pPr>
          </w:p>
        </w:tc>
      </w:tr>
      <w:tr>
        <w:trPr>
          <w:trHeight w:val="149"/>
        </w:trPr>
        <w:tc>
          <w:tcPr>
            <w:tcW w:w="4240" w:type="dxa"/>
            <w:vAlign w:val="bottom"/>
            <w:tcBorders>
              <w:bottom w:val="single" w:sz="8" w:color="CFF0FC"/>
            </w:tcBorders>
          </w:tcPr>
          <w:p>
            <w:pPr>
              <w:spacing w:after="0"/>
              <w:rPr>
                <w:sz w:val="20"/>
                <w:szCs w:val="20"/>
                <w:color w:val="auto"/>
              </w:rPr>
            </w:pPr>
            <w:r>
              <w:rPr>
                <w:rFonts w:ascii="Arial" w:cs="Arial" w:eastAsia="Arial" w:hAnsi="Arial"/>
                <w:sz w:val="12"/>
                <w:szCs w:val="12"/>
                <w:color w:val="auto"/>
              </w:rPr>
              <w:t>Net income</w:t>
            </w:r>
          </w:p>
        </w:tc>
        <w:tc>
          <w:tcPr>
            <w:tcW w:w="120" w:type="dxa"/>
            <w:vAlign w:val="bottom"/>
            <w:tcBorders>
              <w:bottom w:val="single" w:sz="8" w:color="CFF0FC"/>
            </w:tcBorders>
          </w:tcPr>
          <w:p>
            <w:pPr>
              <w:spacing w:after="0"/>
              <w:rPr>
                <w:sz w:val="12"/>
                <w:szCs w:val="12"/>
                <w:color w:val="auto"/>
              </w:rPr>
            </w:pPr>
          </w:p>
        </w:tc>
        <w:tc>
          <w:tcPr>
            <w:tcW w:w="180" w:type="dxa"/>
            <w:vAlign w:val="bottom"/>
            <w:tcBorders>
              <w:bottom w:val="single" w:sz="8" w:color="CFF0FC"/>
            </w:tcBorders>
          </w:tcPr>
          <w:p>
            <w:pPr>
              <w:spacing w:after="0"/>
              <w:rPr>
                <w:sz w:val="12"/>
                <w:szCs w:val="12"/>
                <w:color w:val="auto"/>
              </w:rPr>
            </w:pPr>
          </w:p>
        </w:tc>
        <w:tc>
          <w:tcPr>
            <w:tcW w:w="780" w:type="dxa"/>
            <w:vAlign w:val="bottom"/>
            <w:tcBorders>
              <w:bottom w:val="single" w:sz="8" w:color="CFF0FC"/>
            </w:tcBorders>
          </w:tcPr>
          <w:p>
            <w:pPr>
              <w:spacing w:after="0"/>
              <w:rPr>
                <w:sz w:val="12"/>
                <w:szCs w:val="12"/>
                <w:color w:val="auto"/>
              </w:rPr>
            </w:pPr>
          </w:p>
        </w:tc>
        <w:tc>
          <w:tcPr>
            <w:tcW w:w="240" w:type="dxa"/>
            <w:vAlign w:val="bottom"/>
            <w:tcBorders>
              <w:bottom w:val="single" w:sz="8" w:color="CFF0FC"/>
            </w:tcBorders>
          </w:tcPr>
          <w:p>
            <w:pPr>
              <w:spacing w:after="0"/>
              <w:rPr>
                <w:sz w:val="12"/>
                <w:szCs w:val="12"/>
                <w:color w:val="auto"/>
              </w:rPr>
            </w:pPr>
          </w:p>
        </w:tc>
        <w:tc>
          <w:tcPr>
            <w:tcW w:w="60" w:type="dxa"/>
            <w:vAlign w:val="bottom"/>
            <w:tcBorders>
              <w:bottom w:val="single" w:sz="8" w:color="CFF0FC"/>
            </w:tcBorders>
          </w:tcPr>
          <w:p>
            <w:pPr>
              <w:spacing w:after="0"/>
              <w:rPr>
                <w:sz w:val="12"/>
                <w:szCs w:val="12"/>
                <w:color w:val="auto"/>
              </w:rPr>
            </w:pPr>
          </w:p>
        </w:tc>
        <w:tc>
          <w:tcPr>
            <w:tcW w:w="920" w:type="dxa"/>
            <w:vAlign w:val="bottom"/>
            <w:tcBorders>
              <w:bottom w:val="single" w:sz="8" w:color="CFF0FC"/>
            </w:tcBorders>
          </w:tcPr>
          <w:p>
            <w:pPr>
              <w:spacing w:after="0"/>
              <w:rPr>
                <w:sz w:val="12"/>
                <w:szCs w:val="12"/>
                <w:color w:val="auto"/>
              </w:rPr>
            </w:pPr>
          </w:p>
        </w:tc>
        <w:tc>
          <w:tcPr>
            <w:tcW w:w="22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880" w:type="dxa"/>
            <w:vAlign w:val="bottom"/>
            <w:tcBorders>
              <w:bottom w:val="single" w:sz="8" w:color="CFF0FC"/>
            </w:tcBorders>
          </w:tcPr>
          <w:p>
            <w:pPr>
              <w:spacing w:after="0"/>
              <w:rPr>
                <w:sz w:val="12"/>
                <w:szCs w:val="12"/>
                <w:color w:val="auto"/>
              </w:rPr>
            </w:pPr>
          </w:p>
        </w:tc>
        <w:tc>
          <w:tcPr>
            <w:tcW w:w="24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880" w:type="dxa"/>
            <w:vAlign w:val="bottom"/>
            <w:tcBorders>
              <w:bottom w:val="single" w:sz="8" w:color="CFF0FC"/>
            </w:tcBorders>
          </w:tcPr>
          <w:p>
            <w:pPr>
              <w:spacing w:after="0"/>
              <w:rPr>
                <w:sz w:val="12"/>
                <w:szCs w:val="12"/>
                <w:color w:val="auto"/>
              </w:rPr>
            </w:pPr>
          </w:p>
        </w:tc>
        <w:tc>
          <w:tcPr>
            <w:tcW w:w="240" w:type="dxa"/>
            <w:vAlign w:val="bottom"/>
            <w:tcBorders>
              <w:bottom w:val="single" w:sz="8" w:color="CFF0FC"/>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820" w:type="dxa"/>
            <w:vAlign w:val="bottom"/>
            <w:tcBorders>
              <w:bottom w:val="single" w:sz="8" w:color="CFF0FC"/>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24,870</w:t>
            </w:r>
          </w:p>
        </w:tc>
        <w:tc>
          <w:tcPr>
            <w:tcW w:w="120" w:type="dxa"/>
            <w:vAlign w:val="bottom"/>
            <w:tcBorders>
              <w:bottom w:val="single" w:sz="8" w:color="CFF0FC"/>
            </w:tcBorders>
          </w:tcPr>
          <w:p>
            <w:pPr>
              <w:spacing w:after="0"/>
              <w:rPr>
                <w:sz w:val="12"/>
                <w:szCs w:val="12"/>
                <w:color w:val="auto"/>
              </w:rPr>
            </w:pPr>
          </w:p>
        </w:tc>
      </w:tr>
      <w:tr>
        <w:trPr>
          <w:trHeight w:val="153"/>
        </w:trPr>
        <w:tc>
          <w:tcPr>
            <w:tcW w:w="4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53"/>
        </w:trPr>
        <w:tc>
          <w:tcPr>
            <w:tcW w:w="4240" w:type="dxa"/>
            <w:vAlign w:val="bottom"/>
          </w:tcPr>
          <w:p>
            <w:pPr>
              <w:spacing w:after="0"/>
              <w:rPr>
                <w:sz w:val="20"/>
                <w:szCs w:val="20"/>
                <w:color w:val="auto"/>
              </w:rPr>
            </w:pPr>
            <w:r>
              <w:rPr>
                <w:rFonts w:ascii="Arial" w:cs="Arial" w:eastAsia="Arial" w:hAnsi="Arial"/>
                <w:sz w:val="12"/>
                <w:szCs w:val="12"/>
                <w:color w:val="auto"/>
              </w:rPr>
              <w:t xml:space="preserve">Capital expenditures </w:t>
            </w:r>
            <w:r>
              <w:rPr>
                <w:rFonts w:ascii="Arial" w:cs="Arial" w:eastAsia="Arial" w:hAnsi="Arial"/>
                <w:sz w:val="10"/>
                <w:szCs w:val="10"/>
                <w:color w:val="auto"/>
              </w:rPr>
              <w:t>(1)</w:t>
            </w:r>
          </w:p>
        </w:tc>
        <w:tc>
          <w:tcPr>
            <w:tcW w:w="3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43,077</w:t>
            </w:r>
          </w:p>
        </w:tc>
        <w:tc>
          <w:tcPr>
            <w:tcW w:w="24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3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32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1,336</w:t>
            </w:r>
          </w:p>
        </w:tc>
        <w:tc>
          <w:tcPr>
            <w:tcW w:w="140" w:type="dxa"/>
            <w:vAlign w:val="bottom"/>
          </w:tcPr>
          <w:p>
            <w:pPr>
              <w:spacing w:after="0"/>
              <w:rPr>
                <w:sz w:val="13"/>
                <w:szCs w:val="13"/>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44,413</w:t>
            </w:r>
          </w:p>
        </w:tc>
        <w:tc>
          <w:tcPr>
            <w:tcW w:w="120" w:type="dxa"/>
            <w:vAlign w:val="bottom"/>
          </w:tcPr>
          <w:p>
            <w:pPr>
              <w:spacing w:after="0"/>
              <w:rPr>
                <w:sz w:val="13"/>
                <w:szCs w:val="13"/>
                <w:color w:val="auto"/>
              </w:rPr>
            </w:pPr>
          </w:p>
        </w:tc>
      </w:tr>
    </w:tbl>
    <w:p>
      <w:pPr>
        <w:spacing w:after="0" w:line="135" w:lineRule="exact"/>
        <w:rPr>
          <w:sz w:val="20"/>
          <w:szCs w:val="20"/>
          <w:color w:val="auto"/>
        </w:rPr>
      </w:pPr>
    </w:p>
    <w:p>
      <w:pPr>
        <w:ind w:left="8" w:right="980" w:hanging="8"/>
        <w:spacing w:after="0" w:line="527" w:lineRule="auto"/>
        <w:tabs>
          <w:tab w:leader="none" w:pos="449" w:val="left"/>
        </w:tabs>
        <w:numPr>
          <w:ilvl w:val="0"/>
          <w:numId w:val="15"/>
        </w:numPr>
        <w:rPr>
          <w:rFonts w:ascii="Arial" w:cs="Arial" w:eastAsia="Arial" w:hAnsi="Arial"/>
          <w:sz w:val="10"/>
          <w:szCs w:val="10"/>
          <w:color w:val="auto"/>
        </w:rPr>
      </w:pPr>
      <w:r>
        <w:rPr>
          <w:rFonts w:ascii="Arial" w:cs="Arial" w:eastAsia="Arial" w:hAnsi="Arial"/>
          <w:sz w:val="12"/>
          <w:szCs w:val="12"/>
          <w:color w:val="auto"/>
        </w:rPr>
        <w:t>Segment capital expenditures represents capital expenditures, the NMS asset acquisition and ground lease investments as reported in the investing activities section of the Consolidated Statement of Cash Flows. Total assets by business segment as of December 31, 2017 and December 31, 2016 are as follows:</w:t>
      </w:r>
    </w:p>
    <w:p>
      <w:pPr>
        <w:spacing w:after="0" w:line="26"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73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(Thousands)</w:t>
            </w:r>
          </w:p>
        </w:tc>
        <w:tc>
          <w:tcPr>
            <w:tcW w:w="220" w:type="dxa"/>
            <w:vAlign w:val="bottom"/>
            <w:tcBorders>
              <w:bottom w:val="single" w:sz="8" w:color="CFF0FC"/>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tcPr>
          <w:p>
            <w:pPr>
              <w:jc w:val="right"/>
              <w:ind w:right="442"/>
              <w:spacing w:after="0"/>
              <w:rPr>
                <w:sz w:val="20"/>
                <w:szCs w:val="20"/>
                <w:color w:val="auto"/>
              </w:rPr>
            </w:pPr>
            <w:r>
              <w:rPr>
                <w:rFonts w:ascii="Arial" w:cs="Arial" w:eastAsia="Arial" w:hAnsi="Arial"/>
                <w:sz w:val="10"/>
                <w:szCs w:val="10"/>
                <w:b w:val="1"/>
                <w:bCs w:val="1"/>
                <w:color w:val="auto"/>
              </w:rPr>
              <w:t>December 31, 2017</w:t>
            </w:r>
          </w:p>
        </w:tc>
        <w:tc>
          <w:tcPr>
            <w:tcW w:w="320" w:type="dxa"/>
            <w:vAlign w:val="bottom"/>
            <w:tcBorders>
              <w:bottom w:val="single" w:sz="8" w:color="CFF0FC"/>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tcPr>
          <w:p>
            <w:pPr>
              <w:jc w:val="right"/>
              <w:ind w:right="442"/>
              <w:spacing w:after="0"/>
              <w:rPr>
                <w:sz w:val="20"/>
                <w:szCs w:val="20"/>
                <w:color w:val="auto"/>
              </w:rPr>
            </w:pPr>
            <w:r>
              <w:rPr>
                <w:rFonts w:ascii="Arial" w:cs="Arial" w:eastAsia="Arial" w:hAnsi="Arial"/>
                <w:sz w:val="10"/>
                <w:szCs w:val="10"/>
                <w:b w:val="1"/>
                <w:bCs w:val="1"/>
                <w:color w:val="auto"/>
              </w:rPr>
              <w:t>December 31, 2016</w:t>
            </w:r>
          </w:p>
        </w:tc>
        <w:tc>
          <w:tcPr>
            <w:tcW w:w="120" w:type="dxa"/>
            <w:vAlign w:val="bottom"/>
            <w:tcBorders>
              <w:bottom w:val="single" w:sz="8" w:color="CFF0FC"/>
            </w:tcBorders>
          </w:tcPr>
          <w:p>
            <w:pPr>
              <w:spacing w:after="0"/>
              <w:rPr>
                <w:sz w:val="10"/>
                <w:szCs w:val="10"/>
                <w:color w:val="auto"/>
              </w:rPr>
            </w:pPr>
          </w:p>
        </w:tc>
      </w:tr>
      <w:tr>
        <w:trPr>
          <w:trHeight w:val="151"/>
        </w:trPr>
        <w:tc>
          <w:tcPr>
            <w:tcW w:w="7300" w:type="dxa"/>
            <w:vAlign w:val="bottom"/>
            <w:shd w:val="clear" w:color="auto" w:fill="CFF0FC"/>
          </w:tcPr>
          <w:p>
            <w:pPr>
              <w:spacing w:after="0"/>
              <w:rPr>
                <w:sz w:val="20"/>
                <w:szCs w:val="20"/>
                <w:color w:val="auto"/>
              </w:rPr>
            </w:pPr>
            <w:r>
              <w:rPr>
                <w:rFonts w:ascii="Arial" w:cs="Arial" w:eastAsia="Arial" w:hAnsi="Arial"/>
                <w:sz w:val="12"/>
                <w:szCs w:val="12"/>
                <w:color w:val="auto"/>
              </w:rPr>
              <w:t>Leasing</w:t>
            </w:r>
          </w:p>
        </w:tc>
        <w:tc>
          <w:tcPr>
            <w:tcW w:w="48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2,121,857</w:t>
            </w:r>
          </w:p>
        </w:tc>
        <w:tc>
          <w:tcPr>
            <w:tcW w:w="320" w:type="dxa"/>
            <w:vAlign w:val="bottom"/>
            <w:shd w:val="clear" w:color="auto" w:fill="CFF0FC"/>
          </w:tcPr>
          <w:p>
            <w:pPr>
              <w:spacing w:after="0"/>
              <w:rPr>
                <w:sz w:val="13"/>
                <w:szCs w:val="13"/>
                <w:color w:val="auto"/>
              </w:rPr>
            </w:pPr>
          </w:p>
        </w:tc>
        <w:tc>
          <w:tcPr>
            <w:tcW w:w="260" w:type="dxa"/>
            <w:vAlign w:val="bottom"/>
            <w:shd w:val="clear" w:color="auto" w:fill="CFF0FC"/>
          </w:tcPr>
          <w:p>
            <w:pPr>
              <w:jc w:val="right"/>
              <w:ind w:right="150"/>
              <w:spacing w:after="0"/>
              <w:rPr>
                <w:sz w:val="20"/>
                <w:szCs w:val="20"/>
                <w:color w:val="auto"/>
              </w:rPr>
            </w:pPr>
            <w:r>
              <w:rPr>
                <w:rFonts w:ascii="Arial" w:cs="Arial" w:eastAsia="Arial" w:hAnsi="Arial"/>
                <w:sz w:val="10"/>
                <w:szCs w:val="10"/>
                <w:color w:val="auto"/>
                <w:w w:val="71"/>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2,238,517</w:t>
            </w:r>
          </w:p>
        </w:tc>
        <w:tc>
          <w:tcPr>
            <w:tcW w:w="120" w:type="dxa"/>
            <w:vAlign w:val="bottom"/>
            <w:shd w:val="clear" w:color="auto" w:fill="CFF0FC"/>
          </w:tcPr>
          <w:p>
            <w:pPr>
              <w:spacing w:after="0"/>
              <w:rPr>
                <w:sz w:val="13"/>
                <w:szCs w:val="13"/>
                <w:color w:val="auto"/>
              </w:rPr>
            </w:pPr>
          </w:p>
        </w:tc>
      </w:tr>
      <w:tr>
        <w:trPr>
          <w:trHeight w:val="153"/>
        </w:trPr>
        <w:tc>
          <w:tcPr>
            <w:tcW w:w="7300" w:type="dxa"/>
            <w:vAlign w:val="bottom"/>
          </w:tcPr>
          <w:p>
            <w:pPr>
              <w:spacing w:after="0"/>
              <w:rPr>
                <w:sz w:val="20"/>
                <w:szCs w:val="20"/>
                <w:color w:val="auto"/>
              </w:rPr>
            </w:pPr>
            <w:r>
              <w:rPr>
                <w:rFonts w:ascii="Arial" w:cs="Arial" w:eastAsia="Arial" w:hAnsi="Arial"/>
                <w:sz w:val="12"/>
                <w:szCs w:val="12"/>
                <w:color w:val="auto"/>
              </w:rPr>
              <w:t>Fiber Infrastructure</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2,009,175</w:t>
            </w: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914,082</w:t>
            </w:r>
          </w:p>
        </w:tc>
        <w:tc>
          <w:tcPr>
            <w:tcW w:w="120" w:type="dxa"/>
            <w:vAlign w:val="bottom"/>
          </w:tcPr>
          <w:p>
            <w:pPr>
              <w:spacing w:after="0"/>
              <w:rPr>
                <w:sz w:val="13"/>
                <w:szCs w:val="13"/>
                <w:color w:val="auto"/>
              </w:rPr>
            </w:pPr>
          </w:p>
        </w:tc>
      </w:tr>
      <w:tr>
        <w:trPr>
          <w:trHeight w:val="153"/>
        </w:trPr>
        <w:tc>
          <w:tcPr>
            <w:tcW w:w="7300" w:type="dxa"/>
            <w:vAlign w:val="bottom"/>
            <w:shd w:val="clear" w:color="auto" w:fill="CFF0FC"/>
          </w:tcPr>
          <w:p>
            <w:pPr>
              <w:spacing w:after="0"/>
              <w:rPr>
                <w:sz w:val="20"/>
                <w:szCs w:val="20"/>
                <w:color w:val="auto"/>
              </w:rPr>
            </w:pPr>
            <w:r>
              <w:rPr>
                <w:rFonts w:ascii="Arial" w:cs="Arial" w:eastAsia="Arial" w:hAnsi="Arial"/>
                <w:sz w:val="12"/>
                <w:szCs w:val="12"/>
                <w:color w:val="auto"/>
              </w:rPr>
              <w:t>Towers</w:t>
            </w:r>
          </w:p>
        </w:tc>
        <w:tc>
          <w:tcPr>
            <w:tcW w:w="2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157,180</w:t>
            </w:r>
          </w:p>
        </w:tc>
        <w:tc>
          <w:tcPr>
            <w:tcW w:w="3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18,004</w:t>
            </w:r>
          </w:p>
        </w:tc>
        <w:tc>
          <w:tcPr>
            <w:tcW w:w="120" w:type="dxa"/>
            <w:vAlign w:val="bottom"/>
            <w:shd w:val="clear" w:color="auto" w:fill="CFF0FC"/>
          </w:tcPr>
          <w:p>
            <w:pPr>
              <w:spacing w:after="0"/>
              <w:rPr>
                <w:sz w:val="13"/>
                <w:szCs w:val="13"/>
                <w:color w:val="auto"/>
              </w:rPr>
            </w:pPr>
          </w:p>
        </w:tc>
      </w:tr>
      <w:tr>
        <w:trPr>
          <w:trHeight w:val="153"/>
        </w:trPr>
        <w:tc>
          <w:tcPr>
            <w:tcW w:w="7300" w:type="dxa"/>
            <w:vAlign w:val="bottom"/>
          </w:tcPr>
          <w:p>
            <w:pPr>
              <w:spacing w:after="0"/>
              <w:rPr>
                <w:sz w:val="20"/>
                <w:szCs w:val="20"/>
                <w:color w:val="auto"/>
              </w:rPr>
            </w:pPr>
            <w:r>
              <w:rPr>
                <w:rFonts w:ascii="Arial" w:cs="Arial" w:eastAsia="Arial" w:hAnsi="Arial"/>
                <w:sz w:val="12"/>
                <w:szCs w:val="12"/>
                <w:color w:val="auto"/>
              </w:rPr>
              <w:t>Consumer CLEC</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10,919</w:t>
            </w: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14,239</w:t>
            </w:r>
          </w:p>
        </w:tc>
        <w:tc>
          <w:tcPr>
            <w:tcW w:w="120" w:type="dxa"/>
            <w:vAlign w:val="bottom"/>
          </w:tcPr>
          <w:p>
            <w:pPr>
              <w:spacing w:after="0"/>
              <w:rPr>
                <w:sz w:val="13"/>
                <w:szCs w:val="13"/>
                <w:color w:val="auto"/>
              </w:rPr>
            </w:pPr>
          </w:p>
        </w:tc>
      </w:tr>
      <w:tr>
        <w:trPr>
          <w:trHeight w:val="153"/>
        </w:trPr>
        <w:tc>
          <w:tcPr>
            <w:tcW w:w="7300" w:type="dxa"/>
            <w:vAlign w:val="bottom"/>
            <w:shd w:val="clear" w:color="auto" w:fill="CFF0FC"/>
          </w:tcPr>
          <w:p>
            <w:pPr>
              <w:spacing w:after="0"/>
              <w:rPr>
                <w:sz w:val="20"/>
                <w:szCs w:val="20"/>
                <w:color w:val="auto"/>
              </w:rPr>
            </w:pPr>
            <w:r>
              <w:rPr>
                <w:rFonts w:ascii="Arial" w:cs="Arial" w:eastAsia="Arial" w:hAnsi="Arial"/>
                <w:sz w:val="12"/>
                <w:szCs w:val="12"/>
                <w:color w:val="auto"/>
              </w:rPr>
              <w:t>Corporate</w:t>
            </w:r>
          </w:p>
        </w:tc>
        <w:tc>
          <w:tcPr>
            <w:tcW w:w="220" w:type="dxa"/>
            <w:vAlign w:val="bottom"/>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30,951</w:t>
            </w:r>
          </w:p>
        </w:tc>
        <w:tc>
          <w:tcPr>
            <w:tcW w:w="320" w:type="dxa"/>
            <w:vAlign w:val="bottom"/>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133,910</w:t>
            </w:r>
          </w:p>
        </w:tc>
        <w:tc>
          <w:tcPr>
            <w:tcW w:w="120" w:type="dxa"/>
            <w:vAlign w:val="bottom"/>
            <w:shd w:val="clear" w:color="auto" w:fill="CFF0FC"/>
          </w:tcPr>
          <w:p>
            <w:pPr>
              <w:spacing w:after="0"/>
              <w:rPr>
                <w:sz w:val="13"/>
                <w:szCs w:val="13"/>
                <w:color w:val="auto"/>
              </w:rPr>
            </w:pPr>
          </w:p>
        </w:tc>
      </w:tr>
      <w:tr>
        <w:trPr>
          <w:trHeight w:val="142"/>
        </w:trPr>
        <w:tc>
          <w:tcPr>
            <w:tcW w:w="7300" w:type="dxa"/>
            <w:vAlign w:val="bottom"/>
          </w:tcPr>
          <w:p>
            <w:pPr>
              <w:spacing w:after="0"/>
              <w:rPr>
                <w:sz w:val="20"/>
                <w:szCs w:val="20"/>
                <w:color w:val="auto"/>
              </w:rPr>
            </w:pPr>
            <w:r>
              <w:rPr>
                <w:rFonts w:ascii="Arial" w:cs="Arial" w:eastAsia="Arial" w:hAnsi="Arial"/>
                <w:sz w:val="12"/>
                <w:szCs w:val="12"/>
                <w:color w:val="auto"/>
              </w:rPr>
              <w:t>Total of reportable segments</w:t>
            </w:r>
          </w:p>
        </w:tc>
        <w:tc>
          <w:tcPr>
            <w:tcW w:w="4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500" w:type="dxa"/>
            <w:vAlign w:val="bottom"/>
          </w:tcPr>
          <w:p>
            <w:pPr>
              <w:jc w:val="right"/>
              <w:spacing w:after="0"/>
              <w:rPr>
                <w:sz w:val="20"/>
                <w:szCs w:val="20"/>
                <w:color w:val="auto"/>
              </w:rPr>
            </w:pPr>
            <w:r>
              <w:rPr>
                <w:rFonts w:ascii="Arial" w:cs="Arial" w:eastAsia="Arial" w:hAnsi="Arial"/>
                <w:sz w:val="12"/>
                <w:szCs w:val="12"/>
                <w:color w:val="auto"/>
              </w:rPr>
              <w:t>4,330,082</w:t>
            </w:r>
          </w:p>
        </w:tc>
        <w:tc>
          <w:tcPr>
            <w:tcW w:w="320" w:type="dxa"/>
            <w:vAlign w:val="bottom"/>
          </w:tcPr>
          <w:p>
            <w:pPr>
              <w:spacing w:after="0"/>
              <w:rPr>
                <w:sz w:val="12"/>
                <w:szCs w:val="12"/>
                <w:color w:val="auto"/>
              </w:rPr>
            </w:pP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1500" w:type="dxa"/>
            <w:vAlign w:val="bottom"/>
          </w:tcPr>
          <w:p>
            <w:pPr>
              <w:jc w:val="right"/>
              <w:spacing w:after="0"/>
              <w:rPr>
                <w:sz w:val="20"/>
                <w:szCs w:val="20"/>
                <w:color w:val="auto"/>
              </w:rPr>
            </w:pPr>
            <w:r>
              <w:rPr>
                <w:rFonts w:ascii="Arial" w:cs="Arial" w:eastAsia="Arial" w:hAnsi="Arial"/>
                <w:sz w:val="12"/>
                <w:szCs w:val="12"/>
                <w:color w:val="auto"/>
              </w:rPr>
              <w:t>3,318,752</w:t>
            </w:r>
          </w:p>
        </w:tc>
        <w:tc>
          <w:tcPr>
            <w:tcW w:w="120" w:type="dxa"/>
            <w:vAlign w:val="bottom"/>
          </w:tcPr>
          <w:p>
            <w:pPr>
              <w:spacing w:after="0"/>
              <w:rPr>
                <w:sz w:val="12"/>
                <w:szCs w:val="12"/>
                <w:color w:val="auto"/>
              </w:rPr>
            </w:pPr>
          </w:p>
        </w:tc>
      </w:tr>
      <w:tr>
        <w:trPr>
          <w:trHeight w:val="27"/>
        </w:trPr>
        <w:tc>
          <w:tcPr>
            <w:tcW w:w="7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bl>
    <w:p>
      <w:pPr>
        <w:spacing w:after="0" w:line="279" w:lineRule="exact"/>
        <w:rPr>
          <w:sz w:val="20"/>
          <w:szCs w:val="20"/>
          <w:color w:val="auto"/>
        </w:rPr>
      </w:pPr>
    </w:p>
    <w:p>
      <w:pPr>
        <w:ind w:left="8" w:right="40"/>
        <w:spacing w:after="0" w:line="276" w:lineRule="auto"/>
        <w:rPr>
          <w:sz w:val="20"/>
          <w:szCs w:val="20"/>
          <w:color w:val="auto"/>
        </w:rPr>
      </w:pPr>
      <w:r>
        <w:rPr>
          <w:rFonts w:ascii="Arial" w:cs="Arial" w:eastAsia="Arial" w:hAnsi="Arial"/>
          <w:sz w:val="12"/>
          <w:szCs w:val="12"/>
          <w:color w:val="auto"/>
        </w:rPr>
        <w:t>Our principal geographical regions consist of the United States and Latin America, which includes Mexico, Colombia and Nicaragua. Summarized geographical information related to the Company’s revenues for the years ended December 31 2017, 2016 and for the period from April 24, 2015 to December 31, 2015 is as follows:</w:t>
      </w:r>
    </w:p>
    <w:p>
      <w:pPr>
        <w:spacing w:after="0" w:line="27"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5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204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0"/>
                <w:szCs w:val="10"/>
                <w:b w:val="1"/>
                <w:bCs w:val="1"/>
                <w:color w:val="auto"/>
              </w:rPr>
              <w:t>Year Ended December 31,</w:t>
            </w:r>
          </w:p>
        </w:tc>
        <w:tc>
          <w:tcPr>
            <w:tcW w:w="102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80" w:type="dxa"/>
            <w:vAlign w:val="bottom"/>
            <w:gridSpan w:val="2"/>
          </w:tcPr>
          <w:p>
            <w:pPr>
              <w:ind w:left="400"/>
              <w:spacing w:after="0"/>
              <w:rPr>
                <w:sz w:val="20"/>
                <w:szCs w:val="20"/>
                <w:color w:val="auto"/>
              </w:rPr>
            </w:pPr>
            <w:r>
              <w:rPr>
                <w:rFonts w:ascii="Arial" w:cs="Arial" w:eastAsia="Arial" w:hAnsi="Arial"/>
                <w:sz w:val="10"/>
                <w:szCs w:val="10"/>
                <w:b w:val="1"/>
                <w:bCs w:val="1"/>
                <w:color w:val="auto"/>
              </w:rPr>
              <w:t>Period from</w:t>
            </w:r>
          </w:p>
        </w:tc>
      </w:tr>
      <w:tr>
        <w:trPr>
          <w:trHeight w:val="151"/>
        </w:trPr>
        <w:tc>
          <w:tcPr>
            <w:tcW w:w="582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(Thousands)</w:t>
            </w:r>
          </w:p>
        </w:tc>
        <w:tc>
          <w:tcPr>
            <w:tcW w:w="180" w:type="dxa"/>
            <w:vAlign w:val="bottom"/>
            <w:tcBorders>
              <w:bottom w:val="single" w:sz="8" w:color="CFF0FC"/>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605"/>
              <w:spacing w:after="0"/>
              <w:rPr>
                <w:sz w:val="20"/>
                <w:szCs w:val="20"/>
                <w:color w:val="auto"/>
              </w:rPr>
            </w:pPr>
            <w:r>
              <w:rPr>
                <w:rFonts w:ascii="Arial" w:cs="Arial" w:eastAsia="Arial" w:hAnsi="Arial"/>
                <w:sz w:val="10"/>
                <w:szCs w:val="10"/>
                <w:b w:val="1"/>
                <w:bCs w:val="1"/>
                <w:color w:val="auto"/>
              </w:rPr>
              <w:t>2017</w:t>
            </w:r>
          </w:p>
        </w:tc>
        <w:tc>
          <w:tcPr>
            <w:tcW w:w="28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603"/>
              <w:spacing w:after="0"/>
              <w:rPr>
                <w:sz w:val="20"/>
                <w:szCs w:val="20"/>
                <w:color w:val="auto"/>
              </w:rPr>
            </w:pPr>
            <w:r>
              <w:rPr>
                <w:rFonts w:ascii="Arial" w:cs="Arial" w:eastAsia="Arial" w:hAnsi="Arial"/>
                <w:sz w:val="10"/>
                <w:szCs w:val="10"/>
                <w:b w:val="1"/>
                <w:bCs w:val="1"/>
                <w:color w:val="auto"/>
              </w:rPr>
              <w:t>2016</w:t>
            </w:r>
          </w:p>
        </w:tc>
        <w:tc>
          <w:tcPr>
            <w:tcW w:w="28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145"/>
              <w:spacing w:after="0"/>
              <w:rPr>
                <w:sz w:val="20"/>
                <w:szCs w:val="20"/>
                <w:color w:val="auto"/>
              </w:rPr>
            </w:pPr>
            <w:r>
              <w:rPr>
                <w:rFonts w:ascii="Arial" w:cs="Arial" w:eastAsia="Arial" w:hAnsi="Arial"/>
                <w:sz w:val="10"/>
                <w:szCs w:val="10"/>
                <w:b w:val="1"/>
                <w:bCs w:val="1"/>
                <w:color w:val="auto"/>
                <w:w w:val="91"/>
              </w:rPr>
              <w:t>April 24 - December 31, 2015</w:t>
            </w:r>
          </w:p>
        </w:tc>
        <w:tc>
          <w:tcPr>
            <w:tcW w:w="120" w:type="dxa"/>
            <w:vAlign w:val="bottom"/>
            <w:tcBorders>
              <w:bottom w:val="single" w:sz="8" w:color="CFF0FC"/>
            </w:tcBorders>
          </w:tcPr>
          <w:p>
            <w:pPr>
              <w:spacing w:after="0"/>
              <w:rPr>
                <w:sz w:val="13"/>
                <w:szCs w:val="13"/>
                <w:color w:val="auto"/>
              </w:rPr>
            </w:pPr>
          </w:p>
        </w:tc>
      </w:tr>
      <w:tr>
        <w:trPr>
          <w:trHeight w:val="151"/>
        </w:trPr>
        <w:tc>
          <w:tcPr>
            <w:tcW w:w="60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United States revenues</w:t>
            </w:r>
          </w:p>
        </w:tc>
        <w:tc>
          <w:tcPr>
            <w:tcW w:w="420" w:type="dxa"/>
            <w:vAlign w:val="bottom"/>
            <w:shd w:val="clear" w:color="auto" w:fill="CFF0FC"/>
          </w:tcPr>
          <w:p>
            <w:pPr>
              <w:jc w:val="right"/>
              <w:ind w:right="310"/>
              <w:spacing w:after="0"/>
              <w:rPr>
                <w:sz w:val="20"/>
                <w:szCs w:val="20"/>
                <w:color w:val="auto"/>
              </w:rPr>
            </w:pPr>
            <w:r>
              <w:rPr>
                <w:rFonts w:ascii="Arial" w:cs="Arial" w:eastAsia="Arial" w:hAnsi="Arial"/>
                <w:sz w:val="10"/>
                <w:szCs w:val="10"/>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908,576</w:t>
            </w:r>
          </w:p>
        </w:tc>
        <w:tc>
          <w:tcPr>
            <w:tcW w:w="280" w:type="dxa"/>
            <w:vAlign w:val="bottom"/>
            <w:shd w:val="clear" w:color="auto" w:fill="CFF0FC"/>
          </w:tcPr>
          <w:p>
            <w:pPr>
              <w:spacing w:after="0"/>
              <w:rPr>
                <w:sz w:val="13"/>
                <w:szCs w:val="13"/>
                <w:color w:val="auto"/>
              </w:rPr>
            </w:pPr>
          </w:p>
        </w:tc>
        <w:tc>
          <w:tcPr>
            <w:tcW w:w="580" w:type="dxa"/>
            <w:vAlign w:val="bottom"/>
            <w:shd w:val="clear" w:color="auto" w:fill="CFF0FC"/>
          </w:tcPr>
          <w:p>
            <w:pPr>
              <w:jc w:val="right"/>
              <w:ind w:right="470"/>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770,351</w:t>
            </w:r>
          </w:p>
        </w:tc>
        <w:tc>
          <w:tcPr>
            <w:tcW w:w="420" w:type="dxa"/>
            <w:vAlign w:val="bottom"/>
            <w:gridSpan w:val="2"/>
            <w:shd w:val="clear" w:color="auto" w:fill="CFF0FC"/>
          </w:tcPr>
          <w:p>
            <w:pPr>
              <w:jc w:val="right"/>
              <w:ind w:right="30"/>
              <w:spacing w:after="0"/>
              <w:rPr>
                <w:sz w:val="20"/>
                <w:szCs w:val="20"/>
                <w:color w:val="auto"/>
              </w:rPr>
            </w:pPr>
            <w:r>
              <w:rPr>
                <w:rFonts w:ascii="Arial" w:cs="Arial" w:eastAsia="Arial" w:hAnsi="Arial"/>
                <w:sz w:val="12"/>
                <w:szCs w:val="12"/>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476,314</w:t>
            </w:r>
          </w:p>
        </w:tc>
        <w:tc>
          <w:tcPr>
            <w:tcW w:w="120" w:type="dxa"/>
            <w:vAlign w:val="bottom"/>
            <w:shd w:val="clear" w:color="auto" w:fill="CFF0FC"/>
          </w:tcPr>
          <w:p>
            <w:pPr>
              <w:spacing w:after="0"/>
              <w:rPr>
                <w:sz w:val="13"/>
                <w:szCs w:val="13"/>
                <w:color w:val="auto"/>
              </w:rPr>
            </w:pPr>
          </w:p>
        </w:tc>
      </w:tr>
      <w:tr>
        <w:trPr>
          <w:trHeight w:val="153"/>
        </w:trPr>
        <w:tc>
          <w:tcPr>
            <w:tcW w:w="6000" w:type="dxa"/>
            <w:vAlign w:val="bottom"/>
            <w:tcBorders>
              <w:bottom w:val="single" w:sz="8" w:color="CFF0FC"/>
            </w:tcBorders>
            <w:gridSpan w:val="2"/>
          </w:tcPr>
          <w:p>
            <w:pPr>
              <w:spacing w:after="0"/>
              <w:rPr>
                <w:sz w:val="20"/>
                <w:szCs w:val="20"/>
                <w:color w:val="auto"/>
              </w:rPr>
            </w:pPr>
            <w:r>
              <w:rPr>
                <w:rFonts w:ascii="Arial" w:cs="Arial" w:eastAsia="Arial" w:hAnsi="Arial"/>
                <w:sz w:val="12"/>
                <w:szCs w:val="12"/>
                <w:color w:val="auto"/>
              </w:rPr>
              <w:t>Latin America revenues</w:t>
            </w:r>
          </w:p>
        </w:tc>
        <w:tc>
          <w:tcPr>
            <w:tcW w:w="4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7,456</w:t>
            </w:r>
          </w:p>
        </w:tc>
        <w:tc>
          <w:tcPr>
            <w:tcW w:w="28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57</w:t>
            </w:r>
          </w:p>
        </w:tc>
        <w:tc>
          <w:tcPr>
            <w:tcW w:w="28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FF0FC"/>
            </w:tcBorders>
          </w:tcPr>
          <w:p>
            <w:pPr>
              <w:spacing w:after="0"/>
              <w:rPr>
                <w:sz w:val="13"/>
                <w:szCs w:val="13"/>
                <w:color w:val="auto"/>
              </w:rPr>
            </w:pPr>
          </w:p>
        </w:tc>
      </w:tr>
      <w:tr>
        <w:trPr>
          <w:trHeight w:val="149"/>
        </w:trPr>
        <w:tc>
          <w:tcPr>
            <w:tcW w:w="600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2"/>
                <w:szCs w:val="12"/>
                <w:color w:val="auto"/>
              </w:rPr>
              <w:t>Total revenues</w:t>
            </w:r>
          </w:p>
        </w:tc>
        <w:tc>
          <w:tcPr>
            <w:tcW w:w="420" w:type="dxa"/>
            <w:vAlign w:val="bottom"/>
            <w:tcBorders>
              <w:bottom w:val="single" w:sz="8" w:color="auto"/>
            </w:tcBorders>
            <w:shd w:val="clear" w:color="auto" w:fill="CFF0FC"/>
          </w:tcPr>
          <w:p>
            <w:pPr>
              <w:jc w:val="right"/>
              <w:ind w:right="310"/>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916,032</w:t>
            </w:r>
          </w:p>
        </w:tc>
        <w:tc>
          <w:tcPr>
            <w:tcW w:w="280" w:type="dxa"/>
            <w:vAlign w:val="bottom"/>
            <w:tcBorders>
              <w:bottom w:val="single" w:sz="8" w:color="CFF0FC"/>
            </w:tcBorders>
            <w:shd w:val="clear" w:color="auto" w:fill="CFF0FC"/>
          </w:tcPr>
          <w:p>
            <w:pPr>
              <w:spacing w:after="0"/>
              <w:rPr>
                <w:sz w:val="12"/>
                <w:szCs w:val="12"/>
                <w:color w:val="auto"/>
              </w:rPr>
            </w:pPr>
          </w:p>
        </w:tc>
        <w:tc>
          <w:tcPr>
            <w:tcW w:w="580" w:type="dxa"/>
            <w:vAlign w:val="bottom"/>
            <w:tcBorders>
              <w:bottom w:val="single" w:sz="8" w:color="auto"/>
            </w:tcBorders>
            <w:shd w:val="clear" w:color="auto" w:fill="CFF0FC"/>
          </w:tcPr>
          <w:p>
            <w:pPr>
              <w:jc w:val="right"/>
              <w:ind w:right="470"/>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770,408</w:t>
            </w:r>
          </w:p>
        </w:tc>
        <w:tc>
          <w:tcPr>
            <w:tcW w:w="28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0"/>
                <w:szCs w:val="10"/>
                <w:color w:val="auto"/>
                <w:w w:val="71"/>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476,314</w:t>
            </w:r>
          </w:p>
        </w:tc>
        <w:tc>
          <w:tcPr>
            <w:tcW w:w="120" w:type="dxa"/>
            <w:vAlign w:val="bottom"/>
            <w:tcBorders>
              <w:bottom w:val="single" w:sz="8" w:color="CFF0FC"/>
            </w:tcBorders>
            <w:shd w:val="clear" w:color="auto" w:fill="CFF0FC"/>
          </w:tcPr>
          <w:p>
            <w:pPr>
              <w:spacing w:after="0"/>
              <w:rPr>
                <w:sz w:val="12"/>
                <w:szCs w:val="12"/>
                <w:color w:val="auto"/>
              </w:rPr>
            </w:pPr>
          </w:p>
        </w:tc>
      </w:tr>
    </w:tbl>
    <w:p>
      <w:pPr>
        <w:spacing w:after="0" w:line="126" w:lineRule="exact"/>
        <w:rPr>
          <w:sz w:val="20"/>
          <w:szCs w:val="20"/>
          <w:color w:val="auto"/>
        </w:rPr>
      </w:pPr>
    </w:p>
    <w:p>
      <w:pPr>
        <w:ind w:left="8"/>
        <w:spacing w:after="0"/>
        <w:rPr>
          <w:sz w:val="20"/>
          <w:szCs w:val="20"/>
          <w:color w:val="auto"/>
        </w:rPr>
      </w:pPr>
      <w:r>
        <w:rPr>
          <w:rFonts w:ascii="Arial" w:cs="Arial" w:eastAsia="Arial" w:hAnsi="Arial"/>
          <w:sz w:val="12"/>
          <w:szCs w:val="12"/>
          <w:color w:val="auto"/>
        </w:rPr>
        <w:t>Summarized geographical information related to the Company’s long-lived assets as of December 31, 2017 and 2016 is as follows:</w:t>
      </w:r>
    </w:p>
    <w:p>
      <w:pPr>
        <w:spacing w:after="0" w:line="197"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360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206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0"/>
                <w:szCs w:val="10"/>
                <w:b w:val="1"/>
                <w:bCs w:val="1"/>
                <w:color w:val="auto"/>
              </w:rPr>
              <w:t>December 31,</w:t>
            </w:r>
          </w:p>
        </w:tc>
        <w:tc>
          <w:tcPr>
            <w:tcW w:w="126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51"/>
        </w:trPr>
        <w:tc>
          <w:tcPr>
            <w:tcW w:w="36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(Thousands)</w:t>
            </w:r>
          </w:p>
        </w:tc>
        <w:tc>
          <w:tcPr>
            <w:tcW w:w="378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665"/>
              <w:spacing w:after="0"/>
              <w:rPr>
                <w:sz w:val="20"/>
                <w:szCs w:val="20"/>
                <w:color w:val="auto"/>
              </w:rPr>
            </w:pPr>
            <w:r>
              <w:rPr>
                <w:rFonts w:ascii="Arial" w:cs="Arial" w:eastAsia="Arial" w:hAnsi="Arial"/>
                <w:sz w:val="10"/>
                <w:szCs w:val="10"/>
                <w:b w:val="1"/>
                <w:bCs w:val="1"/>
                <w:color w:val="auto"/>
              </w:rPr>
              <w:t>2017</w:t>
            </w:r>
          </w:p>
        </w:tc>
        <w:tc>
          <w:tcPr>
            <w:tcW w:w="32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663"/>
              <w:spacing w:after="0"/>
              <w:rPr>
                <w:sz w:val="20"/>
                <w:szCs w:val="20"/>
                <w:color w:val="auto"/>
              </w:rPr>
            </w:pPr>
            <w:r>
              <w:rPr>
                <w:rFonts w:ascii="Arial" w:cs="Arial" w:eastAsia="Arial" w:hAnsi="Arial"/>
                <w:sz w:val="10"/>
                <w:szCs w:val="10"/>
                <w:b w:val="1"/>
                <w:bCs w:val="1"/>
                <w:color w:val="auto"/>
              </w:rPr>
              <w:t>2016</w:t>
            </w:r>
          </w:p>
        </w:tc>
        <w:tc>
          <w:tcPr>
            <w:tcW w:w="12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r>
      <w:tr>
        <w:trPr>
          <w:trHeight w:val="151"/>
        </w:trPr>
        <w:tc>
          <w:tcPr>
            <w:tcW w:w="3600" w:type="dxa"/>
            <w:vAlign w:val="bottom"/>
            <w:shd w:val="clear" w:color="auto" w:fill="CFF0FC"/>
          </w:tcPr>
          <w:p>
            <w:pPr>
              <w:spacing w:after="0"/>
              <w:rPr>
                <w:sz w:val="20"/>
                <w:szCs w:val="20"/>
                <w:color w:val="auto"/>
              </w:rPr>
            </w:pPr>
            <w:r>
              <w:rPr>
                <w:rFonts w:ascii="Arial" w:cs="Arial" w:eastAsia="Arial" w:hAnsi="Arial"/>
                <w:sz w:val="12"/>
                <w:szCs w:val="12"/>
                <w:color w:val="auto"/>
              </w:rPr>
              <w:t>United States long-lived assets</w:t>
            </w:r>
          </w:p>
        </w:tc>
        <w:tc>
          <w:tcPr>
            <w:tcW w:w="4440" w:type="dxa"/>
            <w:vAlign w:val="bottom"/>
            <w:gridSpan w:val="3"/>
            <w:shd w:val="clear" w:color="auto" w:fill="CFF0FC"/>
          </w:tcPr>
          <w:p>
            <w:pPr>
              <w:jc w:val="right"/>
              <w:ind w:right="380"/>
              <w:spacing w:after="0"/>
              <w:rPr>
                <w:sz w:val="20"/>
                <w:szCs w:val="20"/>
                <w:color w:val="auto"/>
              </w:rPr>
            </w:pPr>
            <w:r>
              <w:rPr>
                <w:rFonts w:ascii="Arial" w:cs="Arial" w:eastAsia="Arial" w:hAnsi="Arial"/>
                <w:sz w:val="12"/>
                <w:szCs w:val="12"/>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3,382,894</w:t>
            </w:r>
          </w:p>
        </w:tc>
        <w:tc>
          <w:tcPr>
            <w:tcW w:w="320" w:type="dxa"/>
            <w:vAlign w:val="bottom"/>
            <w:shd w:val="clear" w:color="auto" w:fill="CFF0FC"/>
          </w:tcPr>
          <w:p>
            <w:pPr>
              <w:spacing w:after="0"/>
              <w:rPr>
                <w:sz w:val="13"/>
                <w:szCs w:val="13"/>
                <w:color w:val="auto"/>
              </w:rPr>
            </w:pPr>
          </w:p>
        </w:tc>
        <w:tc>
          <w:tcPr>
            <w:tcW w:w="460" w:type="dxa"/>
            <w:vAlign w:val="bottom"/>
            <w:shd w:val="clear" w:color="auto" w:fill="CFF0FC"/>
          </w:tcPr>
          <w:p>
            <w:pPr>
              <w:jc w:val="right"/>
              <w:ind w:right="350"/>
              <w:spacing w:after="0"/>
              <w:rPr>
                <w:sz w:val="20"/>
                <w:szCs w:val="20"/>
                <w:color w:val="auto"/>
              </w:rPr>
            </w:pPr>
            <w:r>
              <w:rPr>
                <w:rFonts w:ascii="Arial" w:cs="Arial" w:eastAsia="Arial" w:hAnsi="Arial"/>
                <w:sz w:val="10"/>
                <w:szCs w:val="10"/>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2,826,442</w:t>
            </w: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3600" w:type="dxa"/>
            <w:vAlign w:val="bottom"/>
            <w:tcBorders>
              <w:bottom w:val="single" w:sz="8" w:color="CFF0FC"/>
            </w:tcBorders>
          </w:tcPr>
          <w:p>
            <w:pPr>
              <w:spacing w:after="0"/>
              <w:rPr>
                <w:sz w:val="20"/>
                <w:szCs w:val="20"/>
                <w:color w:val="auto"/>
              </w:rPr>
            </w:pPr>
            <w:r>
              <w:rPr>
                <w:rFonts w:ascii="Arial" w:cs="Arial" w:eastAsia="Arial" w:hAnsi="Arial"/>
                <w:sz w:val="12"/>
                <w:szCs w:val="12"/>
                <w:color w:val="auto"/>
              </w:rPr>
              <w:t>Latin America long-lived assets</w:t>
            </w:r>
          </w:p>
        </w:tc>
        <w:tc>
          <w:tcPr>
            <w:tcW w:w="3780" w:type="dxa"/>
            <w:vAlign w:val="bottom"/>
            <w:tcBorders>
              <w:bottom w:val="single" w:sz="8" w:color="CFF0FC"/>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98,352</w:t>
            </w:r>
          </w:p>
        </w:tc>
        <w:tc>
          <w:tcPr>
            <w:tcW w:w="32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2,179</w:t>
            </w:r>
          </w:p>
        </w:tc>
        <w:tc>
          <w:tcPr>
            <w:tcW w:w="12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3600" w:type="dxa"/>
            <w:vAlign w:val="bottom"/>
            <w:shd w:val="clear" w:color="auto" w:fill="CFF0FC"/>
          </w:tcPr>
          <w:p>
            <w:pPr>
              <w:spacing w:after="0"/>
              <w:rPr>
                <w:sz w:val="20"/>
                <w:szCs w:val="20"/>
                <w:color w:val="auto"/>
              </w:rPr>
            </w:pPr>
            <w:r>
              <w:rPr>
                <w:rFonts w:ascii="Arial" w:cs="Arial" w:eastAsia="Arial" w:hAnsi="Arial"/>
                <w:sz w:val="12"/>
                <w:szCs w:val="12"/>
                <w:color w:val="auto"/>
              </w:rPr>
              <w:t>Total long-lived assets</w:t>
            </w:r>
          </w:p>
        </w:tc>
        <w:tc>
          <w:tcPr>
            <w:tcW w:w="4440" w:type="dxa"/>
            <w:vAlign w:val="bottom"/>
            <w:gridSpan w:val="3"/>
            <w:shd w:val="clear" w:color="auto" w:fill="CFF0FC"/>
          </w:tcPr>
          <w:p>
            <w:pPr>
              <w:jc w:val="right"/>
              <w:ind w:right="380"/>
              <w:spacing w:after="0"/>
              <w:rPr>
                <w:sz w:val="20"/>
                <w:szCs w:val="20"/>
                <w:color w:val="auto"/>
              </w:rPr>
            </w:pPr>
            <w:r>
              <w:rPr>
                <w:rFonts w:ascii="Arial" w:cs="Arial" w:eastAsia="Arial" w:hAnsi="Arial"/>
                <w:sz w:val="12"/>
                <w:szCs w:val="12"/>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3,481,246</w:t>
            </w:r>
          </w:p>
        </w:tc>
        <w:tc>
          <w:tcPr>
            <w:tcW w:w="320" w:type="dxa"/>
            <w:vAlign w:val="bottom"/>
            <w:shd w:val="clear" w:color="auto" w:fill="CFF0FC"/>
          </w:tcPr>
          <w:p>
            <w:pPr>
              <w:spacing w:after="0"/>
              <w:rPr>
                <w:sz w:val="14"/>
                <w:szCs w:val="14"/>
                <w:color w:val="auto"/>
              </w:rPr>
            </w:pPr>
          </w:p>
        </w:tc>
        <w:tc>
          <w:tcPr>
            <w:tcW w:w="460" w:type="dxa"/>
            <w:vAlign w:val="bottom"/>
            <w:shd w:val="clear" w:color="auto" w:fill="CFF0FC"/>
          </w:tcPr>
          <w:p>
            <w:pPr>
              <w:jc w:val="right"/>
              <w:ind w:right="350"/>
              <w:spacing w:after="0"/>
              <w:rPr>
                <w:sz w:val="20"/>
                <w:szCs w:val="20"/>
                <w:color w:val="auto"/>
              </w:rPr>
            </w:pPr>
            <w:r>
              <w:rPr>
                <w:rFonts w:ascii="Arial" w:cs="Arial" w:eastAsia="Arial" w:hAnsi="Arial"/>
                <w:sz w:val="10"/>
                <w:szCs w:val="10"/>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2,828,621</w:t>
            </w:r>
          </w:p>
        </w:tc>
        <w:tc>
          <w:tcPr>
            <w:tcW w:w="12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r>
      <w:tr>
        <w:trPr>
          <w:trHeight w:val="275"/>
        </w:trPr>
        <w:tc>
          <w:tcPr>
            <w:tcW w:w="3600" w:type="dxa"/>
            <w:vAlign w:val="bottom"/>
            <w:tcBorders>
              <w:top w:val="single" w:sz="8" w:color="CFF0FC"/>
            </w:tcBorders>
          </w:tcPr>
          <w:p>
            <w:pPr>
              <w:spacing w:after="0"/>
              <w:rPr>
                <w:sz w:val="23"/>
                <w:szCs w:val="23"/>
                <w:color w:val="auto"/>
              </w:rPr>
            </w:pPr>
          </w:p>
        </w:tc>
        <w:tc>
          <w:tcPr>
            <w:tcW w:w="3780" w:type="dxa"/>
            <w:vAlign w:val="bottom"/>
            <w:tcBorders>
              <w:top w:val="single" w:sz="8" w:color="CFF0FC"/>
            </w:tcBorders>
          </w:tcPr>
          <w:p>
            <w:pPr>
              <w:jc w:val="right"/>
              <w:ind w:right="1520"/>
              <w:spacing w:after="0"/>
              <w:rPr>
                <w:sz w:val="20"/>
                <w:szCs w:val="20"/>
                <w:color w:val="auto"/>
              </w:rPr>
            </w:pPr>
            <w:r>
              <w:rPr>
                <w:rFonts w:ascii="Arial" w:cs="Arial" w:eastAsia="Arial" w:hAnsi="Arial"/>
                <w:sz w:val="12"/>
                <w:szCs w:val="12"/>
                <w:color w:val="auto"/>
              </w:rPr>
              <w:t>86</w:t>
            </w:r>
          </w:p>
        </w:tc>
        <w:tc>
          <w:tcPr>
            <w:tcW w:w="220" w:type="dxa"/>
            <w:vAlign w:val="bottom"/>
            <w:tcBorders>
              <w:top w:val="single" w:sz="8" w:color="CFF0FC"/>
            </w:tcBorders>
          </w:tcPr>
          <w:p>
            <w:pPr>
              <w:spacing w:after="0"/>
              <w:rPr>
                <w:sz w:val="23"/>
                <w:szCs w:val="23"/>
                <w:color w:val="auto"/>
              </w:rPr>
            </w:pPr>
          </w:p>
        </w:tc>
        <w:tc>
          <w:tcPr>
            <w:tcW w:w="440" w:type="dxa"/>
            <w:vAlign w:val="bottom"/>
            <w:tcBorders>
              <w:top w:val="single" w:sz="8" w:color="auto"/>
            </w:tcBorders>
          </w:tcPr>
          <w:p>
            <w:pPr>
              <w:spacing w:after="0"/>
              <w:rPr>
                <w:sz w:val="23"/>
                <w:szCs w:val="23"/>
                <w:color w:val="auto"/>
              </w:rPr>
            </w:pPr>
          </w:p>
        </w:tc>
        <w:tc>
          <w:tcPr>
            <w:tcW w:w="1280" w:type="dxa"/>
            <w:vAlign w:val="bottom"/>
            <w:tcBorders>
              <w:top w:val="single" w:sz="8" w:color="auto"/>
            </w:tcBorders>
          </w:tcPr>
          <w:p>
            <w:pPr>
              <w:spacing w:after="0"/>
              <w:rPr>
                <w:sz w:val="23"/>
                <w:szCs w:val="23"/>
                <w:color w:val="auto"/>
              </w:rPr>
            </w:pPr>
          </w:p>
        </w:tc>
        <w:tc>
          <w:tcPr>
            <w:tcW w:w="320" w:type="dxa"/>
            <w:vAlign w:val="bottom"/>
            <w:tcBorders>
              <w:top w:val="single" w:sz="8" w:color="CFF0FC"/>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120" w:type="dxa"/>
            <w:vAlign w:val="bottom"/>
            <w:tcBorders>
              <w:top w:val="single" w:sz="8" w:color="CFF0FC"/>
            </w:tcBorders>
          </w:tcPr>
          <w:p>
            <w:pPr>
              <w:spacing w:after="0"/>
              <w:rPr>
                <w:sz w:val="23"/>
                <w:szCs w:val="23"/>
                <w:color w:val="auto"/>
              </w:rPr>
            </w:pPr>
          </w:p>
        </w:tc>
        <w:tc>
          <w:tcPr>
            <w:tcW w:w="20" w:type="dxa"/>
            <w:vAlign w:val="bottom"/>
          </w:tcPr>
          <w:p>
            <w:pPr>
              <w:spacing w:after="0"/>
              <w:rPr>
                <w:sz w:val="23"/>
                <w:szCs w:val="23"/>
                <w:color w:val="auto"/>
              </w:rPr>
            </w:pPr>
          </w:p>
        </w:tc>
      </w:tr>
      <w:tr>
        <w:trPr>
          <w:trHeight w:val="72"/>
        </w:trPr>
        <w:tc>
          <w:tcPr>
            <w:tcW w:w="3600" w:type="dxa"/>
            <w:vAlign w:val="bottom"/>
            <w:tcBorders>
              <w:bottom w:val="single" w:sz="8" w:color="9A9A9A"/>
            </w:tcBorders>
          </w:tcPr>
          <w:p>
            <w:pPr>
              <w:spacing w:after="0"/>
              <w:rPr>
                <w:sz w:val="6"/>
                <w:szCs w:val="6"/>
                <w:color w:val="auto"/>
              </w:rPr>
            </w:pPr>
          </w:p>
        </w:tc>
        <w:tc>
          <w:tcPr>
            <w:tcW w:w="378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440" w:type="dxa"/>
            <w:vAlign w:val="bottom"/>
            <w:tcBorders>
              <w:bottom w:val="single" w:sz="8" w:color="9A9A9A"/>
            </w:tcBorders>
          </w:tcPr>
          <w:p>
            <w:pPr>
              <w:spacing w:after="0"/>
              <w:rPr>
                <w:sz w:val="6"/>
                <w:szCs w:val="6"/>
                <w:color w:val="auto"/>
              </w:rPr>
            </w:pPr>
          </w:p>
        </w:tc>
        <w:tc>
          <w:tcPr>
            <w:tcW w:w="128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460" w:type="dxa"/>
            <w:vAlign w:val="bottom"/>
            <w:tcBorders>
              <w:bottom w:val="single" w:sz="8" w:color="9A9A9A"/>
            </w:tcBorders>
          </w:tcPr>
          <w:p>
            <w:pPr>
              <w:spacing w:after="0"/>
              <w:rPr>
                <w:sz w:val="6"/>
                <w:szCs w:val="6"/>
                <w:color w:val="auto"/>
              </w:rPr>
            </w:pPr>
          </w:p>
        </w:tc>
        <w:tc>
          <w:tcPr>
            <w:tcW w:w="126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7285355</wp:posOffset>
            </wp:positionH>
            <wp:positionV relativeFrom="paragraph">
              <wp:posOffset>-23495</wp:posOffset>
            </wp:positionV>
            <wp:extent cx="31115" cy="368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-23495</wp:posOffset>
            </wp:positionV>
            <wp:extent cx="31115" cy="368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8"/>
          </w:cols>
          <w:pgMar w:left="212" w:top="130" w:right="179" w:bottom="1440" w:gutter="0" w:footer="0" w:header="0"/>
        </w:sectPr>
      </w:pPr>
    </w:p>
    <w:bookmarkStart w:id="86" w:name="page87"/>
    <w:bookmarkEnd w:id="86"/>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Uniti Group Inc.</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the Consolidated Financial Statements – Continued</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14. Commitments and Contingencies</w:t>
      </w:r>
    </w:p>
    <w:p>
      <w:pPr>
        <w:spacing w:after="0" w:line="82" w:lineRule="exact"/>
        <w:rPr>
          <w:sz w:val="20"/>
          <w:szCs w:val="20"/>
          <w:color w:val="auto"/>
        </w:rPr>
      </w:pPr>
    </w:p>
    <w:p>
      <w:pPr>
        <w:ind w:right="460"/>
        <w:spacing w:after="0" w:line="276" w:lineRule="auto"/>
        <w:rPr>
          <w:sz w:val="20"/>
          <w:szCs w:val="20"/>
          <w:color w:val="auto"/>
        </w:rPr>
      </w:pPr>
      <w:r>
        <w:rPr>
          <w:rFonts w:ascii="Arial" w:cs="Arial" w:eastAsia="Arial" w:hAnsi="Arial"/>
          <w:sz w:val="12"/>
          <w:szCs w:val="12"/>
          <w:color w:val="auto"/>
        </w:rPr>
        <w:t>In the ordinary course of our business, we are subject to claims and administrative proceedings, none of which we believe are material or would be expected to have, individually or in the aggregate, a material adverse effect on our business, financial condition, cash flows or results of operations.</w:t>
      </w:r>
    </w:p>
    <w:p>
      <w:pPr>
        <w:spacing w:after="0" w:line="115" w:lineRule="exact"/>
        <w:rPr>
          <w:sz w:val="20"/>
          <w:szCs w:val="20"/>
          <w:color w:val="auto"/>
        </w:rPr>
      </w:pPr>
    </w:p>
    <w:p>
      <w:pPr>
        <w:ind w:right="120"/>
        <w:spacing w:after="0" w:line="263" w:lineRule="auto"/>
        <w:rPr>
          <w:sz w:val="20"/>
          <w:szCs w:val="20"/>
          <w:color w:val="auto"/>
        </w:rPr>
      </w:pPr>
      <w:r>
        <w:rPr>
          <w:rFonts w:ascii="Arial" w:cs="Arial" w:eastAsia="Arial" w:hAnsi="Arial"/>
          <w:sz w:val="12"/>
          <w:szCs w:val="12"/>
          <w:color w:val="auto"/>
        </w:rPr>
        <w:t>We have fiber lease agreements and office space lease agreements under non-cancelable operating leases. Rental expense under operating leases for the years ended December 31, 2017, 2016 and for the period from April 24, 2015 to December 31, 2015 approximated $25.2 million, $10.9 million and $132,000, respectively. Future minimum payments, by year and in the aggregate, under non-cancellable operating leases with initial or remaining lease terms of one year or more, are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36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(Thousands)</w:t>
            </w:r>
          </w:p>
        </w:tc>
        <w:tc>
          <w:tcPr>
            <w:tcW w:w="200" w:type="dxa"/>
            <w:vAlign w:val="bottom"/>
            <w:tcBorders>
              <w:bottom w:val="single" w:sz="8" w:color="CFF0FC"/>
            </w:tcBorders>
          </w:tcPr>
          <w:p>
            <w:pPr>
              <w:spacing w:after="0"/>
              <w:rPr>
                <w:sz w:val="10"/>
                <w:szCs w:val="10"/>
                <w:color w:val="auto"/>
              </w:rPr>
            </w:pPr>
          </w:p>
        </w:tc>
        <w:tc>
          <w:tcPr>
            <w:tcW w:w="1260" w:type="dxa"/>
            <w:vAlign w:val="bottom"/>
            <w:tcBorders>
              <w:bottom w:val="single" w:sz="8" w:color="CFF0FC"/>
            </w:tcBorders>
          </w:tcPr>
          <w:p>
            <w:pPr>
              <w:spacing w:after="0"/>
              <w:rPr>
                <w:sz w:val="10"/>
                <w:szCs w:val="10"/>
                <w:color w:val="auto"/>
              </w:rPr>
            </w:pPr>
          </w:p>
        </w:tc>
        <w:tc>
          <w:tcPr>
            <w:tcW w:w="1540" w:type="dxa"/>
            <w:vAlign w:val="bottom"/>
            <w:tcBorders>
              <w:bottom w:val="single" w:sz="8" w:color="CFF0FC"/>
            </w:tcBorders>
          </w:tcPr>
          <w:p>
            <w:pPr>
              <w:spacing w:after="0"/>
              <w:rPr>
                <w:sz w:val="10"/>
                <w:szCs w:val="10"/>
                <w:color w:val="auto"/>
              </w:rPr>
            </w:pPr>
          </w:p>
        </w:tc>
        <w:tc>
          <w:tcPr>
            <w:tcW w:w="120" w:type="dxa"/>
            <w:vAlign w:val="bottom"/>
            <w:tcBorders>
              <w:bottom w:val="single" w:sz="8" w:color="CFF0FC"/>
            </w:tcBorders>
          </w:tcPr>
          <w:p>
            <w:pPr>
              <w:spacing w:after="0"/>
              <w:rPr>
                <w:sz w:val="10"/>
                <w:szCs w:val="10"/>
                <w:color w:val="auto"/>
              </w:rPr>
            </w:pPr>
          </w:p>
        </w:tc>
      </w:tr>
      <w:tr>
        <w:trPr>
          <w:trHeight w:val="142"/>
        </w:trPr>
        <w:tc>
          <w:tcPr>
            <w:tcW w:w="8360" w:type="dxa"/>
            <w:vAlign w:val="bottom"/>
            <w:shd w:val="clear" w:color="auto" w:fill="CFF0FC"/>
          </w:tcPr>
          <w:p>
            <w:pPr>
              <w:spacing w:after="0"/>
              <w:rPr>
                <w:sz w:val="20"/>
                <w:szCs w:val="20"/>
                <w:color w:val="auto"/>
              </w:rPr>
            </w:pPr>
            <w:r>
              <w:rPr>
                <w:rFonts w:ascii="Arial" w:cs="Arial" w:eastAsia="Arial" w:hAnsi="Arial"/>
                <w:sz w:val="12"/>
                <w:szCs w:val="12"/>
                <w:color w:val="auto"/>
              </w:rPr>
              <w:t>2018</w:t>
            </w:r>
          </w:p>
        </w:tc>
        <w:tc>
          <w:tcPr>
            <w:tcW w:w="1460" w:type="dxa"/>
            <w:vAlign w:val="bottom"/>
            <w:gridSpan w:val="2"/>
            <w:shd w:val="clear" w:color="auto" w:fill="CFF0FC"/>
          </w:tcPr>
          <w:p>
            <w:pPr>
              <w:jc w:val="right"/>
              <w:ind w:right="1150"/>
              <w:spacing w:after="0"/>
              <w:rPr>
                <w:sz w:val="20"/>
                <w:szCs w:val="20"/>
                <w:color w:val="auto"/>
              </w:rPr>
            </w:pPr>
            <w:r>
              <w:rPr>
                <w:rFonts w:ascii="Arial" w:cs="Arial" w:eastAsia="Arial" w:hAnsi="Arial"/>
                <w:sz w:val="12"/>
                <w:szCs w:val="12"/>
                <w:color w:val="auto"/>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14,336</w:t>
            </w:r>
          </w:p>
        </w:tc>
        <w:tc>
          <w:tcPr>
            <w:tcW w:w="120" w:type="dxa"/>
            <w:vAlign w:val="bottom"/>
            <w:shd w:val="clear" w:color="auto" w:fill="CFF0FC"/>
          </w:tcPr>
          <w:p>
            <w:pPr>
              <w:spacing w:after="0"/>
              <w:rPr>
                <w:sz w:val="12"/>
                <w:szCs w:val="12"/>
                <w:color w:val="auto"/>
              </w:rPr>
            </w:pPr>
          </w:p>
        </w:tc>
      </w:tr>
      <w:tr>
        <w:trPr>
          <w:trHeight w:val="153"/>
        </w:trPr>
        <w:tc>
          <w:tcPr>
            <w:tcW w:w="8360" w:type="dxa"/>
            <w:vAlign w:val="bottom"/>
          </w:tcPr>
          <w:p>
            <w:pPr>
              <w:spacing w:after="0"/>
              <w:rPr>
                <w:sz w:val="20"/>
                <w:szCs w:val="20"/>
                <w:color w:val="auto"/>
              </w:rPr>
            </w:pPr>
            <w:r>
              <w:rPr>
                <w:rFonts w:ascii="Arial" w:cs="Arial" w:eastAsia="Arial" w:hAnsi="Arial"/>
                <w:sz w:val="12"/>
                <w:szCs w:val="12"/>
                <w:color w:val="auto"/>
              </w:rPr>
              <w:t>2019</w:t>
            </w:r>
          </w:p>
        </w:tc>
        <w:tc>
          <w:tcPr>
            <w:tcW w:w="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Arial" w:cs="Arial" w:eastAsia="Arial" w:hAnsi="Arial"/>
                <w:sz w:val="12"/>
                <w:szCs w:val="12"/>
                <w:color w:val="auto"/>
              </w:rPr>
              <w:t>10,007</w:t>
            </w:r>
          </w:p>
        </w:tc>
        <w:tc>
          <w:tcPr>
            <w:tcW w:w="120" w:type="dxa"/>
            <w:vAlign w:val="bottom"/>
          </w:tcPr>
          <w:p>
            <w:pPr>
              <w:spacing w:after="0"/>
              <w:rPr>
                <w:sz w:val="13"/>
                <w:szCs w:val="13"/>
                <w:color w:val="auto"/>
              </w:rPr>
            </w:pPr>
          </w:p>
        </w:tc>
      </w:tr>
      <w:tr>
        <w:trPr>
          <w:trHeight w:val="153"/>
        </w:trPr>
        <w:tc>
          <w:tcPr>
            <w:tcW w:w="8360" w:type="dxa"/>
            <w:vAlign w:val="bottom"/>
            <w:shd w:val="clear" w:color="auto" w:fill="CFF0FC"/>
          </w:tcPr>
          <w:p>
            <w:pPr>
              <w:spacing w:after="0"/>
              <w:rPr>
                <w:sz w:val="20"/>
                <w:szCs w:val="20"/>
                <w:color w:val="auto"/>
              </w:rPr>
            </w:pPr>
            <w:r>
              <w:rPr>
                <w:rFonts w:ascii="Arial" w:cs="Arial" w:eastAsia="Arial" w:hAnsi="Arial"/>
                <w:sz w:val="12"/>
                <w:szCs w:val="12"/>
                <w:color w:val="auto"/>
              </w:rPr>
              <w:t>2020</w:t>
            </w:r>
          </w:p>
        </w:tc>
        <w:tc>
          <w:tcPr>
            <w:tcW w:w="200" w:type="dxa"/>
            <w:vAlign w:val="bottom"/>
            <w:shd w:val="clear" w:color="auto" w:fill="CFF0FC"/>
          </w:tcPr>
          <w:p>
            <w:pPr>
              <w:spacing w:after="0"/>
              <w:rPr>
                <w:sz w:val="13"/>
                <w:szCs w:val="13"/>
                <w:color w:val="auto"/>
              </w:rPr>
            </w:pPr>
          </w:p>
        </w:tc>
        <w:tc>
          <w:tcPr>
            <w:tcW w:w="1260" w:type="dxa"/>
            <w:vAlign w:val="bottom"/>
            <w:shd w:val="clear" w:color="auto" w:fill="CFF0FC"/>
          </w:tcPr>
          <w:p>
            <w:pPr>
              <w:spacing w:after="0"/>
              <w:rPr>
                <w:sz w:val="13"/>
                <w:szCs w:val="13"/>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7,107</w:t>
            </w:r>
          </w:p>
        </w:tc>
        <w:tc>
          <w:tcPr>
            <w:tcW w:w="120" w:type="dxa"/>
            <w:vAlign w:val="bottom"/>
            <w:shd w:val="clear" w:color="auto" w:fill="CFF0FC"/>
          </w:tcPr>
          <w:p>
            <w:pPr>
              <w:spacing w:after="0"/>
              <w:rPr>
                <w:sz w:val="13"/>
                <w:szCs w:val="13"/>
                <w:color w:val="auto"/>
              </w:rPr>
            </w:pPr>
          </w:p>
        </w:tc>
      </w:tr>
      <w:tr>
        <w:trPr>
          <w:trHeight w:val="153"/>
        </w:trPr>
        <w:tc>
          <w:tcPr>
            <w:tcW w:w="8360" w:type="dxa"/>
            <w:vAlign w:val="bottom"/>
          </w:tcPr>
          <w:p>
            <w:pPr>
              <w:spacing w:after="0"/>
              <w:rPr>
                <w:sz w:val="20"/>
                <w:szCs w:val="20"/>
                <w:color w:val="auto"/>
              </w:rPr>
            </w:pPr>
            <w:r>
              <w:rPr>
                <w:rFonts w:ascii="Arial" w:cs="Arial" w:eastAsia="Arial" w:hAnsi="Arial"/>
                <w:sz w:val="12"/>
                <w:szCs w:val="12"/>
                <w:color w:val="auto"/>
              </w:rPr>
              <w:t>2021</w:t>
            </w:r>
          </w:p>
        </w:tc>
        <w:tc>
          <w:tcPr>
            <w:tcW w:w="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Arial" w:cs="Arial" w:eastAsia="Arial" w:hAnsi="Arial"/>
                <w:sz w:val="12"/>
                <w:szCs w:val="12"/>
                <w:color w:val="auto"/>
              </w:rPr>
              <w:t>4,411</w:t>
            </w:r>
          </w:p>
        </w:tc>
        <w:tc>
          <w:tcPr>
            <w:tcW w:w="120" w:type="dxa"/>
            <w:vAlign w:val="bottom"/>
          </w:tcPr>
          <w:p>
            <w:pPr>
              <w:spacing w:after="0"/>
              <w:rPr>
                <w:sz w:val="13"/>
                <w:szCs w:val="13"/>
                <w:color w:val="auto"/>
              </w:rPr>
            </w:pPr>
          </w:p>
        </w:tc>
      </w:tr>
      <w:tr>
        <w:trPr>
          <w:trHeight w:val="153"/>
        </w:trPr>
        <w:tc>
          <w:tcPr>
            <w:tcW w:w="8360" w:type="dxa"/>
            <w:vAlign w:val="bottom"/>
            <w:shd w:val="clear" w:color="auto" w:fill="CFF0FC"/>
          </w:tcPr>
          <w:p>
            <w:pPr>
              <w:spacing w:after="0"/>
              <w:rPr>
                <w:sz w:val="20"/>
                <w:szCs w:val="20"/>
                <w:color w:val="auto"/>
              </w:rPr>
            </w:pPr>
            <w:r>
              <w:rPr>
                <w:rFonts w:ascii="Arial" w:cs="Arial" w:eastAsia="Arial" w:hAnsi="Arial"/>
                <w:sz w:val="12"/>
                <w:szCs w:val="12"/>
                <w:color w:val="auto"/>
              </w:rPr>
              <w:t>2022</w:t>
            </w:r>
          </w:p>
        </w:tc>
        <w:tc>
          <w:tcPr>
            <w:tcW w:w="200" w:type="dxa"/>
            <w:vAlign w:val="bottom"/>
            <w:shd w:val="clear" w:color="auto" w:fill="CFF0FC"/>
          </w:tcPr>
          <w:p>
            <w:pPr>
              <w:spacing w:after="0"/>
              <w:rPr>
                <w:sz w:val="13"/>
                <w:szCs w:val="13"/>
                <w:color w:val="auto"/>
              </w:rPr>
            </w:pPr>
          </w:p>
        </w:tc>
        <w:tc>
          <w:tcPr>
            <w:tcW w:w="1260" w:type="dxa"/>
            <w:vAlign w:val="bottom"/>
            <w:shd w:val="clear" w:color="auto" w:fill="CFF0FC"/>
          </w:tcPr>
          <w:p>
            <w:pPr>
              <w:spacing w:after="0"/>
              <w:rPr>
                <w:sz w:val="13"/>
                <w:szCs w:val="13"/>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2,760</w:t>
            </w:r>
          </w:p>
        </w:tc>
        <w:tc>
          <w:tcPr>
            <w:tcW w:w="120" w:type="dxa"/>
            <w:vAlign w:val="bottom"/>
            <w:shd w:val="clear" w:color="auto" w:fill="CFF0FC"/>
          </w:tcPr>
          <w:p>
            <w:pPr>
              <w:spacing w:after="0"/>
              <w:rPr>
                <w:sz w:val="13"/>
                <w:szCs w:val="13"/>
                <w:color w:val="auto"/>
              </w:rPr>
            </w:pPr>
          </w:p>
        </w:tc>
      </w:tr>
      <w:tr>
        <w:trPr>
          <w:trHeight w:val="153"/>
        </w:trPr>
        <w:tc>
          <w:tcPr>
            <w:tcW w:w="8360" w:type="dxa"/>
            <w:vAlign w:val="bottom"/>
            <w:tcBorders>
              <w:bottom w:val="single" w:sz="8" w:color="CFF0FC"/>
            </w:tcBorders>
          </w:tcPr>
          <w:p>
            <w:pPr>
              <w:spacing w:after="0"/>
              <w:rPr>
                <w:sz w:val="20"/>
                <w:szCs w:val="20"/>
                <w:color w:val="auto"/>
              </w:rPr>
            </w:pPr>
            <w:r>
              <w:rPr>
                <w:rFonts w:ascii="Arial" w:cs="Arial" w:eastAsia="Arial" w:hAnsi="Arial"/>
                <w:sz w:val="12"/>
                <w:szCs w:val="12"/>
                <w:color w:val="auto"/>
              </w:rPr>
              <w:t>Thereafter</w:t>
            </w:r>
          </w:p>
        </w:tc>
        <w:tc>
          <w:tcPr>
            <w:tcW w:w="200" w:type="dxa"/>
            <w:vAlign w:val="bottom"/>
            <w:tcBorders>
              <w:bottom w:val="single" w:sz="8" w:color="CFF0FC"/>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16,663</w:t>
            </w:r>
          </w:p>
        </w:tc>
        <w:tc>
          <w:tcPr>
            <w:tcW w:w="120" w:type="dxa"/>
            <w:vAlign w:val="bottom"/>
            <w:tcBorders>
              <w:bottom w:val="single" w:sz="8" w:color="CFF0FC"/>
            </w:tcBorders>
          </w:tcPr>
          <w:p>
            <w:pPr>
              <w:spacing w:after="0"/>
              <w:rPr>
                <w:sz w:val="13"/>
                <w:szCs w:val="13"/>
                <w:color w:val="auto"/>
              </w:rPr>
            </w:pPr>
          </w:p>
        </w:tc>
      </w:tr>
      <w:tr>
        <w:trPr>
          <w:trHeight w:val="158"/>
        </w:trPr>
        <w:tc>
          <w:tcPr>
            <w:tcW w:w="8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2"/>
                <w:szCs w:val="12"/>
                <w:color w:val="auto"/>
              </w:rPr>
              <w:t>Total</w:t>
            </w:r>
          </w:p>
        </w:tc>
        <w:tc>
          <w:tcPr>
            <w:tcW w:w="200" w:type="dxa"/>
            <w:vAlign w:val="bottom"/>
            <w:tcBorders>
              <w:bottom w:val="single" w:sz="8" w:color="CFF0FC"/>
            </w:tcBorders>
            <w:shd w:val="clear" w:color="auto" w:fill="CFF0FC"/>
          </w:tcPr>
          <w:p>
            <w:pPr>
              <w:spacing w:after="0"/>
              <w:rPr>
                <w:sz w:val="13"/>
                <w:szCs w:val="13"/>
                <w:color w:val="auto"/>
              </w:rPr>
            </w:pPr>
          </w:p>
        </w:tc>
        <w:tc>
          <w:tcPr>
            <w:tcW w:w="1260" w:type="dxa"/>
            <w:vAlign w:val="bottom"/>
            <w:tcBorders>
              <w:bottom w:val="single" w:sz="8" w:color="auto"/>
            </w:tcBorders>
            <w:shd w:val="clear" w:color="auto" w:fill="CFF0FC"/>
          </w:tcPr>
          <w:p>
            <w:pPr>
              <w:jc w:val="right"/>
              <w:ind w:right="1150"/>
              <w:spacing w:after="0"/>
              <w:rPr>
                <w:sz w:val="20"/>
                <w:szCs w:val="20"/>
                <w:color w:val="auto"/>
              </w:rPr>
            </w:pPr>
            <w:r>
              <w:rPr>
                <w:rFonts w:ascii="Arial" w:cs="Arial" w:eastAsia="Arial" w:hAnsi="Arial"/>
                <w:sz w:val="10"/>
                <w:szCs w:val="10"/>
                <w:color w:val="auto"/>
                <w:w w:val="71"/>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55,284</w:t>
            </w:r>
          </w:p>
        </w:tc>
        <w:tc>
          <w:tcPr>
            <w:tcW w:w="120" w:type="dxa"/>
            <w:vAlign w:val="bottom"/>
            <w:tcBorders>
              <w:bottom w:val="single" w:sz="8" w:color="CFF0FC"/>
            </w:tcBorders>
            <w:shd w:val="clear" w:color="auto" w:fill="CFF0FC"/>
          </w:tcPr>
          <w:p>
            <w:pPr>
              <w:spacing w:after="0"/>
              <w:rPr>
                <w:sz w:val="13"/>
                <w:szCs w:val="13"/>
                <w:color w:val="auto"/>
              </w:rPr>
            </w:pPr>
          </w:p>
        </w:tc>
      </w:tr>
    </w:tbl>
    <w:p>
      <w:pPr>
        <w:spacing w:after="0" w:line="135" w:lineRule="exact"/>
        <w:rPr>
          <w:sz w:val="20"/>
          <w:szCs w:val="20"/>
          <w:color w:val="auto"/>
        </w:rPr>
      </w:pPr>
    </w:p>
    <w:p>
      <w:pPr>
        <w:ind w:right="20"/>
        <w:spacing w:after="0" w:line="259" w:lineRule="auto"/>
        <w:rPr>
          <w:sz w:val="20"/>
          <w:szCs w:val="20"/>
          <w:color w:val="auto"/>
        </w:rPr>
      </w:pPr>
      <w:r>
        <w:rPr>
          <w:rFonts w:ascii="Arial" w:cs="Arial" w:eastAsia="Arial" w:hAnsi="Arial"/>
          <w:sz w:val="12"/>
          <w:szCs w:val="12"/>
          <w:color w:val="auto"/>
        </w:rPr>
        <w:t>Pursuant to the Separation and Distribution Agreement, Windstream has agreed to indemnify us (including our subsidiaries, directors, officers, employees and agents and certain other related parties) for any liability arising from or relating to legal proceedings involving Windstream's telecommunications business prior to the Spin-Off, and, pursuant to the Master Lease, Windstream has agreed to indemnify us for, among other things, any use, misuse, maintenance or repair by Windstream with respect to the Distribution Systems. Windstream is currently a party to various legal actions and administrative proceedings, including various claims arising in the ordinary course of its telecommunications business, which are subject to the indemnities provided by Windstream to us.</w:t>
      </w:r>
    </w:p>
    <w:p>
      <w:pPr>
        <w:spacing w:after="0" w:line="125" w:lineRule="exact"/>
        <w:rPr>
          <w:sz w:val="20"/>
          <w:szCs w:val="20"/>
          <w:color w:val="auto"/>
        </w:rPr>
      </w:pPr>
    </w:p>
    <w:p>
      <w:pPr>
        <w:ind w:right="160"/>
        <w:spacing w:after="0" w:line="257" w:lineRule="auto"/>
        <w:rPr>
          <w:sz w:val="20"/>
          <w:szCs w:val="20"/>
          <w:color w:val="auto"/>
        </w:rPr>
      </w:pPr>
      <w:r>
        <w:rPr>
          <w:rFonts w:ascii="Arial" w:cs="Arial" w:eastAsia="Arial" w:hAnsi="Arial"/>
          <w:sz w:val="12"/>
          <w:szCs w:val="12"/>
          <w:color w:val="auto"/>
        </w:rPr>
        <w:t>Under the terms of the Tax Matters Agreement entered into with Windstream, we are generally responsible for any taxes imposed on Windstream that arise from the failure of the Spin-Off and the debt exchanges to qualify as tax-free for U.S. federal income tax purposes, within the meaning of Section 355 and Section 368(a)(1)(D) of the Code, as applicable, to the extent such failure to qualify is attributable to certain actions, events or transactions relating to our stock, indebtedness, assets or business, or a breach of the relevant representations or any covenants made by us in the Tax Matters Agreement, the materials submitted to the IRS in connection with the request for the private letter ruling or the representations provided in connection with the tax opinion. We believe that the probability of us incurring obligations under the Tax Matters Agreement are remote; and therefore, have recorded no such liabilities in our consolidated balance sheet.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87" w:name="page88"/>
    <w:bookmarkEnd w:id="87"/>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Uniti Group Inc.</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Notes to the Consolidated Financial Statements – Continued</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15. Accumulated Other Comprehensive Income</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color w:val="auto"/>
        </w:rPr>
        <w:t>Changes in accumulated other comprehensive income (loss) by component is as follows for the year ended December 31, 2017:</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24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(Thousands)</w:t>
            </w:r>
          </w:p>
        </w:tc>
        <w:tc>
          <w:tcPr>
            <w:tcW w:w="16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60"/>
              <w:spacing w:after="0"/>
              <w:rPr>
                <w:sz w:val="20"/>
                <w:szCs w:val="20"/>
                <w:color w:val="auto"/>
              </w:rPr>
            </w:pPr>
            <w:r>
              <w:rPr>
                <w:rFonts w:ascii="Arial" w:cs="Arial" w:eastAsia="Arial" w:hAnsi="Arial"/>
                <w:sz w:val="12"/>
                <w:szCs w:val="12"/>
                <w:color w:val="auto"/>
              </w:rPr>
              <w:t>2017</w:t>
            </w:r>
          </w:p>
        </w:tc>
        <w:tc>
          <w:tcPr>
            <w:tcW w:w="26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80"/>
              <w:spacing w:after="0"/>
              <w:rPr>
                <w:sz w:val="20"/>
                <w:szCs w:val="20"/>
                <w:color w:val="auto"/>
              </w:rPr>
            </w:pPr>
            <w:r>
              <w:rPr>
                <w:rFonts w:ascii="Arial" w:cs="Arial" w:eastAsia="Arial" w:hAnsi="Arial"/>
                <w:sz w:val="12"/>
                <w:szCs w:val="12"/>
                <w:color w:val="auto"/>
              </w:rPr>
              <w:t>2016</w:t>
            </w:r>
          </w:p>
        </w:tc>
        <w:tc>
          <w:tcPr>
            <w:tcW w:w="26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60"/>
              <w:spacing w:after="0"/>
              <w:rPr>
                <w:sz w:val="20"/>
                <w:szCs w:val="20"/>
                <w:color w:val="auto"/>
              </w:rPr>
            </w:pPr>
            <w:r>
              <w:rPr>
                <w:rFonts w:ascii="Arial" w:cs="Arial" w:eastAsia="Arial" w:hAnsi="Arial"/>
                <w:sz w:val="12"/>
                <w:szCs w:val="12"/>
                <w:color w:val="auto"/>
              </w:rPr>
              <w:t>2015</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6240" w:type="dxa"/>
            <w:vAlign w:val="bottom"/>
            <w:shd w:val="clear" w:color="auto" w:fill="CFF0FC"/>
          </w:tcPr>
          <w:p>
            <w:pPr>
              <w:spacing w:after="0"/>
              <w:rPr>
                <w:sz w:val="20"/>
                <w:szCs w:val="20"/>
                <w:color w:val="auto"/>
              </w:rPr>
            </w:pPr>
            <w:r>
              <w:rPr>
                <w:rFonts w:ascii="Arial" w:cs="Arial" w:eastAsia="Arial" w:hAnsi="Arial"/>
                <w:sz w:val="12"/>
                <w:szCs w:val="12"/>
                <w:color w:val="auto"/>
              </w:rPr>
              <w:t>Cash flow hedge changes in fair value gain (loss):</w:t>
            </w:r>
          </w:p>
        </w:tc>
        <w:tc>
          <w:tcPr>
            <w:tcW w:w="1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240" w:type="dxa"/>
            <w:vAlign w:val="bottom"/>
          </w:tcPr>
          <w:p>
            <w:pPr>
              <w:ind w:left="160"/>
              <w:spacing w:after="0"/>
              <w:rPr>
                <w:sz w:val="20"/>
                <w:szCs w:val="20"/>
                <w:color w:val="auto"/>
              </w:rPr>
            </w:pPr>
            <w:r>
              <w:rPr>
                <w:rFonts w:ascii="Arial" w:cs="Arial" w:eastAsia="Arial" w:hAnsi="Arial"/>
                <w:sz w:val="12"/>
                <w:szCs w:val="12"/>
                <w:color w:val="auto"/>
              </w:rPr>
              <w:t>Balance at begininng of period</w:t>
            </w:r>
          </w:p>
        </w:tc>
        <w:tc>
          <w:tcPr>
            <w:tcW w:w="50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400" w:type="dxa"/>
            <w:vAlign w:val="bottom"/>
            <w:gridSpan w:val="2"/>
          </w:tcPr>
          <w:p>
            <w:pPr>
              <w:jc w:val="right"/>
              <w:ind w:right="220"/>
              <w:spacing w:after="0"/>
              <w:rPr>
                <w:sz w:val="20"/>
                <w:szCs w:val="20"/>
                <w:color w:val="auto"/>
              </w:rPr>
            </w:pPr>
            <w:r>
              <w:rPr>
                <w:rFonts w:ascii="Arial" w:cs="Arial" w:eastAsia="Arial" w:hAnsi="Arial"/>
                <w:sz w:val="12"/>
                <w:szCs w:val="12"/>
                <w:color w:val="auto"/>
              </w:rPr>
              <w:t>(6,102)</w:t>
            </w:r>
          </w:p>
        </w:tc>
        <w:tc>
          <w:tcPr>
            <w:tcW w:w="340" w:type="dxa"/>
            <w:vAlign w:val="bottom"/>
          </w:tcPr>
          <w:p>
            <w:pPr>
              <w:jc w:val="right"/>
              <w:ind w:right="230"/>
              <w:spacing w:after="0"/>
              <w:rPr>
                <w:sz w:val="20"/>
                <w:szCs w:val="20"/>
                <w:color w:val="auto"/>
              </w:rPr>
            </w:pPr>
            <w:r>
              <w:rPr>
                <w:rFonts w:ascii="Arial" w:cs="Arial" w:eastAsia="Arial" w:hAnsi="Arial"/>
                <w:sz w:val="10"/>
                <w:szCs w:val="10"/>
                <w:color w:val="auto"/>
                <w:w w:val="71"/>
              </w:rPr>
              <w:t>$</w:t>
            </w:r>
          </w:p>
        </w:tc>
        <w:tc>
          <w:tcPr>
            <w:tcW w:w="1400" w:type="dxa"/>
            <w:vAlign w:val="bottom"/>
            <w:gridSpan w:val="2"/>
          </w:tcPr>
          <w:p>
            <w:pPr>
              <w:jc w:val="right"/>
              <w:ind w:right="220"/>
              <w:spacing w:after="0"/>
              <w:rPr>
                <w:sz w:val="20"/>
                <w:szCs w:val="20"/>
                <w:color w:val="auto"/>
              </w:rPr>
            </w:pPr>
            <w:r>
              <w:rPr>
                <w:rFonts w:ascii="Arial" w:cs="Arial" w:eastAsia="Arial" w:hAnsi="Arial"/>
                <w:sz w:val="12"/>
                <w:szCs w:val="12"/>
                <w:color w:val="auto"/>
              </w:rPr>
              <w:t>(5,427)</w:t>
            </w:r>
          </w:p>
        </w:tc>
        <w:tc>
          <w:tcPr>
            <w:tcW w:w="340" w:type="dxa"/>
            <w:vAlign w:val="bottom"/>
          </w:tcPr>
          <w:p>
            <w:pPr>
              <w:jc w:val="right"/>
              <w:ind w:right="230"/>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2"/>
        </w:trPr>
        <w:tc>
          <w:tcPr>
            <w:tcW w:w="6240" w:type="dxa"/>
            <w:vAlign w:val="bottom"/>
            <w:shd w:val="clear" w:color="auto" w:fill="CFF0FC"/>
          </w:tcPr>
          <w:p>
            <w:pPr>
              <w:ind w:left="160"/>
              <w:spacing w:after="0"/>
              <w:rPr>
                <w:sz w:val="20"/>
                <w:szCs w:val="20"/>
                <w:color w:val="auto"/>
              </w:rPr>
            </w:pPr>
            <w:r>
              <w:rPr>
                <w:rFonts w:ascii="Arial" w:cs="Arial" w:eastAsia="Arial" w:hAnsi="Arial"/>
                <w:sz w:val="12"/>
                <w:szCs w:val="12"/>
                <w:color w:val="auto"/>
              </w:rPr>
              <w:t>Other comprehensive income (loss) before reclassifications</w:t>
            </w:r>
          </w:p>
        </w:tc>
        <w:tc>
          <w:tcPr>
            <w:tcW w:w="1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(7,735)</w:t>
            </w:r>
          </w:p>
        </w:tc>
        <w:tc>
          <w:tcPr>
            <w:tcW w:w="34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(24,465)</w:t>
            </w:r>
          </w:p>
        </w:tc>
        <w:tc>
          <w:tcPr>
            <w:tcW w:w="34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(21,682)</w:t>
            </w:r>
          </w:p>
        </w:tc>
        <w:tc>
          <w:tcPr>
            <w:tcW w:w="0" w:type="dxa"/>
            <w:vAlign w:val="bottom"/>
          </w:tcPr>
          <w:p>
            <w:pPr>
              <w:spacing w:after="0"/>
              <w:rPr>
                <w:sz w:val="1"/>
                <w:szCs w:val="1"/>
                <w:color w:val="auto"/>
              </w:rPr>
            </w:pPr>
          </w:p>
        </w:tc>
      </w:tr>
      <w:tr>
        <w:trPr>
          <w:trHeight w:val="162"/>
        </w:trPr>
        <w:tc>
          <w:tcPr>
            <w:tcW w:w="6240" w:type="dxa"/>
            <w:vAlign w:val="bottom"/>
            <w:tcBorders>
              <w:bottom w:val="single" w:sz="8" w:color="CFF0FC"/>
            </w:tcBorders>
          </w:tcPr>
          <w:p>
            <w:pPr>
              <w:ind w:left="160"/>
              <w:spacing w:after="0"/>
              <w:rPr>
                <w:sz w:val="20"/>
                <w:szCs w:val="20"/>
                <w:color w:val="auto"/>
              </w:rPr>
            </w:pPr>
            <w:r>
              <w:rPr>
                <w:rFonts w:ascii="Arial" w:cs="Arial" w:eastAsia="Arial" w:hAnsi="Arial"/>
                <w:sz w:val="12"/>
                <w:szCs w:val="12"/>
                <w:color w:val="auto"/>
              </w:rPr>
              <w:t>Amounts reclassified from accumulated other comprehensive income</w:t>
            </w:r>
          </w:p>
        </w:tc>
        <w:tc>
          <w:tcPr>
            <w:tcW w:w="160" w:type="dxa"/>
            <w:vAlign w:val="bottom"/>
            <w:tcBorders>
              <w:bottom w:val="single" w:sz="8" w:color="CFF0FC"/>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20,630</w:t>
            </w:r>
          </w:p>
        </w:tc>
        <w:tc>
          <w:tcPr>
            <w:tcW w:w="260" w:type="dxa"/>
            <w:vAlign w:val="bottom"/>
            <w:tcBorders>
              <w:bottom w:val="single" w:sz="8" w:color="CFF0FC"/>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23,790</w:t>
            </w:r>
          </w:p>
        </w:tc>
        <w:tc>
          <w:tcPr>
            <w:tcW w:w="260" w:type="dxa"/>
            <w:vAlign w:val="bottom"/>
            <w:tcBorders>
              <w:bottom w:val="single" w:sz="8" w:color="CFF0FC"/>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16,255</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6240" w:type="dxa"/>
            <w:vAlign w:val="bottom"/>
            <w:shd w:val="clear" w:color="auto" w:fill="CFF0FC"/>
          </w:tcPr>
          <w:p>
            <w:pPr>
              <w:ind w:left="160"/>
              <w:spacing w:after="0"/>
              <w:rPr>
                <w:sz w:val="20"/>
                <w:szCs w:val="20"/>
                <w:color w:val="auto"/>
              </w:rPr>
            </w:pPr>
            <w:r>
              <w:rPr>
                <w:rFonts w:ascii="Arial" w:cs="Arial" w:eastAsia="Arial" w:hAnsi="Arial"/>
                <w:sz w:val="12"/>
                <w:szCs w:val="12"/>
                <w:color w:val="auto"/>
              </w:rPr>
              <w:t>Net other comprehensive income</w:t>
            </w:r>
          </w:p>
        </w:tc>
        <w:tc>
          <w:tcPr>
            <w:tcW w:w="1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6,793</w:t>
            </w:r>
          </w:p>
        </w:tc>
        <w:tc>
          <w:tcPr>
            <w:tcW w:w="2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40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(6,102)</w:t>
            </w:r>
          </w:p>
        </w:tc>
        <w:tc>
          <w:tcPr>
            <w:tcW w:w="340" w:type="dxa"/>
            <w:vAlign w:val="bottom"/>
            <w:shd w:val="clear" w:color="auto" w:fill="CFF0FC"/>
          </w:tcPr>
          <w:p>
            <w:pPr>
              <w:spacing w:after="0"/>
              <w:rPr>
                <w:sz w:val="13"/>
                <w:szCs w:val="13"/>
                <w:color w:val="auto"/>
              </w:rPr>
            </w:pPr>
          </w:p>
        </w:tc>
        <w:tc>
          <w:tcPr>
            <w:tcW w:w="126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(5,427)</w:t>
            </w:r>
          </w:p>
        </w:tc>
        <w:tc>
          <w:tcPr>
            <w:tcW w:w="0" w:type="dxa"/>
            <w:vAlign w:val="bottom"/>
          </w:tcPr>
          <w:p>
            <w:pPr>
              <w:spacing w:after="0"/>
              <w:rPr>
                <w:sz w:val="1"/>
                <w:szCs w:val="1"/>
                <w:color w:val="auto"/>
              </w:rPr>
            </w:pPr>
          </w:p>
        </w:tc>
      </w:tr>
      <w:tr>
        <w:trPr>
          <w:trHeight w:val="162"/>
        </w:trPr>
        <w:tc>
          <w:tcPr>
            <w:tcW w:w="6240" w:type="dxa"/>
            <w:vAlign w:val="bottom"/>
            <w:tcBorders>
              <w:bottom w:val="single" w:sz="8" w:color="CFF0FC"/>
            </w:tcBorders>
          </w:tcPr>
          <w:p>
            <w:pPr>
              <w:ind w:left="160"/>
              <w:spacing w:after="0"/>
              <w:rPr>
                <w:sz w:val="20"/>
                <w:szCs w:val="20"/>
                <w:color w:val="auto"/>
              </w:rPr>
            </w:pPr>
            <w:r>
              <w:rPr>
                <w:rFonts w:ascii="Arial" w:cs="Arial" w:eastAsia="Arial" w:hAnsi="Arial"/>
                <w:sz w:val="12"/>
                <w:szCs w:val="12"/>
                <w:color w:val="auto"/>
              </w:rPr>
              <w:t>Less: Other comprehensive (loss) income attributable to noncontrolling interest</w:t>
            </w:r>
          </w:p>
        </w:tc>
        <w:tc>
          <w:tcPr>
            <w:tcW w:w="160" w:type="dxa"/>
            <w:vAlign w:val="bottom"/>
            <w:tcBorders>
              <w:bottom w:val="single" w:sz="8" w:color="CFF0FC"/>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442</w:t>
            </w:r>
          </w:p>
        </w:tc>
        <w:tc>
          <w:tcPr>
            <w:tcW w:w="260" w:type="dxa"/>
            <w:vAlign w:val="bottom"/>
            <w:tcBorders>
              <w:bottom w:val="single" w:sz="8" w:color="CFF0FC"/>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CFF0FC"/>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6240" w:type="dxa"/>
            <w:vAlign w:val="bottom"/>
            <w:shd w:val="clear" w:color="auto" w:fill="CFF0FC"/>
          </w:tcPr>
          <w:p>
            <w:pPr>
              <w:ind w:left="160"/>
              <w:spacing w:after="0"/>
              <w:rPr>
                <w:sz w:val="20"/>
                <w:szCs w:val="20"/>
                <w:color w:val="auto"/>
              </w:rPr>
            </w:pPr>
            <w:r>
              <w:rPr>
                <w:rFonts w:ascii="Arial" w:cs="Arial" w:eastAsia="Arial" w:hAnsi="Arial"/>
                <w:sz w:val="12"/>
                <w:szCs w:val="12"/>
                <w:color w:val="auto"/>
              </w:rPr>
              <w:t>Balance at end of period</w:t>
            </w:r>
          </w:p>
        </w:tc>
        <w:tc>
          <w:tcPr>
            <w:tcW w:w="1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6,351</w:t>
            </w:r>
          </w:p>
        </w:tc>
        <w:tc>
          <w:tcPr>
            <w:tcW w:w="2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40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(6,102)</w:t>
            </w:r>
          </w:p>
        </w:tc>
        <w:tc>
          <w:tcPr>
            <w:tcW w:w="340" w:type="dxa"/>
            <w:vAlign w:val="bottom"/>
            <w:shd w:val="clear" w:color="auto" w:fill="CFF0FC"/>
          </w:tcPr>
          <w:p>
            <w:pPr>
              <w:spacing w:after="0"/>
              <w:rPr>
                <w:sz w:val="13"/>
                <w:szCs w:val="13"/>
                <w:color w:val="auto"/>
              </w:rPr>
            </w:pPr>
          </w:p>
        </w:tc>
        <w:tc>
          <w:tcPr>
            <w:tcW w:w="126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(5,427)</w:t>
            </w:r>
          </w:p>
        </w:tc>
        <w:tc>
          <w:tcPr>
            <w:tcW w:w="0" w:type="dxa"/>
            <w:vAlign w:val="bottom"/>
          </w:tcPr>
          <w:p>
            <w:pPr>
              <w:spacing w:after="0"/>
              <w:rPr>
                <w:sz w:val="1"/>
                <w:szCs w:val="1"/>
                <w:color w:val="auto"/>
              </w:rPr>
            </w:pPr>
          </w:p>
        </w:tc>
      </w:tr>
      <w:tr>
        <w:trPr>
          <w:trHeight w:val="151"/>
        </w:trPr>
        <w:tc>
          <w:tcPr>
            <w:tcW w:w="6240" w:type="dxa"/>
            <w:vAlign w:val="bottom"/>
          </w:tcPr>
          <w:p>
            <w:pPr>
              <w:spacing w:after="0"/>
              <w:rPr>
                <w:sz w:val="20"/>
                <w:szCs w:val="20"/>
                <w:color w:val="auto"/>
              </w:rPr>
            </w:pPr>
            <w:r>
              <w:rPr>
                <w:rFonts w:ascii="Arial" w:cs="Arial" w:eastAsia="Arial" w:hAnsi="Arial"/>
                <w:sz w:val="12"/>
                <w:szCs w:val="12"/>
                <w:color w:val="auto"/>
              </w:rPr>
              <w:t>Foreign currency translation gain (loss):</w:t>
            </w:r>
          </w:p>
        </w:tc>
        <w:tc>
          <w:tcPr>
            <w:tcW w:w="16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240" w:type="dxa"/>
            <w:vAlign w:val="bottom"/>
            <w:shd w:val="clear" w:color="auto" w:fill="CFF0FC"/>
          </w:tcPr>
          <w:p>
            <w:pPr>
              <w:ind w:left="160"/>
              <w:spacing w:after="0"/>
              <w:rPr>
                <w:sz w:val="20"/>
                <w:szCs w:val="20"/>
                <w:color w:val="auto"/>
              </w:rPr>
            </w:pPr>
            <w:r>
              <w:rPr>
                <w:rFonts w:ascii="Arial" w:cs="Arial" w:eastAsia="Arial" w:hAnsi="Arial"/>
                <w:sz w:val="12"/>
                <w:szCs w:val="12"/>
                <w:color w:val="auto"/>
              </w:rPr>
              <w:t>Balance at begininng of period</w:t>
            </w:r>
          </w:p>
        </w:tc>
        <w:tc>
          <w:tcPr>
            <w:tcW w:w="1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(267)</w:t>
            </w:r>
          </w:p>
        </w:tc>
        <w:tc>
          <w:tcPr>
            <w:tcW w:w="34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280"/>
              <w:spacing w:after="0"/>
              <w:rPr>
                <w:sz w:val="20"/>
                <w:szCs w:val="20"/>
                <w:color w:val="auto"/>
              </w:rPr>
            </w:pPr>
            <w:r>
              <w:rPr>
                <w:rFonts w:ascii="Arial" w:cs="Arial" w:eastAsia="Arial" w:hAnsi="Arial"/>
                <w:sz w:val="12"/>
                <w:szCs w:val="12"/>
                <w:color w:val="auto"/>
              </w:rPr>
              <w:t>—</w:t>
            </w:r>
          </w:p>
        </w:tc>
        <w:tc>
          <w:tcPr>
            <w:tcW w:w="34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2"/>
        </w:trPr>
        <w:tc>
          <w:tcPr>
            <w:tcW w:w="6240" w:type="dxa"/>
            <w:vAlign w:val="bottom"/>
          </w:tcPr>
          <w:p>
            <w:pPr>
              <w:ind w:left="160"/>
              <w:spacing w:after="0"/>
              <w:rPr>
                <w:sz w:val="20"/>
                <w:szCs w:val="20"/>
                <w:color w:val="auto"/>
              </w:rPr>
            </w:pPr>
            <w:r>
              <w:rPr>
                <w:rFonts w:ascii="Arial" w:cs="Arial" w:eastAsia="Arial" w:hAnsi="Arial"/>
                <w:sz w:val="12"/>
                <w:szCs w:val="12"/>
                <w:color w:val="auto"/>
              </w:rPr>
              <w:t>Translation adjustments</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1,660</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2"/>
                <w:szCs w:val="12"/>
                <w:color w:val="auto"/>
              </w:rPr>
              <w:t>(267)</w:t>
            </w:r>
          </w:p>
        </w:tc>
        <w:tc>
          <w:tcPr>
            <w:tcW w:w="340" w:type="dxa"/>
            <w:vAlign w:val="bottom"/>
          </w:tcPr>
          <w:p>
            <w:pPr>
              <w:spacing w:after="0"/>
              <w:rPr>
                <w:sz w:val="14"/>
                <w:szCs w:val="14"/>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624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6240" w:type="dxa"/>
            <w:vAlign w:val="bottom"/>
            <w:shd w:val="clear" w:color="auto" w:fill="CFF0FC"/>
          </w:tcPr>
          <w:p>
            <w:pPr>
              <w:ind w:left="160"/>
              <w:spacing w:after="0"/>
              <w:rPr>
                <w:sz w:val="20"/>
                <w:szCs w:val="20"/>
                <w:color w:val="auto"/>
              </w:rPr>
            </w:pPr>
            <w:r>
              <w:rPr>
                <w:rFonts w:ascii="Arial" w:cs="Arial" w:eastAsia="Arial" w:hAnsi="Arial"/>
                <w:sz w:val="12"/>
                <w:szCs w:val="12"/>
                <w:color w:val="auto"/>
              </w:rPr>
              <w:t>Net other comprehensive income</w:t>
            </w:r>
          </w:p>
        </w:tc>
        <w:tc>
          <w:tcPr>
            <w:tcW w:w="1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1,393</w:t>
            </w:r>
          </w:p>
        </w:tc>
        <w:tc>
          <w:tcPr>
            <w:tcW w:w="2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40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(267)</w:t>
            </w:r>
          </w:p>
        </w:tc>
        <w:tc>
          <w:tcPr>
            <w:tcW w:w="340" w:type="dxa"/>
            <w:vAlign w:val="bottom"/>
            <w:shd w:val="clear" w:color="auto" w:fill="CFF0FC"/>
          </w:tcPr>
          <w:p>
            <w:pPr>
              <w:spacing w:after="0"/>
              <w:rPr>
                <w:sz w:val="13"/>
                <w:szCs w:val="13"/>
                <w:color w:val="auto"/>
              </w:rPr>
            </w:pP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2"/>
        </w:trPr>
        <w:tc>
          <w:tcPr>
            <w:tcW w:w="6240" w:type="dxa"/>
            <w:vAlign w:val="bottom"/>
          </w:tcPr>
          <w:p>
            <w:pPr>
              <w:ind w:left="160"/>
              <w:spacing w:after="0"/>
              <w:rPr>
                <w:sz w:val="20"/>
                <w:szCs w:val="20"/>
                <w:color w:val="auto"/>
              </w:rPr>
            </w:pPr>
            <w:r>
              <w:rPr>
                <w:rFonts w:ascii="Arial" w:cs="Arial" w:eastAsia="Arial" w:hAnsi="Arial"/>
                <w:sz w:val="12"/>
                <w:szCs w:val="12"/>
                <w:color w:val="auto"/>
              </w:rPr>
              <w:t>Less: Other comprehensive (loss) income attributable to noncontrolling interest</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2"/>
                <w:szCs w:val="12"/>
                <w:color w:val="auto"/>
              </w:rPr>
              <w:t>(77)</w:t>
            </w:r>
          </w:p>
        </w:tc>
        <w:tc>
          <w:tcPr>
            <w:tcW w:w="340" w:type="dxa"/>
            <w:vAlign w:val="bottom"/>
          </w:tcPr>
          <w:p>
            <w:pPr>
              <w:spacing w:after="0"/>
              <w:rPr>
                <w:sz w:val="14"/>
                <w:szCs w:val="14"/>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4"/>
                <w:szCs w:val="14"/>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624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6240" w:type="dxa"/>
            <w:vAlign w:val="bottom"/>
            <w:shd w:val="clear" w:color="auto" w:fill="CFF0FC"/>
          </w:tcPr>
          <w:p>
            <w:pPr>
              <w:ind w:left="160"/>
              <w:spacing w:after="0"/>
              <w:rPr>
                <w:sz w:val="20"/>
                <w:szCs w:val="20"/>
                <w:color w:val="auto"/>
              </w:rPr>
            </w:pPr>
            <w:r>
              <w:rPr>
                <w:rFonts w:ascii="Arial" w:cs="Arial" w:eastAsia="Arial" w:hAnsi="Arial"/>
                <w:sz w:val="12"/>
                <w:szCs w:val="12"/>
                <w:color w:val="auto"/>
              </w:rPr>
              <w:t>Balance at end of period</w:t>
            </w:r>
          </w:p>
        </w:tc>
        <w:tc>
          <w:tcPr>
            <w:tcW w:w="1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1,470</w:t>
            </w:r>
          </w:p>
        </w:tc>
        <w:tc>
          <w:tcPr>
            <w:tcW w:w="2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40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(267)</w:t>
            </w:r>
          </w:p>
        </w:tc>
        <w:tc>
          <w:tcPr>
            <w:tcW w:w="340" w:type="dxa"/>
            <w:vAlign w:val="bottom"/>
            <w:shd w:val="clear" w:color="auto" w:fill="CFF0FC"/>
          </w:tcPr>
          <w:p>
            <w:pPr>
              <w:spacing w:after="0"/>
              <w:rPr>
                <w:sz w:val="13"/>
                <w:szCs w:val="13"/>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spacing w:after="0"/>
              <w:rPr>
                <w:sz w:val="20"/>
                <w:szCs w:val="20"/>
                <w:color w:val="auto"/>
              </w:rPr>
            </w:pPr>
            <w:r>
              <w:rPr>
                <w:rFonts w:ascii="Arial" w:cs="Arial" w:eastAsia="Arial" w:hAnsi="Arial"/>
                <w:sz w:val="12"/>
                <w:szCs w:val="12"/>
                <w:color w:val="auto"/>
              </w:rPr>
              <w:t>Accumulated other comprehensive income (loss) at end of period</w:t>
            </w: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40" w:type="dxa"/>
            <w:vAlign w:val="bottom"/>
            <w:vMerge w:val="continue"/>
          </w:tcPr>
          <w:p>
            <w:pPr>
              <w:spacing w:after="0"/>
              <w:rPr>
                <w:sz w:val="12"/>
                <w:szCs w:val="12"/>
                <w:color w:val="auto"/>
              </w:rPr>
            </w:pPr>
          </w:p>
        </w:tc>
        <w:tc>
          <w:tcPr>
            <w:tcW w:w="50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140" w:type="dxa"/>
            <w:vAlign w:val="bottom"/>
          </w:tcPr>
          <w:p>
            <w:pPr>
              <w:jc w:val="right"/>
              <w:spacing w:after="0"/>
              <w:rPr>
                <w:sz w:val="20"/>
                <w:szCs w:val="20"/>
                <w:color w:val="auto"/>
              </w:rPr>
            </w:pPr>
            <w:r>
              <w:rPr>
                <w:rFonts w:ascii="Arial" w:cs="Arial" w:eastAsia="Arial" w:hAnsi="Arial"/>
                <w:sz w:val="12"/>
                <w:szCs w:val="12"/>
                <w:color w:val="auto"/>
              </w:rPr>
              <w:t>7,821</w:t>
            </w:r>
          </w:p>
        </w:tc>
        <w:tc>
          <w:tcPr>
            <w:tcW w:w="260" w:type="dxa"/>
            <w:vAlign w:val="bottom"/>
          </w:tcPr>
          <w:p>
            <w:pPr>
              <w:spacing w:after="0"/>
              <w:rPr>
                <w:sz w:val="12"/>
                <w:szCs w:val="12"/>
                <w:color w:val="auto"/>
              </w:rPr>
            </w:pPr>
          </w:p>
        </w:tc>
        <w:tc>
          <w:tcPr>
            <w:tcW w:w="340" w:type="dxa"/>
            <w:vAlign w:val="bottom"/>
          </w:tcPr>
          <w:p>
            <w:pPr>
              <w:jc w:val="right"/>
              <w:ind w:right="230"/>
              <w:spacing w:after="0"/>
              <w:rPr>
                <w:sz w:val="20"/>
                <w:szCs w:val="20"/>
                <w:color w:val="auto"/>
              </w:rPr>
            </w:pPr>
            <w:r>
              <w:rPr>
                <w:rFonts w:ascii="Arial" w:cs="Arial" w:eastAsia="Arial" w:hAnsi="Arial"/>
                <w:sz w:val="10"/>
                <w:szCs w:val="10"/>
                <w:color w:val="auto"/>
                <w:w w:val="71"/>
              </w:rPr>
              <w:t>$</w:t>
            </w:r>
          </w:p>
        </w:tc>
        <w:tc>
          <w:tcPr>
            <w:tcW w:w="1400" w:type="dxa"/>
            <w:vAlign w:val="bottom"/>
            <w:gridSpan w:val="2"/>
          </w:tcPr>
          <w:p>
            <w:pPr>
              <w:jc w:val="right"/>
              <w:ind w:right="220"/>
              <w:spacing w:after="0"/>
              <w:rPr>
                <w:sz w:val="20"/>
                <w:szCs w:val="20"/>
                <w:color w:val="auto"/>
              </w:rPr>
            </w:pPr>
            <w:r>
              <w:rPr>
                <w:rFonts w:ascii="Arial" w:cs="Arial" w:eastAsia="Arial" w:hAnsi="Arial"/>
                <w:sz w:val="12"/>
                <w:szCs w:val="12"/>
                <w:color w:val="auto"/>
              </w:rPr>
              <w:t>(6,369)</w:t>
            </w:r>
          </w:p>
        </w:tc>
        <w:tc>
          <w:tcPr>
            <w:tcW w:w="340" w:type="dxa"/>
            <w:vAlign w:val="bottom"/>
          </w:tcPr>
          <w:p>
            <w:pPr>
              <w:jc w:val="right"/>
              <w:ind w:right="230"/>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80"/>
              <w:spacing w:after="0"/>
              <w:rPr>
                <w:sz w:val="20"/>
                <w:szCs w:val="20"/>
                <w:color w:val="auto"/>
              </w:rPr>
            </w:pPr>
            <w:r>
              <w:rPr>
                <w:rFonts w:ascii="Arial" w:cs="Arial" w:eastAsia="Arial" w:hAnsi="Arial"/>
                <w:sz w:val="12"/>
                <w:szCs w:val="12"/>
                <w:color w:val="auto"/>
              </w:rPr>
              <w:t>(5,427)</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16. Income Taxes</w:t>
      </w:r>
    </w:p>
    <w:p>
      <w:pPr>
        <w:spacing w:after="0" w:line="82"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We have elected on our U.S. federal income tax return to be treated as a REIT and thus have no provision for U.S. federal income tax related to activities of the REIT and its passthrough subsidiaries. The REIT and certain of its subsidiaries are subject to certain state and local income taxes, franchise taxes, and gross receipts taxes. Our TRSs are subject to U.S. federal, state and local corporate income taxes.</w:t>
      </w:r>
    </w:p>
    <w:p>
      <w:pPr>
        <w:spacing w:after="0" w:line="115" w:lineRule="exact"/>
        <w:rPr>
          <w:sz w:val="20"/>
          <w:szCs w:val="20"/>
          <w:color w:val="auto"/>
        </w:rPr>
      </w:pPr>
    </w:p>
    <w:p>
      <w:pPr>
        <w:ind w:right="400"/>
        <w:spacing w:after="0" w:line="276" w:lineRule="auto"/>
        <w:rPr>
          <w:sz w:val="20"/>
          <w:szCs w:val="20"/>
          <w:color w:val="auto"/>
        </w:rPr>
      </w:pPr>
      <w:r>
        <w:rPr>
          <w:rFonts w:ascii="Arial" w:cs="Arial" w:eastAsia="Arial" w:hAnsi="Arial"/>
          <w:sz w:val="12"/>
          <w:szCs w:val="12"/>
          <w:color w:val="auto"/>
        </w:rPr>
        <w:t>Income tax expense (benefit) for the years ended December 31, 2017 and 2016 and for the period from April 24, 2015 to December 31, 2015 as reported in the accompanying Consolidated Statement of Income was comprised of the following:</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0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2140" w:type="dxa"/>
            <w:vAlign w:val="bottom"/>
            <w:tcBorders>
              <w:bottom w:val="single" w:sz="8" w:color="auto"/>
            </w:tcBorders>
            <w:gridSpan w:val="4"/>
          </w:tcPr>
          <w:p>
            <w:pPr>
              <w:jc w:val="right"/>
              <w:ind w:right="812"/>
              <w:spacing w:after="0"/>
              <w:rPr>
                <w:sz w:val="20"/>
                <w:szCs w:val="20"/>
                <w:color w:val="auto"/>
              </w:rPr>
            </w:pPr>
            <w:r>
              <w:rPr>
                <w:rFonts w:ascii="Arial" w:cs="Arial" w:eastAsia="Arial" w:hAnsi="Arial"/>
                <w:sz w:val="10"/>
                <w:szCs w:val="10"/>
                <w:b w:val="1"/>
                <w:bCs w:val="1"/>
                <w:color w:val="auto"/>
              </w:rPr>
              <w:t>Year Ended December 31,</w:t>
            </w:r>
          </w:p>
        </w:tc>
        <w:tc>
          <w:tcPr>
            <w:tcW w:w="58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760" w:type="dxa"/>
            <w:vAlign w:val="bottom"/>
            <w:gridSpan w:val="2"/>
          </w:tcPr>
          <w:p>
            <w:pPr>
              <w:jc w:val="right"/>
              <w:ind w:right="800"/>
              <w:spacing w:after="0"/>
              <w:rPr>
                <w:sz w:val="20"/>
                <w:szCs w:val="20"/>
                <w:color w:val="auto"/>
              </w:rPr>
            </w:pPr>
            <w:r>
              <w:rPr>
                <w:rFonts w:ascii="Arial" w:cs="Arial" w:eastAsia="Arial" w:hAnsi="Arial"/>
                <w:sz w:val="10"/>
                <w:szCs w:val="10"/>
                <w:b w:val="1"/>
                <w:bCs w:val="1"/>
                <w:color w:val="auto"/>
              </w:rPr>
              <w:t>Period from</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506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(Thousands)</w:t>
            </w:r>
          </w:p>
        </w:tc>
        <w:tc>
          <w:tcPr>
            <w:tcW w:w="280" w:type="dxa"/>
            <w:vAlign w:val="bottom"/>
            <w:tcBorders>
              <w:bottom w:val="single" w:sz="8" w:color="CFF0FC"/>
            </w:tcBorders>
          </w:tcPr>
          <w:p>
            <w:pPr>
              <w:spacing w:after="0"/>
              <w:rPr>
                <w:sz w:val="13"/>
                <w:szCs w:val="13"/>
                <w:color w:val="auto"/>
              </w:rPr>
            </w:pPr>
          </w:p>
        </w:tc>
        <w:tc>
          <w:tcPr>
            <w:tcW w:w="1220" w:type="dxa"/>
            <w:vAlign w:val="bottom"/>
            <w:tcBorders>
              <w:bottom w:val="single" w:sz="8" w:color="auto"/>
            </w:tcBorders>
          </w:tcPr>
          <w:p>
            <w:pPr>
              <w:jc w:val="right"/>
              <w:ind w:right="148"/>
              <w:spacing w:after="0"/>
              <w:rPr>
                <w:sz w:val="20"/>
                <w:szCs w:val="20"/>
                <w:color w:val="auto"/>
              </w:rPr>
            </w:pPr>
            <w:r>
              <w:rPr>
                <w:rFonts w:ascii="Arial" w:cs="Arial" w:eastAsia="Arial" w:hAnsi="Arial"/>
                <w:sz w:val="10"/>
                <w:szCs w:val="10"/>
                <w:b w:val="1"/>
                <w:bCs w:val="1"/>
                <w:color w:val="auto"/>
              </w:rPr>
              <w:t>2017</w:t>
            </w:r>
          </w:p>
        </w:tc>
        <w:tc>
          <w:tcPr>
            <w:tcW w:w="62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260" w:type="dxa"/>
            <w:vAlign w:val="bottom"/>
            <w:tcBorders>
              <w:bottom w:val="single" w:sz="8" w:color="auto"/>
            </w:tcBorders>
          </w:tcPr>
          <w:p>
            <w:pPr>
              <w:jc w:val="right"/>
              <w:ind w:right="212"/>
              <w:spacing w:after="0"/>
              <w:rPr>
                <w:sz w:val="20"/>
                <w:szCs w:val="20"/>
                <w:color w:val="auto"/>
              </w:rPr>
            </w:pPr>
            <w:r>
              <w:rPr>
                <w:rFonts w:ascii="Arial" w:cs="Arial" w:eastAsia="Arial" w:hAnsi="Arial"/>
                <w:sz w:val="10"/>
                <w:szCs w:val="10"/>
                <w:b w:val="1"/>
                <w:bCs w:val="1"/>
                <w:color w:val="auto"/>
              </w:rPr>
              <w:t>2016</w:t>
            </w:r>
          </w:p>
        </w:tc>
        <w:tc>
          <w:tcPr>
            <w:tcW w:w="580" w:type="dxa"/>
            <w:vAlign w:val="bottom"/>
            <w:tcBorders>
              <w:bottom w:val="single" w:sz="8" w:color="auto"/>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right"/>
              <w:ind w:right="262"/>
              <w:spacing w:after="0"/>
              <w:rPr>
                <w:sz w:val="20"/>
                <w:szCs w:val="20"/>
                <w:color w:val="auto"/>
              </w:rPr>
            </w:pPr>
            <w:r>
              <w:rPr>
                <w:rFonts w:ascii="Arial" w:cs="Arial" w:eastAsia="Arial" w:hAnsi="Arial"/>
                <w:sz w:val="10"/>
                <w:szCs w:val="10"/>
                <w:b w:val="1"/>
                <w:bCs w:val="1"/>
                <w:color w:val="auto"/>
                <w:w w:val="95"/>
              </w:rPr>
              <w:t>April 24 - December 31, 2015</w:t>
            </w:r>
          </w:p>
        </w:tc>
        <w:tc>
          <w:tcPr>
            <w:tcW w:w="12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34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Current</w:t>
            </w:r>
          </w:p>
        </w:tc>
        <w:tc>
          <w:tcPr>
            <w:tcW w:w="12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340" w:type="dxa"/>
            <w:vAlign w:val="bottom"/>
            <w:gridSpan w:val="2"/>
          </w:tcPr>
          <w:p>
            <w:pPr>
              <w:ind w:left="160"/>
              <w:spacing w:after="0"/>
              <w:rPr>
                <w:sz w:val="20"/>
                <w:szCs w:val="20"/>
                <w:color w:val="auto"/>
              </w:rPr>
            </w:pPr>
            <w:r>
              <w:rPr>
                <w:rFonts w:ascii="Arial" w:cs="Arial" w:eastAsia="Arial" w:hAnsi="Arial"/>
                <w:sz w:val="12"/>
                <w:szCs w:val="12"/>
                <w:color w:val="auto"/>
              </w:rPr>
              <w:t>Federal</w:t>
            </w:r>
          </w:p>
        </w:tc>
        <w:tc>
          <w:tcPr>
            <w:tcW w:w="1220" w:type="dxa"/>
            <w:vAlign w:val="bottom"/>
          </w:tcPr>
          <w:p>
            <w:pPr>
              <w:jc w:val="right"/>
              <w:ind w:right="1108"/>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1,456</w:t>
            </w:r>
          </w:p>
        </w:tc>
        <w:tc>
          <w:tcPr>
            <w:tcW w:w="160" w:type="dxa"/>
            <w:vAlign w:val="bottom"/>
          </w:tcPr>
          <w:p>
            <w:pPr>
              <w:spacing w:after="0"/>
              <w:rPr>
                <w:sz w:val="13"/>
                <w:szCs w:val="13"/>
                <w:color w:val="auto"/>
              </w:rPr>
            </w:pPr>
          </w:p>
        </w:tc>
        <w:tc>
          <w:tcPr>
            <w:tcW w:w="1360" w:type="dxa"/>
            <w:vAlign w:val="bottom"/>
            <w:gridSpan w:val="2"/>
          </w:tcPr>
          <w:p>
            <w:pPr>
              <w:jc w:val="right"/>
              <w:ind w:right="1152"/>
              <w:spacing w:after="0"/>
              <w:rPr>
                <w:sz w:val="20"/>
                <w:szCs w:val="20"/>
                <w:color w:val="auto"/>
              </w:rPr>
            </w:pPr>
            <w:r>
              <w:rPr>
                <w:rFonts w:ascii="Arial" w:cs="Arial" w:eastAsia="Arial" w:hAnsi="Arial"/>
                <w:sz w:val="12"/>
                <w:szCs w:val="12"/>
                <w:color w:val="auto"/>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1,596</w:t>
            </w:r>
          </w:p>
        </w:tc>
        <w:tc>
          <w:tcPr>
            <w:tcW w:w="140" w:type="dxa"/>
            <w:vAlign w:val="bottom"/>
          </w:tcPr>
          <w:p>
            <w:pPr>
              <w:spacing w:after="0"/>
              <w:rPr>
                <w:sz w:val="13"/>
                <w:szCs w:val="13"/>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640" w:type="dxa"/>
            <w:vAlign w:val="bottom"/>
          </w:tcPr>
          <w:p>
            <w:pPr>
              <w:jc w:val="right"/>
              <w:spacing w:after="0"/>
              <w:rPr>
                <w:sz w:val="20"/>
                <w:szCs w:val="20"/>
                <w:color w:val="auto"/>
              </w:rPr>
            </w:pPr>
            <w:r>
              <w:rPr>
                <w:rFonts w:ascii="Arial" w:cs="Arial" w:eastAsia="Arial" w:hAnsi="Arial"/>
                <w:sz w:val="12"/>
                <w:szCs w:val="12"/>
                <w:color w:val="auto"/>
              </w:rPr>
              <w:t>1,208</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34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State</w:t>
            </w:r>
          </w:p>
        </w:tc>
        <w:tc>
          <w:tcPr>
            <w:tcW w:w="1220" w:type="dxa"/>
            <w:vAlign w:val="bottom"/>
            <w:tcBorders>
              <w:bottom w:val="single" w:sz="8" w:color="auto"/>
            </w:tcBorders>
            <w:shd w:val="clear" w:color="auto" w:fill="CFF0FC"/>
          </w:tcPr>
          <w:p>
            <w:pPr>
              <w:spacing w:after="0"/>
              <w:rPr>
                <w:sz w:val="13"/>
                <w:szCs w:val="13"/>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866</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60" w:type="dxa"/>
            <w:vAlign w:val="bottom"/>
            <w:tcBorders>
              <w:bottom w:val="single" w:sz="8" w:color="auto"/>
            </w:tcBorders>
            <w:shd w:val="clear" w:color="auto" w:fill="CFF0FC"/>
          </w:tcPr>
          <w:p>
            <w:pPr>
              <w:spacing w:after="0"/>
              <w:rPr>
                <w:sz w:val="13"/>
                <w:szCs w:val="13"/>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1,107</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741</w:t>
            </w: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340" w:type="dxa"/>
            <w:vAlign w:val="bottom"/>
            <w:gridSpan w:val="2"/>
          </w:tcPr>
          <w:p>
            <w:pPr>
              <w:ind w:left="240"/>
              <w:spacing w:after="0"/>
              <w:rPr>
                <w:sz w:val="20"/>
                <w:szCs w:val="20"/>
                <w:color w:val="auto"/>
              </w:rPr>
            </w:pPr>
            <w:r>
              <w:rPr>
                <w:rFonts w:ascii="Arial" w:cs="Arial" w:eastAsia="Arial" w:hAnsi="Arial"/>
                <w:sz w:val="12"/>
                <w:szCs w:val="12"/>
                <w:color w:val="auto"/>
              </w:rPr>
              <w:t>Total current expense</w:t>
            </w:r>
          </w:p>
        </w:tc>
        <w:tc>
          <w:tcPr>
            <w:tcW w:w="12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2,322</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2,703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tcPr>
          <w:p>
            <w:pPr>
              <w:jc w:val="right"/>
              <w:spacing w:after="0"/>
              <w:rPr>
                <w:sz w:val="20"/>
                <w:szCs w:val="20"/>
                <w:color w:val="auto"/>
              </w:rPr>
            </w:pPr>
            <w:r>
              <w:rPr>
                <w:rFonts w:ascii="Arial" w:cs="Arial" w:eastAsia="Arial" w:hAnsi="Arial"/>
                <w:sz w:val="12"/>
                <w:szCs w:val="12"/>
                <w:color w:val="auto"/>
              </w:rPr>
              <w:t>1,949</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0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6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340" w:type="dxa"/>
            <w:vAlign w:val="bottom"/>
            <w:gridSpan w:val="2"/>
          </w:tcPr>
          <w:p>
            <w:pPr>
              <w:spacing w:after="0"/>
              <w:rPr>
                <w:sz w:val="20"/>
                <w:szCs w:val="20"/>
                <w:color w:val="auto"/>
              </w:rPr>
            </w:pPr>
            <w:r>
              <w:rPr>
                <w:rFonts w:ascii="Arial" w:cs="Arial" w:eastAsia="Arial" w:hAnsi="Arial"/>
                <w:sz w:val="12"/>
                <w:szCs w:val="12"/>
                <w:color w:val="auto"/>
              </w:rPr>
              <w:t>Deferred</w:t>
            </w:r>
          </w:p>
        </w:tc>
        <w:tc>
          <w:tcPr>
            <w:tcW w:w="1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34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Federal</w:t>
            </w:r>
          </w:p>
        </w:tc>
        <w:tc>
          <w:tcPr>
            <w:tcW w:w="122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(36,956)</w:t>
            </w:r>
          </w:p>
        </w:tc>
        <w:tc>
          <w:tcPr>
            <w:tcW w:w="100" w:type="dxa"/>
            <w:vAlign w:val="bottom"/>
            <w:shd w:val="clear" w:color="auto" w:fill="CFF0FC"/>
          </w:tcPr>
          <w:p>
            <w:pPr>
              <w:spacing w:after="0"/>
              <w:rPr>
                <w:sz w:val="13"/>
                <w:szCs w:val="13"/>
                <w:color w:val="auto"/>
              </w:rPr>
            </w:pPr>
          </w:p>
        </w:tc>
        <w:tc>
          <w:tcPr>
            <w:tcW w:w="126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(1,488)</w:t>
            </w: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76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(770)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340" w:type="dxa"/>
            <w:vAlign w:val="bottom"/>
            <w:gridSpan w:val="2"/>
          </w:tcPr>
          <w:p>
            <w:pPr>
              <w:ind w:left="160"/>
              <w:spacing w:after="0"/>
              <w:rPr>
                <w:sz w:val="20"/>
                <w:szCs w:val="20"/>
                <w:color w:val="auto"/>
              </w:rPr>
            </w:pPr>
            <w:r>
              <w:rPr>
                <w:rFonts w:ascii="Arial" w:cs="Arial" w:eastAsia="Arial" w:hAnsi="Arial"/>
                <w:sz w:val="12"/>
                <w:szCs w:val="12"/>
                <w:color w:val="auto"/>
              </w:rPr>
              <w:t>State</w:t>
            </w:r>
          </w:p>
        </w:tc>
        <w:tc>
          <w:tcPr>
            <w:tcW w:w="122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2"/>
                <w:szCs w:val="12"/>
                <w:color w:val="auto"/>
              </w:rPr>
              <w:t>(3,837)</w:t>
            </w: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(698)</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60" w:type="dxa"/>
            <w:vAlign w:val="bottom"/>
            <w:gridSpan w:val="2"/>
          </w:tcPr>
          <w:p>
            <w:pPr>
              <w:jc w:val="right"/>
              <w:ind w:right="80"/>
              <w:spacing w:after="0"/>
              <w:rPr>
                <w:sz w:val="20"/>
                <w:szCs w:val="20"/>
                <w:color w:val="auto"/>
              </w:rPr>
            </w:pPr>
            <w:r>
              <w:rPr>
                <w:rFonts w:ascii="Arial" w:cs="Arial" w:eastAsia="Arial" w:hAnsi="Arial"/>
                <w:sz w:val="12"/>
                <w:szCs w:val="12"/>
                <w:color w:val="auto"/>
              </w:rPr>
              <w:t>(441)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34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Foreign</w:t>
            </w:r>
          </w:p>
        </w:tc>
        <w:tc>
          <w:tcPr>
            <w:tcW w:w="122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(378)</w:t>
            </w:r>
          </w:p>
        </w:tc>
        <w:tc>
          <w:tcPr>
            <w:tcW w:w="100" w:type="dxa"/>
            <w:vAlign w:val="bottom"/>
            <w:shd w:val="clear" w:color="auto" w:fill="CFF0FC"/>
          </w:tcPr>
          <w:p>
            <w:pPr>
              <w:spacing w:after="0"/>
              <w:rPr>
                <w:sz w:val="13"/>
                <w:szCs w:val="13"/>
                <w:color w:val="auto"/>
              </w:rPr>
            </w:pPr>
          </w:p>
        </w:tc>
        <w:tc>
          <w:tcPr>
            <w:tcW w:w="126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340" w:type="dxa"/>
            <w:vAlign w:val="bottom"/>
            <w:gridSpan w:val="2"/>
            <w:vMerge w:val="restart"/>
          </w:tcPr>
          <w:p>
            <w:pPr>
              <w:ind w:left="240"/>
              <w:spacing w:after="0"/>
              <w:rPr>
                <w:sz w:val="20"/>
                <w:szCs w:val="20"/>
                <w:color w:val="auto"/>
              </w:rPr>
            </w:pPr>
            <w:r>
              <w:rPr>
                <w:rFonts w:ascii="Arial" w:cs="Arial" w:eastAsia="Arial" w:hAnsi="Arial"/>
                <w:sz w:val="12"/>
                <w:szCs w:val="12"/>
                <w:color w:val="auto"/>
              </w:rPr>
              <w:t>Total deferred expense</w:t>
            </w:r>
          </w:p>
        </w:tc>
        <w:tc>
          <w:tcPr>
            <w:tcW w:w="1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340" w:type="dxa"/>
            <w:vAlign w:val="bottom"/>
            <w:gridSpan w:val="2"/>
            <w:vMerge w:val="continue"/>
          </w:tcPr>
          <w:p>
            <w:pPr>
              <w:spacing w:after="0"/>
              <w:rPr>
                <w:sz w:val="12"/>
                <w:szCs w:val="12"/>
                <w:color w:val="auto"/>
              </w:rPr>
            </w:pPr>
          </w:p>
        </w:tc>
        <w:tc>
          <w:tcPr>
            <w:tcW w:w="1220" w:type="dxa"/>
            <w:vAlign w:val="bottom"/>
          </w:tcPr>
          <w:p>
            <w:pPr>
              <w:spacing w:after="0"/>
              <w:rPr>
                <w:sz w:val="12"/>
                <w:szCs w:val="12"/>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2"/>
                <w:szCs w:val="12"/>
                <w:color w:val="auto"/>
              </w:rPr>
              <w:t>(41,171)</w:t>
            </w: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(2,186)</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60" w:type="dxa"/>
            <w:vAlign w:val="bottom"/>
            <w:gridSpan w:val="2"/>
          </w:tcPr>
          <w:p>
            <w:pPr>
              <w:jc w:val="right"/>
              <w:ind w:right="80"/>
              <w:spacing w:after="0"/>
              <w:rPr>
                <w:sz w:val="20"/>
                <w:szCs w:val="20"/>
                <w:color w:val="auto"/>
              </w:rPr>
            </w:pPr>
            <w:r>
              <w:rPr>
                <w:rFonts w:ascii="Arial" w:cs="Arial" w:eastAsia="Arial" w:hAnsi="Arial"/>
                <w:sz w:val="12"/>
                <w:szCs w:val="12"/>
                <w:color w:val="auto"/>
              </w:rPr>
              <w:t>(1,211)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340" w:type="dxa"/>
            <w:vAlign w:val="bottom"/>
            <w:gridSpan w:val="2"/>
            <w:vMerge w:val="restart"/>
            <w:shd w:val="clear" w:color="auto" w:fill="CFF0FC"/>
          </w:tcPr>
          <w:p>
            <w:pPr>
              <w:spacing w:after="0"/>
              <w:rPr>
                <w:sz w:val="20"/>
                <w:szCs w:val="20"/>
                <w:color w:val="auto"/>
              </w:rPr>
            </w:pPr>
            <w:r>
              <w:rPr>
                <w:rFonts w:ascii="Arial" w:cs="Arial" w:eastAsia="Arial" w:hAnsi="Arial"/>
                <w:sz w:val="12"/>
                <w:szCs w:val="12"/>
                <w:color w:val="auto"/>
              </w:rPr>
              <w:t>Total income tax (benefit) expense</w:t>
            </w:r>
          </w:p>
        </w:tc>
        <w:tc>
          <w:tcPr>
            <w:tcW w:w="1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5340" w:type="dxa"/>
            <w:vAlign w:val="bottom"/>
            <w:gridSpan w:val="2"/>
            <w:vMerge w:val="continue"/>
            <w:shd w:val="clear" w:color="auto" w:fill="CFF0FC"/>
          </w:tcPr>
          <w:p>
            <w:pPr>
              <w:spacing w:after="0"/>
              <w:rPr>
                <w:sz w:val="12"/>
                <w:szCs w:val="12"/>
                <w:color w:val="auto"/>
              </w:rPr>
            </w:pPr>
          </w:p>
        </w:tc>
        <w:tc>
          <w:tcPr>
            <w:tcW w:w="1220" w:type="dxa"/>
            <w:vAlign w:val="bottom"/>
            <w:shd w:val="clear" w:color="auto" w:fill="CFF0FC"/>
          </w:tcPr>
          <w:p>
            <w:pPr>
              <w:jc w:val="right"/>
              <w:ind w:right="1108"/>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(38,849)</w:t>
            </w:r>
          </w:p>
        </w:tc>
        <w:tc>
          <w:tcPr>
            <w:tcW w:w="1360" w:type="dxa"/>
            <w:vAlign w:val="bottom"/>
            <w:gridSpan w:val="2"/>
            <w:shd w:val="clear" w:color="auto" w:fill="CFF0FC"/>
          </w:tcPr>
          <w:p>
            <w:pPr>
              <w:jc w:val="right"/>
              <w:ind w:right="1152"/>
              <w:spacing w:after="0"/>
              <w:rPr>
                <w:sz w:val="20"/>
                <w:szCs w:val="20"/>
                <w:color w:val="auto"/>
              </w:rPr>
            </w:pPr>
            <w:r>
              <w:rPr>
                <w:rFonts w:ascii="Arial" w:cs="Arial" w:eastAsia="Arial" w:hAnsi="Arial"/>
                <w:sz w:val="12"/>
                <w:szCs w:val="12"/>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517</w:t>
            </w:r>
          </w:p>
        </w:tc>
        <w:tc>
          <w:tcPr>
            <w:tcW w:w="140" w:type="dxa"/>
            <w:vAlign w:val="bottom"/>
            <w:shd w:val="clear" w:color="auto" w:fill="CFF0FC"/>
          </w:tcPr>
          <w:p>
            <w:pPr>
              <w:spacing w:after="0"/>
              <w:rPr>
                <w:sz w:val="12"/>
                <w:szCs w:val="12"/>
                <w:color w:val="auto"/>
              </w:rPr>
            </w:pP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738</w:t>
            </w:r>
          </w:p>
        </w:tc>
        <w:tc>
          <w:tcPr>
            <w:tcW w:w="12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76"/>
        </w:trPr>
        <w:tc>
          <w:tcPr>
            <w:tcW w:w="5060" w:type="dxa"/>
            <w:vAlign w:val="bottom"/>
            <w:tcBorders>
              <w:top w:val="single" w:sz="8" w:color="CFF0FC"/>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1220" w:type="dxa"/>
            <w:vAlign w:val="bottom"/>
            <w:tcBorders>
              <w:top w:val="single" w:sz="8" w:color="auto"/>
            </w:tcBorders>
          </w:tcPr>
          <w:p>
            <w:pPr>
              <w:jc w:val="right"/>
              <w:ind w:right="708"/>
              <w:spacing w:after="0"/>
              <w:rPr>
                <w:sz w:val="20"/>
                <w:szCs w:val="20"/>
                <w:color w:val="auto"/>
              </w:rPr>
            </w:pPr>
            <w:r>
              <w:rPr>
                <w:rFonts w:ascii="Arial" w:cs="Arial" w:eastAsia="Arial" w:hAnsi="Arial"/>
                <w:sz w:val="12"/>
                <w:szCs w:val="12"/>
                <w:color w:val="auto"/>
              </w:rPr>
              <w:t>88</w:t>
            </w:r>
          </w:p>
        </w:tc>
        <w:tc>
          <w:tcPr>
            <w:tcW w:w="62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64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506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12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26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164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7280275</wp:posOffset>
            </wp:positionH>
            <wp:positionV relativeFrom="paragraph">
              <wp:posOffset>-23495</wp:posOffset>
            </wp:positionV>
            <wp:extent cx="31115" cy="368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4">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5">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0"/>
          </w:cols>
          <w:pgMar w:left="220" w:top="131" w:right="179" w:bottom="1440" w:gutter="0" w:footer="0" w:header="0"/>
        </w:sectPr>
      </w:pPr>
    </w:p>
    <w:bookmarkStart w:id="88" w:name="page89"/>
    <w:bookmarkEnd w:id="88"/>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Uniti Group Inc.</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the Consolidated Financial Statements – Continued</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color w:val="auto"/>
        </w:rPr>
        <w:t>An income tax expense reconciliation between the U.S. statutory tax rate and the effective tax rate is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230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0"/>
                <w:szCs w:val="10"/>
                <w:b w:val="1"/>
                <w:bCs w:val="1"/>
                <w:color w:val="auto"/>
              </w:rPr>
              <w:t>Year Ended December 31,</w:t>
            </w:r>
          </w:p>
        </w:tc>
        <w:tc>
          <w:tcPr>
            <w:tcW w:w="124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0" w:type="dxa"/>
            <w:vAlign w:val="bottom"/>
            <w:gridSpan w:val="2"/>
          </w:tcPr>
          <w:p>
            <w:pPr>
              <w:jc w:val="right"/>
              <w:ind w:right="820"/>
              <w:spacing w:after="0"/>
              <w:rPr>
                <w:sz w:val="20"/>
                <w:szCs w:val="20"/>
                <w:color w:val="auto"/>
              </w:rPr>
            </w:pPr>
            <w:r>
              <w:rPr>
                <w:rFonts w:ascii="Arial" w:cs="Arial" w:eastAsia="Arial" w:hAnsi="Arial"/>
                <w:sz w:val="10"/>
                <w:szCs w:val="10"/>
                <w:b w:val="1"/>
                <w:bCs w:val="1"/>
                <w:color w:val="auto"/>
              </w:rPr>
              <w:t>Period from</w:t>
            </w:r>
          </w:p>
        </w:tc>
        <w:tc>
          <w:tcPr>
            <w:tcW w:w="0" w:type="dxa"/>
            <w:vAlign w:val="bottom"/>
          </w:tcPr>
          <w:p>
            <w:pPr>
              <w:spacing w:after="0"/>
              <w:rPr>
                <w:sz w:val="1"/>
                <w:szCs w:val="1"/>
                <w:color w:val="auto"/>
              </w:rPr>
            </w:pPr>
          </w:p>
        </w:tc>
      </w:tr>
      <w:tr>
        <w:trPr>
          <w:trHeight w:val="151"/>
        </w:trPr>
        <w:tc>
          <w:tcPr>
            <w:tcW w:w="512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(Thousands)</w:t>
            </w:r>
          </w:p>
        </w:tc>
        <w:tc>
          <w:tcPr>
            <w:tcW w:w="140" w:type="dxa"/>
            <w:vAlign w:val="bottom"/>
            <w:tcBorders>
              <w:bottom w:val="single" w:sz="8" w:color="CFF0FC"/>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782"/>
              <w:spacing w:after="0"/>
              <w:rPr>
                <w:sz w:val="20"/>
                <w:szCs w:val="20"/>
                <w:color w:val="auto"/>
              </w:rPr>
            </w:pPr>
            <w:r>
              <w:rPr>
                <w:rFonts w:ascii="Arial" w:cs="Arial" w:eastAsia="Arial" w:hAnsi="Arial"/>
                <w:sz w:val="10"/>
                <w:szCs w:val="10"/>
                <w:b w:val="1"/>
                <w:bCs w:val="1"/>
                <w:color w:val="auto"/>
              </w:rPr>
              <w:t>2017</w:t>
            </w:r>
          </w:p>
        </w:tc>
        <w:tc>
          <w:tcPr>
            <w:tcW w:w="240" w:type="dxa"/>
            <w:vAlign w:val="bottom"/>
            <w:tcBorders>
              <w:bottom w:val="single" w:sz="8" w:color="CFF0FC"/>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781"/>
              <w:spacing w:after="0"/>
              <w:rPr>
                <w:sz w:val="20"/>
                <w:szCs w:val="20"/>
                <w:color w:val="auto"/>
              </w:rPr>
            </w:pPr>
            <w:r>
              <w:rPr>
                <w:rFonts w:ascii="Arial" w:cs="Arial" w:eastAsia="Arial" w:hAnsi="Arial"/>
                <w:sz w:val="10"/>
                <w:szCs w:val="10"/>
                <w:b w:val="1"/>
                <w:bCs w:val="1"/>
                <w:color w:val="auto"/>
              </w:rPr>
              <w:t>2016</w:t>
            </w:r>
          </w:p>
        </w:tc>
        <w:tc>
          <w:tcPr>
            <w:tcW w:w="24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ind w:right="282"/>
              <w:spacing w:after="0"/>
              <w:rPr>
                <w:sz w:val="20"/>
                <w:szCs w:val="20"/>
                <w:color w:val="auto"/>
              </w:rPr>
            </w:pPr>
            <w:r>
              <w:rPr>
                <w:rFonts w:ascii="Arial" w:cs="Arial" w:eastAsia="Arial" w:hAnsi="Arial"/>
                <w:sz w:val="10"/>
                <w:szCs w:val="10"/>
                <w:b w:val="1"/>
                <w:bCs w:val="1"/>
                <w:color w:val="auto"/>
                <w:w w:val="97"/>
              </w:rPr>
              <w:t>April 24 - December 31, 2015</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26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Income from continuing operations, before tax</w:t>
            </w:r>
          </w:p>
        </w:tc>
        <w:tc>
          <w:tcPr>
            <w:tcW w:w="440" w:type="dxa"/>
            <w:vAlign w:val="bottom"/>
            <w:shd w:val="clear" w:color="auto" w:fill="CFF0FC"/>
          </w:tcPr>
          <w:p>
            <w:pPr>
              <w:jc w:val="right"/>
              <w:ind w:right="330"/>
              <w:spacing w:after="0"/>
              <w:rPr>
                <w:sz w:val="20"/>
                <w:szCs w:val="20"/>
                <w:color w:val="auto"/>
              </w:rPr>
            </w:pPr>
            <w:r>
              <w:rPr>
                <w:rFonts w:ascii="Arial" w:cs="Arial" w:eastAsia="Arial" w:hAnsi="Arial"/>
                <w:sz w:val="10"/>
                <w:szCs w:val="10"/>
                <w:color w:val="auto"/>
                <w:w w:val="71"/>
              </w:rPr>
              <w:t>$</w:t>
            </w:r>
          </w:p>
        </w:tc>
        <w:tc>
          <w:tcPr>
            <w:tcW w:w="16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(47,667)</w:t>
            </w:r>
          </w:p>
        </w:tc>
        <w:tc>
          <w:tcPr>
            <w:tcW w:w="640" w:type="dxa"/>
            <w:vAlign w:val="bottom"/>
            <w:shd w:val="clear" w:color="auto" w:fill="CFF0FC"/>
          </w:tcPr>
          <w:p>
            <w:pPr>
              <w:jc w:val="right"/>
              <w:ind w:right="530"/>
              <w:spacing w:after="0"/>
              <w:rPr>
                <w:sz w:val="20"/>
                <w:szCs w:val="20"/>
                <w:color w:val="auto"/>
              </w:rPr>
            </w:pPr>
            <w:r>
              <w:rPr>
                <w:rFonts w:ascii="Arial" w:cs="Arial" w:eastAsia="Arial" w:hAnsi="Arial"/>
                <w:sz w:val="10"/>
                <w:szCs w:val="10"/>
                <w:color w:val="auto"/>
                <w:w w:val="71"/>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305</w:t>
            </w: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24,795</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260" w:type="dxa"/>
            <w:vAlign w:val="bottom"/>
            <w:gridSpan w:val="2"/>
          </w:tcPr>
          <w:p>
            <w:pPr>
              <w:spacing w:after="0"/>
              <w:rPr>
                <w:sz w:val="20"/>
                <w:szCs w:val="20"/>
                <w:color w:val="auto"/>
              </w:rPr>
            </w:pPr>
            <w:r>
              <w:rPr>
                <w:rFonts w:ascii="Arial" w:cs="Arial" w:eastAsia="Arial" w:hAnsi="Arial"/>
                <w:sz w:val="12"/>
                <w:szCs w:val="12"/>
                <w:color w:val="auto"/>
              </w:rPr>
              <w:t>Income tax at U.S. statutory federal rate</w:t>
            </w:r>
          </w:p>
        </w:tc>
        <w:tc>
          <w:tcPr>
            <w:tcW w:w="440" w:type="dxa"/>
            <w:vAlign w:val="bottom"/>
          </w:tcPr>
          <w:p>
            <w:pPr>
              <w:spacing w:after="0"/>
              <w:rPr>
                <w:sz w:val="13"/>
                <w:szCs w:val="13"/>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2"/>
                <w:szCs w:val="12"/>
                <w:color w:val="auto"/>
              </w:rPr>
              <w:t>(16,687)</w:t>
            </w:r>
          </w:p>
        </w:tc>
        <w:tc>
          <w:tcPr>
            <w:tcW w:w="64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107</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Arial" w:cs="Arial" w:eastAsia="Arial" w:hAnsi="Arial"/>
                <w:sz w:val="12"/>
                <w:szCs w:val="12"/>
                <w:color w:val="auto"/>
              </w:rPr>
              <w:t>8,665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26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Increases (decreases) resulting from:</w:t>
            </w:r>
          </w:p>
        </w:tc>
        <w:tc>
          <w:tcPr>
            <w:tcW w:w="440" w:type="dxa"/>
            <w:vAlign w:val="bottom"/>
            <w:shd w:val="clear" w:color="auto" w:fill="CFF0FC"/>
          </w:tcPr>
          <w:p>
            <w:pPr>
              <w:spacing w:after="0"/>
              <w:rPr>
                <w:sz w:val="13"/>
                <w:szCs w:val="13"/>
                <w:color w:val="auto"/>
              </w:rPr>
            </w:pPr>
          </w:p>
        </w:tc>
        <w:tc>
          <w:tcPr>
            <w:tcW w:w="14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2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260" w:type="dxa"/>
            <w:vAlign w:val="bottom"/>
            <w:gridSpan w:val="2"/>
          </w:tcPr>
          <w:p>
            <w:pPr>
              <w:ind w:left="160"/>
              <w:spacing w:after="0"/>
              <w:rPr>
                <w:sz w:val="20"/>
                <w:szCs w:val="20"/>
                <w:color w:val="auto"/>
              </w:rPr>
            </w:pPr>
            <w:r>
              <w:rPr>
                <w:rFonts w:ascii="Arial" w:cs="Arial" w:eastAsia="Arial" w:hAnsi="Arial"/>
                <w:sz w:val="12"/>
                <w:szCs w:val="12"/>
                <w:color w:val="auto"/>
              </w:rPr>
              <w:t>State taxes, net of federal benefit</w:t>
            </w:r>
          </w:p>
        </w:tc>
        <w:tc>
          <w:tcPr>
            <w:tcW w:w="440" w:type="dxa"/>
            <w:vAlign w:val="bottom"/>
          </w:tcPr>
          <w:p>
            <w:pPr>
              <w:spacing w:after="0"/>
              <w:rPr>
                <w:sz w:val="13"/>
                <w:szCs w:val="13"/>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2"/>
                <w:szCs w:val="12"/>
                <w:color w:val="auto"/>
              </w:rPr>
              <w:t>(429)</w:t>
            </w:r>
          </w:p>
        </w:tc>
        <w:tc>
          <w:tcPr>
            <w:tcW w:w="640" w:type="dxa"/>
            <w:vAlign w:val="bottom"/>
          </w:tcPr>
          <w:p>
            <w:pPr>
              <w:spacing w:after="0"/>
              <w:rPr>
                <w:sz w:val="13"/>
                <w:szCs w:val="13"/>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2"/>
                <w:szCs w:val="12"/>
                <w:color w:val="auto"/>
              </w:rPr>
              <w:t>(224)</w:t>
            </w:r>
          </w:p>
        </w:tc>
        <w:tc>
          <w:tcPr>
            <w:tcW w:w="2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Arial" w:cs="Arial" w:eastAsia="Arial" w:hAnsi="Arial"/>
                <w:sz w:val="12"/>
                <w:szCs w:val="12"/>
                <w:color w:val="auto"/>
              </w:rPr>
              <w:t>266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26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Benefit of REIT status</w:t>
            </w:r>
          </w:p>
        </w:tc>
        <w:tc>
          <w:tcPr>
            <w:tcW w:w="440" w:type="dxa"/>
            <w:vAlign w:val="bottom"/>
            <w:shd w:val="clear" w:color="auto" w:fill="CFF0FC"/>
          </w:tcPr>
          <w:p>
            <w:pPr>
              <w:spacing w:after="0"/>
              <w:rPr>
                <w:sz w:val="13"/>
                <w:szCs w:val="13"/>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8,836</w:t>
            </w:r>
          </w:p>
        </w:tc>
        <w:tc>
          <w:tcPr>
            <w:tcW w:w="24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(4,016)</w:t>
            </w:r>
          </w:p>
        </w:tc>
        <w:tc>
          <w:tcPr>
            <w:tcW w:w="200" w:type="dxa"/>
            <w:vAlign w:val="bottom"/>
            <w:shd w:val="clear" w:color="auto" w:fill="CFF0FC"/>
          </w:tcPr>
          <w:p>
            <w:pPr>
              <w:spacing w:after="0"/>
              <w:rPr>
                <w:sz w:val="13"/>
                <w:szCs w:val="13"/>
                <w:color w:val="auto"/>
              </w:rPr>
            </w:pPr>
          </w:p>
        </w:tc>
        <w:tc>
          <w:tcPr>
            <w:tcW w:w="180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(8,193)</w:t>
            </w:r>
          </w:p>
        </w:tc>
        <w:tc>
          <w:tcPr>
            <w:tcW w:w="0" w:type="dxa"/>
            <w:vAlign w:val="bottom"/>
          </w:tcPr>
          <w:p>
            <w:pPr>
              <w:spacing w:after="0"/>
              <w:rPr>
                <w:sz w:val="1"/>
                <w:szCs w:val="1"/>
                <w:color w:val="auto"/>
              </w:rPr>
            </w:pPr>
          </w:p>
        </w:tc>
      </w:tr>
      <w:tr>
        <w:trPr>
          <w:trHeight w:val="153"/>
        </w:trPr>
        <w:tc>
          <w:tcPr>
            <w:tcW w:w="5260" w:type="dxa"/>
            <w:vAlign w:val="bottom"/>
            <w:gridSpan w:val="2"/>
          </w:tcPr>
          <w:p>
            <w:pPr>
              <w:ind w:left="160"/>
              <w:spacing w:after="0"/>
              <w:rPr>
                <w:sz w:val="20"/>
                <w:szCs w:val="20"/>
                <w:color w:val="auto"/>
              </w:rPr>
            </w:pPr>
            <w:r>
              <w:rPr>
                <w:rFonts w:ascii="Arial" w:cs="Arial" w:eastAsia="Arial" w:hAnsi="Arial"/>
                <w:sz w:val="12"/>
                <w:szCs w:val="12"/>
                <w:color w:val="auto"/>
              </w:rPr>
              <w:t>Capitalized transaction costs</w:t>
            </w:r>
          </w:p>
        </w:tc>
        <w:tc>
          <w:tcPr>
            <w:tcW w:w="440" w:type="dxa"/>
            <w:vAlign w:val="bottom"/>
          </w:tcPr>
          <w:p>
            <w:pPr>
              <w:spacing w:after="0"/>
              <w:rPr>
                <w:sz w:val="13"/>
                <w:szCs w:val="13"/>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2"/>
                <w:szCs w:val="12"/>
                <w:color w:val="auto"/>
              </w:rPr>
              <w:t>(4,820)</w:t>
            </w:r>
          </w:p>
        </w:tc>
        <w:tc>
          <w:tcPr>
            <w:tcW w:w="640" w:type="dxa"/>
            <w:vAlign w:val="bottom"/>
          </w:tcPr>
          <w:p>
            <w:pPr>
              <w:spacing w:after="0"/>
              <w:rPr>
                <w:sz w:val="13"/>
                <w:szCs w:val="13"/>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2"/>
                <w:szCs w:val="12"/>
                <w:color w:val="auto"/>
              </w:rPr>
              <w:t>(3,915)</w:t>
            </w:r>
          </w:p>
        </w:tc>
        <w:tc>
          <w:tcPr>
            <w:tcW w:w="2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26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Change in valuation allowance</w:t>
            </w:r>
          </w:p>
        </w:tc>
        <w:tc>
          <w:tcPr>
            <w:tcW w:w="440" w:type="dxa"/>
            <w:vAlign w:val="bottom"/>
            <w:shd w:val="clear" w:color="auto" w:fill="CFF0FC"/>
          </w:tcPr>
          <w:p>
            <w:pPr>
              <w:spacing w:after="0"/>
              <w:rPr>
                <w:sz w:val="13"/>
                <w:szCs w:val="13"/>
                <w:color w:val="auto"/>
              </w:rPr>
            </w:pPr>
          </w:p>
        </w:tc>
        <w:tc>
          <w:tcPr>
            <w:tcW w:w="16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(8,176)</w:t>
            </w:r>
          </w:p>
        </w:tc>
        <w:tc>
          <w:tcPr>
            <w:tcW w:w="640" w:type="dxa"/>
            <w:vAlign w:val="bottom"/>
            <w:shd w:val="clear" w:color="auto" w:fill="CFF0FC"/>
          </w:tcPr>
          <w:p>
            <w:pPr>
              <w:spacing w:after="0"/>
              <w:rPr>
                <w:sz w:val="13"/>
                <w:szCs w:val="13"/>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8,176</w:t>
            </w: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260" w:type="dxa"/>
            <w:vAlign w:val="bottom"/>
            <w:gridSpan w:val="2"/>
          </w:tcPr>
          <w:p>
            <w:pPr>
              <w:ind w:left="160"/>
              <w:spacing w:after="0"/>
              <w:rPr>
                <w:sz w:val="20"/>
                <w:szCs w:val="20"/>
                <w:color w:val="auto"/>
              </w:rPr>
            </w:pPr>
            <w:r>
              <w:rPr>
                <w:rFonts w:ascii="Arial" w:cs="Arial" w:eastAsia="Arial" w:hAnsi="Arial"/>
                <w:sz w:val="12"/>
                <w:szCs w:val="12"/>
                <w:color w:val="auto"/>
              </w:rPr>
              <w:t>Adjustment of deferred tax balances</w:t>
            </w:r>
          </w:p>
        </w:tc>
        <w:tc>
          <w:tcPr>
            <w:tcW w:w="440" w:type="dxa"/>
            <w:vAlign w:val="bottom"/>
          </w:tcPr>
          <w:p>
            <w:pPr>
              <w:spacing w:after="0"/>
              <w:rPr>
                <w:sz w:val="13"/>
                <w:szCs w:val="13"/>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2"/>
                <w:szCs w:val="12"/>
                <w:color w:val="auto"/>
              </w:rPr>
              <w:t>(217)</w:t>
            </w:r>
          </w:p>
        </w:tc>
        <w:tc>
          <w:tcPr>
            <w:tcW w:w="64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149</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26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Permanent differences</w:t>
            </w:r>
          </w:p>
        </w:tc>
        <w:tc>
          <w:tcPr>
            <w:tcW w:w="440" w:type="dxa"/>
            <w:vAlign w:val="bottom"/>
            <w:shd w:val="clear" w:color="auto" w:fill="CFF0FC"/>
          </w:tcPr>
          <w:p>
            <w:pPr>
              <w:spacing w:after="0"/>
              <w:rPr>
                <w:sz w:val="13"/>
                <w:szCs w:val="13"/>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60</w:t>
            </w:r>
          </w:p>
        </w:tc>
        <w:tc>
          <w:tcPr>
            <w:tcW w:w="24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52</w:t>
            </w: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260" w:type="dxa"/>
            <w:vAlign w:val="bottom"/>
            <w:gridSpan w:val="2"/>
          </w:tcPr>
          <w:p>
            <w:pPr>
              <w:ind w:left="160"/>
              <w:spacing w:after="0"/>
              <w:rPr>
                <w:sz w:val="20"/>
                <w:szCs w:val="20"/>
                <w:color w:val="auto"/>
              </w:rPr>
            </w:pPr>
            <w:r>
              <w:rPr>
                <w:rFonts w:ascii="Arial" w:cs="Arial" w:eastAsia="Arial" w:hAnsi="Arial"/>
                <w:sz w:val="12"/>
                <w:szCs w:val="12"/>
                <w:color w:val="auto"/>
              </w:rPr>
              <w:t>Foreign taxes</w:t>
            </w:r>
          </w:p>
        </w:tc>
        <w:tc>
          <w:tcPr>
            <w:tcW w:w="440" w:type="dxa"/>
            <w:vAlign w:val="bottom"/>
          </w:tcPr>
          <w:p>
            <w:pPr>
              <w:spacing w:after="0"/>
              <w:rPr>
                <w:sz w:val="13"/>
                <w:szCs w:val="13"/>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2"/>
                <w:szCs w:val="12"/>
                <w:color w:val="auto"/>
              </w:rPr>
              <w:t>(378)</w:t>
            </w:r>
          </w:p>
        </w:tc>
        <w:tc>
          <w:tcPr>
            <w:tcW w:w="64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26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Rate differential</w:t>
            </w:r>
          </w:p>
        </w:tc>
        <w:tc>
          <w:tcPr>
            <w:tcW w:w="440" w:type="dxa"/>
            <w:vAlign w:val="bottom"/>
            <w:shd w:val="clear" w:color="auto" w:fill="CFF0FC"/>
          </w:tcPr>
          <w:p>
            <w:pPr>
              <w:spacing w:after="0"/>
              <w:rPr>
                <w:sz w:val="13"/>
                <w:szCs w:val="13"/>
                <w:color w:val="auto"/>
              </w:rPr>
            </w:pPr>
          </w:p>
        </w:tc>
        <w:tc>
          <w:tcPr>
            <w:tcW w:w="16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(17,038)</w:t>
            </w:r>
          </w:p>
        </w:tc>
        <w:tc>
          <w:tcPr>
            <w:tcW w:w="640" w:type="dxa"/>
            <w:vAlign w:val="bottom"/>
            <w:shd w:val="clear" w:color="auto" w:fill="CFF0FC"/>
          </w:tcPr>
          <w:p>
            <w:pPr>
              <w:spacing w:after="0"/>
              <w:rPr>
                <w:sz w:val="13"/>
                <w:szCs w:val="13"/>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188</w:t>
            </w: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spacing w:after="0"/>
              <w:rPr>
                <w:sz w:val="20"/>
                <w:szCs w:val="20"/>
                <w:color w:val="auto"/>
              </w:rPr>
            </w:pPr>
            <w:r>
              <w:rPr>
                <w:rFonts w:ascii="Arial" w:cs="Arial" w:eastAsia="Arial" w:hAnsi="Arial"/>
                <w:sz w:val="12"/>
                <w:szCs w:val="12"/>
                <w:color w:val="auto"/>
              </w:rPr>
              <w:t>Income tax (benefit) expense</w:t>
            </w:r>
          </w:p>
        </w:tc>
        <w:tc>
          <w:tcPr>
            <w:tcW w:w="4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260" w:type="dxa"/>
            <w:vAlign w:val="bottom"/>
            <w:gridSpan w:val="2"/>
            <w:vMerge w:val="continue"/>
          </w:tcPr>
          <w:p>
            <w:pPr>
              <w:spacing w:after="0"/>
              <w:rPr>
                <w:sz w:val="12"/>
                <w:szCs w:val="12"/>
                <w:color w:val="auto"/>
              </w:rPr>
            </w:pPr>
          </w:p>
        </w:tc>
        <w:tc>
          <w:tcPr>
            <w:tcW w:w="440" w:type="dxa"/>
            <w:vAlign w:val="bottom"/>
          </w:tcPr>
          <w:p>
            <w:pPr>
              <w:jc w:val="right"/>
              <w:ind w:right="330"/>
              <w:spacing w:after="0"/>
              <w:rPr>
                <w:sz w:val="20"/>
                <w:szCs w:val="20"/>
                <w:color w:val="auto"/>
              </w:rPr>
            </w:pPr>
            <w:r>
              <w:rPr>
                <w:rFonts w:ascii="Arial" w:cs="Arial" w:eastAsia="Arial" w:hAnsi="Arial"/>
                <w:sz w:val="10"/>
                <w:szCs w:val="10"/>
                <w:color w:val="auto"/>
                <w:w w:val="71"/>
              </w:rPr>
              <w:t>$</w:t>
            </w:r>
          </w:p>
        </w:tc>
        <w:tc>
          <w:tcPr>
            <w:tcW w:w="1660" w:type="dxa"/>
            <w:vAlign w:val="bottom"/>
            <w:gridSpan w:val="2"/>
          </w:tcPr>
          <w:p>
            <w:pPr>
              <w:jc w:val="right"/>
              <w:ind w:right="200"/>
              <w:spacing w:after="0"/>
              <w:rPr>
                <w:sz w:val="20"/>
                <w:szCs w:val="20"/>
                <w:color w:val="auto"/>
              </w:rPr>
            </w:pPr>
            <w:r>
              <w:rPr>
                <w:rFonts w:ascii="Arial" w:cs="Arial" w:eastAsia="Arial" w:hAnsi="Arial"/>
                <w:sz w:val="12"/>
                <w:szCs w:val="12"/>
                <w:color w:val="auto"/>
              </w:rPr>
              <w:t>(38,849)</w:t>
            </w:r>
          </w:p>
        </w:tc>
        <w:tc>
          <w:tcPr>
            <w:tcW w:w="640" w:type="dxa"/>
            <w:vAlign w:val="bottom"/>
          </w:tcPr>
          <w:p>
            <w:pPr>
              <w:jc w:val="right"/>
              <w:ind w:right="530"/>
              <w:spacing w:after="0"/>
              <w:rPr>
                <w:sz w:val="20"/>
                <w:szCs w:val="20"/>
                <w:color w:val="auto"/>
              </w:rPr>
            </w:pPr>
            <w:r>
              <w:rPr>
                <w:rFonts w:ascii="Arial" w:cs="Arial" w:eastAsia="Arial" w:hAnsi="Arial"/>
                <w:sz w:val="10"/>
                <w:szCs w:val="10"/>
                <w:color w:val="auto"/>
                <w:w w:val="71"/>
              </w:rPr>
              <w:t>$</w:t>
            </w:r>
          </w:p>
        </w:tc>
        <w:tc>
          <w:tcPr>
            <w:tcW w:w="1240" w:type="dxa"/>
            <w:vAlign w:val="bottom"/>
          </w:tcPr>
          <w:p>
            <w:pPr>
              <w:jc w:val="right"/>
              <w:spacing w:after="0"/>
              <w:rPr>
                <w:sz w:val="20"/>
                <w:szCs w:val="20"/>
                <w:color w:val="auto"/>
              </w:rPr>
            </w:pPr>
            <w:r>
              <w:rPr>
                <w:rFonts w:ascii="Arial" w:cs="Arial" w:eastAsia="Arial" w:hAnsi="Arial"/>
                <w:sz w:val="12"/>
                <w:szCs w:val="12"/>
                <w:color w:val="auto"/>
              </w:rPr>
              <w:t>517</w:t>
            </w:r>
          </w:p>
        </w:tc>
        <w:tc>
          <w:tcPr>
            <w:tcW w:w="240" w:type="dxa"/>
            <w:vAlign w:val="bottom"/>
          </w:tcPr>
          <w:p>
            <w:pPr>
              <w:spacing w:after="0"/>
              <w:rPr>
                <w:sz w:val="12"/>
                <w:szCs w:val="12"/>
                <w:color w:val="auto"/>
              </w:rPr>
            </w:pP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1680" w:type="dxa"/>
            <w:vAlign w:val="bottom"/>
          </w:tcPr>
          <w:p>
            <w:pPr>
              <w:jc w:val="right"/>
              <w:spacing w:after="0"/>
              <w:rPr>
                <w:sz w:val="20"/>
                <w:szCs w:val="20"/>
                <w:color w:val="auto"/>
              </w:rPr>
            </w:pPr>
            <w:r>
              <w:rPr>
                <w:rFonts w:ascii="Arial" w:cs="Arial" w:eastAsia="Arial" w:hAnsi="Arial"/>
                <w:sz w:val="12"/>
                <w:szCs w:val="12"/>
                <w:color w:val="auto"/>
              </w:rPr>
              <w:t>738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jc w:val="both"/>
        <w:ind w:right="80"/>
        <w:spacing w:after="0" w:line="276" w:lineRule="auto"/>
        <w:rPr>
          <w:sz w:val="20"/>
          <w:szCs w:val="20"/>
          <w:color w:val="auto"/>
        </w:rPr>
      </w:pPr>
      <w:r>
        <w:rPr>
          <w:rFonts w:ascii="Arial" w:cs="Arial" w:eastAsia="Arial" w:hAnsi="Arial"/>
          <w:sz w:val="12"/>
          <w:szCs w:val="12"/>
          <w:color w:val="auto"/>
        </w:rPr>
        <w:t>The effective tax rate on income from continuing operations differs from tax at the statutory rate primarily due to our status as a REIT, certain capitalized costs incurred to acquire assets that were transferred to a TRS, changes in valuation allowance related to deferred tax assets of a TRS, and the impact of corporate tax reform, discussed below.</w:t>
      </w:r>
    </w:p>
    <w:p>
      <w:pPr>
        <w:spacing w:after="0" w:line="115"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The Tax Cuts and Jobs Act (“Tax Bill”) was enacted on December 22, 2017. The Tax Bill reduces the U.S. federal corporate tax rate from 35% to 21%, requires companies to pay a one-time transition tax on earnings of certain foreign subsidiaries that were previously tax deferred and creates new taxes on certain foreign sourced earnings.</w:t>
      </w:r>
    </w:p>
    <w:p>
      <w:pPr>
        <w:spacing w:after="0" w:line="115"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At December 31, 2017, we have not completed our accounting for the tax effects of enactment of the Tax Bill; however, in certain cases, as described below, we have made a reasonable estimate of the effects on our existing deferred tax balances and the one-time transition tax. In other cases, we have not been able to make a reasonable estimate and continue to account for those items based on our existing accounting under ASC 740, Income Taxes, and the provisions of the tax laws that were in effect immediately prior to enactment.</w:t>
      </w:r>
    </w:p>
    <w:p>
      <w:pPr>
        <w:spacing w:after="0" w:line="123" w:lineRule="exact"/>
        <w:rPr>
          <w:sz w:val="20"/>
          <w:szCs w:val="20"/>
          <w:color w:val="auto"/>
        </w:rPr>
      </w:pPr>
    </w:p>
    <w:p>
      <w:pPr>
        <w:jc w:val="both"/>
        <w:ind w:right="20"/>
        <w:spacing w:after="0" w:line="323" w:lineRule="auto"/>
        <w:rPr>
          <w:sz w:val="20"/>
          <w:szCs w:val="20"/>
          <w:color w:val="auto"/>
        </w:rPr>
      </w:pPr>
      <w:r>
        <w:rPr>
          <w:rFonts w:ascii="Arial" w:cs="Arial" w:eastAsia="Arial" w:hAnsi="Arial"/>
          <w:sz w:val="11"/>
          <w:szCs w:val="11"/>
          <w:color w:val="auto"/>
        </w:rPr>
        <w:t>For the items for which we were able to determine a reasonable estimate, we recognized a non-cash provisional benefit in the amount of $17.0 million due to the revaluing of the Company’s deferred tax liabilities, which is included as a component of income tax expense from continuing operations. Given the current structure of the Company, it is anticipated that there will be limited to no impact related to the one-time transition tax on historic foreign earnings.</w:t>
      </w:r>
    </w:p>
    <w:p>
      <w:pPr>
        <w:spacing w:after="0" w:line="92" w:lineRule="exact"/>
        <w:rPr>
          <w:sz w:val="20"/>
          <w:szCs w:val="20"/>
          <w:color w:val="auto"/>
        </w:rPr>
      </w:pPr>
    </w:p>
    <w:p>
      <w:pPr>
        <w:ind w:right="140"/>
        <w:spacing w:after="0" w:line="276" w:lineRule="auto"/>
        <w:rPr>
          <w:sz w:val="20"/>
          <w:szCs w:val="20"/>
          <w:color w:val="auto"/>
        </w:rPr>
      </w:pPr>
      <w:r>
        <w:rPr>
          <w:rFonts w:ascii="Arial" w:cs="Arial" w:eastAsia="Arial" w:hAnsi="Arial"/>
          <w:sz w:val="12"/>
          <w:szCs w:val="12"/>
          <w:color w:val="auto"/>
        </w:rPr>
        <w:t>Future regulatory and rulemaking interpretations and decisions of the Tax Bill may impact the Company’s tax position. Therefore the estimated impact of provisions outside of the write-down of cumulative deferred tax liabilities remains uncertain. Corrective or supplemental legislation and its impact will be considered in the Company’s financial statements in the period ending September 30, 2018.</w:t>
      </w:r>
    </w:p>
    <w:p>
      <w:pPr>
        <w:spacing w:after="0" w:line="115" w:lineRule="exact"/>
        <w:rPr>
          <w:sz w:val="20"/>
          <w:szCs w:val="20"/>
          <w:color w:val="auto"/>
        </w:rPr>
      </w:pPr>
    </w:p>
    <w:p>
      <w:pPr>
        <w:spacing w:after="0"/>
        <w:rPr>
          <w:sz w:val="20"/>
          <w:szCs w:val="20"/>
          <w:color w:val="auto"/>
        </w:rPr>
      </w:pPr>
      <w:r>
        <w:rPr>
          <w:rFonts w:ascii="Arial" w:cs="Arial" w:eastAsia="Arial" w:hAnsi="Arial"/>
          <w:sz w:val="11"/>
          <w:szCs w:val="11"/>
          <w:color w:val="auto"/>
        </w:rPr>
        <w:t>Deferred tax assets and liabilities are recognized for the estimated future tax consequences attributable to differences between the financial statement carrying amounts of existing assets and liabilities and their respective tax bases.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6">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89" w:name="page90"/>
    <w:bookmarkEnd w:id="89"/>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Uniti Group Inc.</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the Consolidated Financial Statements – Continued</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color w:val="auto"/>
        </w:rPr>
        <w:t>The components of the Company's deferred tax assets and liabilities are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5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(Thousands)</w:t>
            </w:r>
          </w:p>
        </w:tc>
        <w:tc>
          <w:tcPr>
            <w:tcW w:w="300" w:type="dxa"/>
            <w:vAlign w:val="bottom"/>
            <w:tcBorders>
              <w:bottom w:val="single" w:sz="8" w:color="CFF0FC"/>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2140" w:type="dxa"/>
            <w:vAlign w:val="bottom"/>
            <w:tcBorders>
              <w:bottom w:val="single" w:sz="8" w:color="auto"/>
            </w:tcBorders>
          </w:tcPr>
          <w:p>
            <w:pPr>
              <w:jc w:val="right"/>
              <w:ind w:right="861"/>
              <w:spacing w:after="0"/>
              <w:rPr>
                <w:sz w:val="20"/>
                <w:szCs w:val="20"/>
                <w:color w:val="auto"/>
              </w:rPr>
            </w:pPr>
            <w:r>
              <w:rPr>
                <w:rFonts w:ascii="Arial" w:cs="Arial" w:eastAsia="Arial" w:hAnsi="Arial"/>
                <w:sz w:val="10"/>
                <w:szCs w:val="10"/>
                <w:b w:val="1"/>
                <w:bCs w:val="1"/>
                <w:color w:val="auto"/>
              </w:rPr>
              <w:t>December 31, 2017</w:t>
            </w:r>
          </w:p>
        </w:tc>
        <w:tc>
          <w:tcPr>
            <w:tcW w:w="180" w:type="dxa"/>
            <w:vAlign w:val="bottom"/>
            <w:tcBorders>
              <w:bottom w:val="single" w:sz="8" w:color="CFF0FC"/>
            </w:tcBorders>
          </w:tcPr>
          <w:p>
            <w:pPr>
              <w:spacing w:after="0"/>
              <w:rPr>
                <w:sz w:val="10"/>
                <w:szCs w:val="10"/>
                <w:color w:val="auto"/>
              </w:rPr>
            </w:pPr>
          </w:p>
        </w:tc>
        <w:tc>
          <w:tcPr>
            <w:tcW w:w="120" w:type="dxa"/>
            <w:vAlign w:val="bottom"/>
            <w:tcBorders>
              <w:bottom w:val="single" w:sz="8" w:color="CFF0FC"/>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140" w:type="dxa"/>
            <w:vAlign w:val="bottom"/>
            <w:tcBorders>
              <w:bottom w:val="single" w:sz="8" w:color="auto"/>
            </w:tcBorders>
          </w:tcPr>
          <w:p>
            <w:pPr>
              <w:jc w:val="right"/>
              <w:ind w:right="881"/>
              <w:spacing w:after="0"/>
              <w:rPr>
                <w:sz w:val="20"/>
                <w:szCs w:val="20"/>
                <w:color w:val="auto"/>
              </w:rPr>
            </w:pPr>
            <w:r>
              <w:rPr>
                <w:rFonts w:ascii="Arial" w:cs="Arial" w:eastAsia="Arial" w:hAnsi="Arial"/>
                <w:sz w:val="10"/>
                <w:szCs w:val="10"/>
                <w:b w:val="1"/>
                <w:bCs w:val="1"/>
                <w:color w:val="auto"/>
              </w:rPr>
              <w:t>December 31, 2016</w:t>
            </w:r>
          </w:p>
        </w:tc>
        <w:tc>
          <w:tcPr>
            <w:tcW w:w="120" w:type="dxa"/>
            <w:vAlign w:val="bottom"/>
            <w:tcBorders>
              <w:bottom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58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Deferred tax assets:</w:t>
            </w:r>
          </w:p>
        </w:tc>
        <w:tc>
          <w:tcPr>
            <w:tcW w:w="480" w:type="dxa"/>
            <w:vAlign w:val="bottom"/>
            <w:shd w:val="clear" w:color="auto" w:fill="CFF0FC"/>
          </w:tcPr>
          <w:p>
            <w:pPr>
              <w:spacing w:after="0"/>
              <w:rPr>
                <w:sz w:val="12"/>
                <w:szCs w:val="12"/>
                <w:color w:val="auto"/>
              </w:rPr>
            </w:pPr>
          </w:p>
        </w:tc>
        <w:tc>
          <w:tcPr>
            <w:tcW w:w="2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800" w:type="dxa"/>
            <w:vAlign w:val="bottom"/>
            <w:gridSpan w:val="2"/>
          </w:tcPr>
          <w:p>
            <w:pPr>
              <w:ind w:left="160"/>
              <w:spacing w:after="0"/>
              <w:rPr>
                <w:sz w:val="20"/>
                <w:szCs w:val="20"/>
                <w:color w:val="auto"/>
              </w:rPr>
            </w:pPr>
            <w:r>
              <w:rPr>
                <w:rFonts w:ascii="Arial" w:cs="Arial" w:eastAsia="Arial" w:hAnsi="Arial"/>
                <w:sz w:val="12"/>
                <w:szCs w:val="12"/>
                <w:color w:val="auto"/>
              </w:rPr>
              <w:t>Deferred revenue</w:t>
            </w:r>
          </w:p>
        </w:tc>
        <w:tc>
          <w:tcPr>
            <w:tcW w:w="480" w:type="dxa"/>
            <w:vAlign w:val="bottom"/>
          </w:tcPr>
          <w:p>
            <w:pPr>
              <w:jc w:val="right"/>
              <w:ind w:right="370"/>
              <w:spacing w:after="0"/>
              <w:rPr>
                <w:sz w:val="20"/>
                <w:szCs w:val="20"/>
                <w:color w:val="auto"/>
              </w:rPr>
            </w:pPr>
            <w:r>
              <w:rPr>
                <w:rFonts w:ascii="Arial" w:cs="Arial" w:eastAsia="Arial" w:hAnsi="Arial"/>
                <w:sz w:val="10"/>
                <w:szCs w:val="10"/>
                <w:color w:val="auto"/>
                <w:w w:val="71"/>
              </w:rPr>
              <w:t>$</w:t>
            </w:r>
          </w:p>
        </w:tc>
        <w:tc>
          <w:tcPr>
            <w:tcW w:w="2140" w:type="dxa"/>
            <w:vAlign w:val="bottom"/>
          </w:tcPr>
          <w:p>
            <w:pPr>
              <w:jc w:val="right"/>
              <w:spacing w:after="0"/>
              <w:rPr>
                <w:sz w:val="20"/>
                <w:szCs w:val="20"/>
                <w:color w:val="auto"/>
              </w:rPr>
            </w:pPr>
            <w:r>
              <w:rPr>
                <w:rFonts w:ascii="Arial" w:cs="Arial" w:eastAsia="Arial" w:hAnsi="Arial"/>
                <w:sz w:val="12"/>
                <w:szCs w:val="12"/>
                <w:color w:val="auto"/>
              </w:rPr>
              <w:t>17,114</w:t>
            </w:r>
          </w:p>
        </w:tc>
        <w:tc>
          <w:tcPr>
            <w:tcW w:w="180" w:type="dxa"/>
            <w:vAlign w:val="bottom"/>
          </w:tcPr>
          <w:p>
            <w:pPr>
              <w:spacing w:after="0"/>
              <w:rPr>
                <w:sz w:val="13"/>
                <w:szCs w:val="13"/>
                <w:color w:val="auto"/>
              </w:rPr>
            </w:pPr>
          </w:p>
        </w:tc>
        <w:tc>
          <w:tcPr>
            <w:tcW w:w="620" w:type="dxa"/>
            <w:vAlign w:val="bottom"/>
            <w:gridSpan w:val="2"/>
          </w:tcPr>
          <w:p>
            <w:pPr>
              <w:jc w:val="right"/>
              <w:ind w:right="440"/>
              <w:spacing w:after="0"/>
              <w:rPr>
                <w:sz w:val="20"/>
                <w:szCs w:val="20"/>
                <w:color w:val="auto"/>
              </w:rPr>
            </w:pPr>
            <w:r>
              <w:rPr>
                <w:rFonts w:ascii="Arial" w:cs="Arial" w:eastAsia="Arial" w:hAnsi="Arial"/>
                <w:sz w:val="12"/>
                <w:szCs w:val="12"/>
                <w:color w:val="auto"/>
              </w:rPr>
              <w:t>$</w:t>
            </w:r>
          </w:p>
        </w:tc>
        <w:tc>
          <w:tcPr>
            <w:tcW w:w="2140" w:type="dxa"/>
            <w:vAlign w:val="bottom"/>
          </w:tcPr>
          <w:p>
            <w:pPr>
              <w:jc w:val="right"/>
              <w:spacing w:after="0"/>
              <w:rPr>
                <w:sz w:val="20"/>
                <w:szCs w:val="20"/>
                <w:color w:val="auto"/>
              </w:rPr>
            </w:pPr>
            <w:r>
              <w:rPr>
                <w:rFonts w:ascii="Arial" w:cs="Arial" w:eastAsia="Arial" w:hAnsi="Arial"/>
                <w:sz w:val="12"/>
                <w:szCs w:val="12"/>
                <w:color w:val="auto"/>
              </w:rPr>
              <w:t>4,244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80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Accrued bonuses</w:t>
            </w:r>
          </w:p>
        </w:tc>
        <w:tc>
          <w:tcPr>
            <w:tcW w:w="480" w:type="dxa"/>
            <w:vAlign w:val="bottom"/>
            <w:shd w:val="clear" w:color="auto" w:fill="CFF0FC"/>
          </w:tcPr>
          <w:p>
            <w:pPr>
              <w:spacing w:after="0"/>
              <w:rPr>
                <w:sz w:val="13"/>
                <w:szCs w:val="13"/>
                <w:color w:val="auto"/>
              </w:rPr>
            </w:pPr>
          </w:p>
        </w:tc>
        <w:tc>
          <w:tcPr>
            <w:tcW w:w="21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101</w:t>
            </w: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21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520</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800" w:type="dxa"/>
            <w:vAlign w:val="bottom"/>
            <w:gridSpan w:val="2"/>
          </w:tcPr>
          <w:p>
            <w:pPr>
              <w:ind w:left="160"/>
              <w:spacing w:after="0"/>
              <w:rPr>
                <w:sz w:val="20"/>
                <w:szCs w:val="20"/>
                <w:color w:val="auto"/>
              </w:rPr>
            </w:pPr>
            <w:r>
              <w:rPr>
                <w:rFonts w:ascii="Arial" w:cs="Arial" w:eastAsia="Arial" w:hAnsi="Arial"/>
                <w:sz w:val="12"/>
                <w:szCs w:val="12"/>
                <w:color w:val="auto"/>
              </w:rPr>
              <w:t>Goodwill</w:t>
            </w:r>
          </w:p>
        </w:tc>
        <w:tc>
          <w:tcPr>
            <w:tcW w:w="480" w:type="dxa"/>
            <w:vAlign w:val="bottom"/>
          </w:tcPr>
          <w:p>
            <w:pPr>
              <w:spacing w:after="0"/>
              <w:rPr>
                <w:sz w:val="13"/>
                <w:szCs w:val="13"/>
                <w:color w:val="auto"/>
              </w:rPr>
            </w:pPr>
          </w:p>
        </w:tc>
        <w:tc>
          <w:tcPr>
            <w:tcW w:w="214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140" w:type="dxa"/>
            <w:vAlign w:val="bottom"/>
          </w:tcPr>
          <w:p>
            <w:pPr>
              <w:jc w:val="right"/>
              <w:spacing w:after="0"/>
              <w:rPr>
                <w:sz w:val="20"/>
                <w:szCs w:val="20"/>
                <w:color w:val="auto"/>
              </w:rPr>
            </w:pPr>
            <w:r>
              <w:rPr>
                <w:rFonts w:ascii="Arial" w:cs="Arial" w:eastAsia="Arial" w:hAnsi="Arial"/>
                <w:sz w:val="12"/>
                <w:szCs w:val="12"/>
                <w:color w:val="auto"/>
              </w:rPr>
              <w:t>1,886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80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Stock based compensation</w:t>
            </w:r>
          </w:p>
        </w:tc>
        <w:tc>
          <w:tcPr>
            <w:tcW w:w="480" w:type="dxa"/>
            <w:vAlign w:val="bottom"/>
            <w:shd w:val="clear" w:color="auto" w:fill="CFF0FC"/>
          </w:tcPr>
          <w:p>
            <w:pPr>
              <w:spacing w:after="0"/>
              <w:rPr>
                <w:sz w:val="13"/>
                <w:szCs w:val="13"/>
                <w:color w:val="auto"/>
              </w:rPr>
            </w:pPr>
          </w:p>
        </w:tc>
        <w:tc>
          <w:tcPr>
            <w:tcW w:w="21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506</w:t>
            </w: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21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179</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800" w:type="dxa"/>
            <w:vAlign w:val="bottom"/>
            <w:gridSpan w:val="2"/>
          </w:tcPr>
          <w:p>
            <w:pPr>
              <w:ind w:left="160"/>
              <w:spacing w:after="0"/>
              <w:rPr>
                <w:sz w:val="20"/>
                <w:szCs w:val="20"/>
                <w:color w:val="auto"/>
              </w:rPr>
            </w:pPr>
            <w:r>
              <w:rPr>
                <w:rFonts w:ascii="Arial" w:cs="Arial" w:eastAsia="Arial" w:hAnsi="Arial"/>
                <w:sz w:val="12"/>
                <w:szCs w:val="12"/>
                <w:color w:val="auto"/>
              </w:rPr>
              <w:t>Accrued expenses and other</w:t>
            </w:r>
          </w:p>
        </w:tc>
        <w:tc>
          <w:tcPr>
            <w:tcW w:w="480" w:type="dxa"/>
            <w:vAlign w:val="bottom"/>
          </w:tcPr>
          <w:p>
            <w:pPr>
              <w:spacing w:after="0"/>
              <w:rPr>
                <w:sz w:val="13"/>
                <w:szCs w:val="13"/>
                <w:color w:val="auto"/>
              </w:rPr>
            </w:pPr>
          </w:p>
        </w:tc>
        <w:tc>
          <w:tcPr>
            <w:tcW w:w="2140" w:type="dxa"/>
            <w:vAlign w:val="bottom"/>
          </w:tcPr>
          <w:p>
            <w:pPr>
              <w:jc w:val="right"/>
              <w:spacing w:after="0"/>
              <w:rPr>
                <w:sz w:val="20"/>
                <w:szCs w:val="20"/>
                <w:color w:val="auto"/>
              </w:rPr>
            </w:pPr>
            <w:r>
              <w:rPr>
                <w:rFonts w:ascii="Arial" w:cs="Arial" w:eastAsia="Arial" w:hAnsi="Arial"/>
                <w:sz w:val="12"/>
                <w:szCs w:val="12"/>
                <w:color w:val="auto"/>
              </w:rPr>
              <w:t>2,023</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140" w:type="dxa"/>
            <w:vAlign w:val="bottom"/>
          </w:tcPr>
          <w:p>
            <w:pPr>
              <w:jc w:val="right"/>
              <w:spacing w:after="0"/>
              <w:rPr>
                <w:sz w:val="20"/>
                <w:szCs w:val="20"/>
                <w:color w:val="auto"/>
              </w:rPr>
            </w:pPr>
            <w:r>
              <w:rPr>
                <w:rFonts w:ascii="Arial" w:cs="Arial" w:eastAsia="Arial" w:hAnsi="Arial"/>
                <w:sz w:val="12"/>
                <w:szCs w:val="12"/>
                <w:color w:val="auto"/>
              </w:rPr>
              <w:t>802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80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Asset retirement obligation</w:t>
            </w:r>
          </w:p>
        </w:tc>
        <w:tc>
          <w:tcPr>
            <w:tcW w:w="480" w:type="dxa"/>
            <w:vAlign w:val="bottom"/>
            <w:shd w:val="clear" w:color="auto" w:fill="CFF0FC"/>
          </w:tcPr>
          <w:p>
            <w:pPr>
              <w:spacing w:after="0"/>
              <w:rPr>
                <w:sz w:val="13"/>
                <w:szCs w:val="13"/>
                <w:color w:val="auto"/>
              </w:rPr>
            </w:pPr>
          </w:p>
        </w:tc>
        <w:tc>
          <w:tcPr>
            <w:tcW w:w="21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1,341</w:t>
            </w: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21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790</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800" w:type="dxa"/>
            <w:vAlign w:val="bottom"/>
            <w:gridSpan w:val="2"/>
          </w:tcPr>
          <w:p>
            <w:pPr>
              <w:ind w:left="160"/>
              <w:spacing w:after="0"/>
              <w:rPr>
                <w:sz w:val="20"/>
                <w:szCs w:val="20"/>
                <w:color w:val="auto"/>
              </w:rPr>
            </w:pPr>
            <w:r>
              <w:rPr>
                <w:rFonts w:ascii="Arial" w:cs="Arial" w:eastAsia="Arial" w:hAnsi="Arial"/>
                <w:sz w:val="12"/>
                <w:szCs w:val="12"/>
                <w:color w:val="auto"/>
              </w:rPr>
              <w:t>Inventory reserve</w:t>
            </w:r>
          </w:p>
        </w:tc>
        <w:tc>
          <w:tcPr>
            <w:tcW w:w="480" w:type="dxa"/>
            <w:vAlign w:val="bottom"/>
          </w:tcPr>
          <w:p>
            <w:pPr>
              <w:spacing w:after="0"/>
              <w:rPr>
                <w:sz w:val="13"/>
                <w:szCs w:val="13"/>
                <w:color w:val="auto"/>
              </w:rPr>
            </w:pPr>
          </w:p>
        </w:tc>
        <w:tc>
          <w:tcPr>
            <w:tcW w:w="2140" w:type="dxa"/>
            <w:vAlign w:val="bottom"/>
          </w:tcPr>
          <w:p>
            <w:pPr>
              <w:jc w:val="right"/>
              <w:spacing w:after="0"/>
              <w:rPr>
                <w:sz w:val="20"/>
                <w:szCs w:val="20"/>
                <w:color w:val="auto"/>
              </w:rPr>
            </w:pPr>
            <w:r>
              <w:rPr>
                <w:rFonts w:ascii="Arial" w:cs="Arial" w:eastAsia="Arial" w:hAnsi="Arial"/>
                <w:sz w:val="12"/>
                <w:szCs w:val="12"/>
                <w:color w:val="auto"/>
              </w:rPr>
              <w:t>248</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140" w:type="dxa"/>
            <w:vAlign w:val="bottom"/>
          </w:tcPr>
          <w:p>
            <w:pPr>
              <w:jc w:val="right"/>
              <w:spacing w:after="0"/>
              <w:rPr>
                <w:sz w:val="20"/>
                <w:szCs w:val="20"/>
                <w:color w:val="auto"/>
              </w:rPr>
            </w:pPr>
            <w:r>
              <w:rPr>
                <w:rFonts w:ascii="Arial" w:cs="Arial" w:eastAsia="Arial" w:hAnsi="Arial"/>
                <w:sz w:val="12"/>
                <w:szCs w:val="12"/>
                <w:color w:val="auto"/>
              </w:rPr>
              <w:t>401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80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Net operating loss carryforwards</w:t>
            </w:r>
          </w:p>
        </w:tc>
        <w:tc>
          <w:tcPr>
            <w:tcW w:w="480" w:type="dxa"/>
            <w:vAlign w:val="bottom"/>
            <w:tcBorders>
              <w:bottom w:val="single" w:sz="8" w:color="auto"/>
            </w:tcBorders>
            <w:shd w:val="clear" w:color="auto" w:fill="CFF0FC"/>
          </w:tcPr>
          <w:p>
            <w:pPr>
              <w:spacing w:after="0"/>
              <w:rPr>
                <w:sz w:val="13"/>
                <w:szCs w:val="13"/>
                <w:color w:val="auto"/>
              </w:rPr>
            </w:pPr>
          </w:p>
        </w:tc>
        <w:tc>
          <w:tcPr>
            <w:tcW w:w="2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36,229</w:t>
            </w: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00" w:type="dxa"/>
            <w:vAlign w:val="bottom"/>
            <w:tcBorders>
              <w:bottom w:val="single" w:sz="8" w:color="auto"/>
            </w:tcBorders>
            <w:shd w:val="clear" w:color="auto" w:fill="CFF0FC"/>
          </w:tcPr>
          <w:p>
            <w:pPr>
              <w:spacing w:after="0"/>
              <w:rPr>
                <w:sz w:val="13"/>
                <w:szCs w:val="13"/>
                <w:color w:val="auto"/>
              </w:rPr>
            </w:pPr>
          </w:p>
        </w:tc>
        <w:tc>
          <w:tcPr>
            <w:tcW w:w="2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39,916</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800" w:type="dxa"/>
            <w:vAlign w:val="bottom"/>
            <w:gridSpan w:val="2"/>
          </w:tcPr>
          <w:p>
            <w:pPr>
              <w:spacing w:after="0"/>
              <w:rPr>
                <w:sz w:val="20"/>
                <w:szCs w:val="20"/>
                <w:color w:val="auto"/>
              </w:rPr>
            </w:pPr>
            <w:r>
              <w:rPr>
                <w:rFonts w:ascii="Arial" w:cs="Arial" w:eastAsia="Arial" w:hAnsi="Arial"/>
                <w:sz w:val="12"/>
                <w:szCs w:val="12"/>
                <w:color w:val="auto"/>
              </w:rPr>
              <w:t>Deferred tax assets</w:t>
            </w:r>
          </w:p>
        </w:tc>
        <w:tc>
          <w:tcPr>
            <w:tcW w:w="480" w:type="dxa"/>
            <w:vAlign w:val="bottom"/>
          </w:tcPr>
          <w:p>
            <w:pPr>
              <w:spacing w:after="0"/>
              <w:rPr>
                <w:sz w:val="12"/>
                <w:szCs w:val="12"/>
                <w:color w:val="auto"/>
              </w:rPr>
            </w:pPr>
          </w:p>
        </w:tc>
        <w:tc>
          <w:tcPr>
            <w:tcW w:w="2140" w:type="dxa"/>
            <w:vAlign w:val="bottom"/>
          </w:tcPr>
          <w:p>
            <w:pPr>
              <w:jc w:val="right"/>
              <w:spacing w:after="0"/>
              <w:rPr>
                <w:sz w:val="20"/>
                <w:szCs w:val="20"/>
                <w:color w:val="auto"/>
              </w:rPr>
            </w:pPr>
            <w:r>
              <w:rPr>
                <w:rFonts w:ascii="Arial" w:cs="Arial" w:eastAsia="Arial" w:hAnsi="Arial"/>
                <w:sz w:val="12"/>
                <w:szCs w:val="12"/>
                <w:color w:val="auto"/>
              </w:rPr>
              <w:t>57,562</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140" w:type="dxa"/>
            <w:vAlign w:val="bottom"/>
          </w:tcPr>
          <w:p>
            <w:pPr>
              <w:jc w:val="right"/>
              <w:spacing w:after="0"/>
              <w:rPr>
                <w:sz w:val="20"/>
                <w:szCs w:val="20"/>
                <w:color w:val="auto"/>
              </w:rPr>
            </w:pPr>
            <w:r>
              <w:rPr>
                <w:rFonts w:ascii="Arial" w:cs="Arial" w:eastAsia="Arial" w:hAnsi="Arial"/>
                <w:sz w:val="12"/>
                <w:szCs w:val="12"/>
                <w:color w:val="auto"/>
              </w:rPr>
              <w:t>48,738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8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Valuation allowance</w:t>
            </w:r>
          </w:p>
        </w:tc>
        <w:tc>
          <w:tcPr>
            <w:tcW w:w="480" w:type="dxa"/>
            <w:vAlign w:val="bottom"/>
            <w:shd w:val="clear" w:color="auto" w:fill="CFF0FC"/>
          </w:tcPr>
          <w:p>
            <w:pPr>
              <w:spacing w:after="0"/>
              <w:rPr>
                <w:sz w:val="13"/>
                <w:szCs w:val="13"/>
                <w:color w:val="auto"/>
              </w:rPr>
            </w:pPr>
          </w:p>
        </w:tc>
        <w:tc>
          <w:tcPr>
            <w:tcW w:w="21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226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(8,176)</w:t>
            </w:r>
          </w:p>
        </w:tc>
        <w:tc>
          <w:tcPr>
            <w:tcW w:w="0" w:type="dxa"/>
            <w:vAlign w:val="bottom"/>
          </w:tcPr>
          <w:p>
            <w:pPr>
              <w:spacing w:after="0"/>
              <w:rPr>
                <w:sz w:val="1"/>
                <w:szCs w:val="1"/>
                <w:color w:val="auto"/>
              </w:rPr>
            </w:pPr>
          </w:p>
        </w:tc>
      </w:tr>
      <w:tr>
        <w:trPr>
          <w:trHeight w:val="142"/>
        </w:trPr>
        <w:tc>
          <w:tcPr>
            <w:tcW w:w="5800" w:type="dxa"/>
            <w:vAlign w:val="bottom"/>
            <w:gridSpan w:val="2"/>
          </w:tcPr>
          <w:p>
            <w:pPr>
              <w:spacing w:after="0"/>
              <w:rPr>
                <w:sz w:val="20"/>
                <w:szCs w:val="20"/>
                <w:color w:val="auto"/>
              </w:rPr>
            </w:pPr>
            <w:r>
              <w:rPr>
                <w:rFonts w:ascii="Arial" w:cs="Arial" w:eastAsia="Arial" w:hAnsi="Arial"/>
                <w:sz w:val="12"/>
                <w:szCs w:val="12"/>
                <w:color w:val="auto"/>
              </w:rPr>
              <w:t>Deferred tax assets, net of valuation allowance</w:t>
            </w:r>
          </w:p>
        </w:tc>
        <w:tc>
          <w:tcPr>
            <w:tcW w:w="480" w:type="dxa"/>
            <w:vAlign w:val="bottom"/>
            <w:tcBorders>
              <w:top w:val="single" w:sz="8" w:color="auto"/>
            </w:tcBorders>
          </w:tcPr>
          <w:p>
            <w:pPr>
              <w:spacing w:after="0"/>
              <w:rPr>
                <w:sz w:val="12"/>
                <w:szCs w:val="12"/>
                <w:color w:val="auto"/>
              </w:rPr>
            </w:pPr>
          </w:p>
        </w:tc>
        <w:tc>
          <w:tcPr>
            <w:tcW w:w="21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57,562</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1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40,562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5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21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2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800" w:type="dxa"/>
            <w:vAlign w:val="bottom"/>
            <w:gridSpan w:val="2"/>
          </w:tcPr>
          <w:p>
            <w:pPr>
              <w:spacing w:after="0"/>
              <w:rPr>
                <w:sz w:val="20"/>
                <w:szCs w:val="20"/>
                <w:color w:val="auto"/>
              </w:rPr>
            </w:pPr>
            <w:r>
              <w:rPr>
                <w:rFonts w:ascii="Arial" w:cs="Arial" w:eastAsia="Arial" w:hAnsi="Arial"/>
                <w:sz w:val="12"/>
                <w:szCs w:val="12"/>
                <w:color w:val="auto"/>
              </w:rPr>
              <w:t>Deferred tax liabilities:</w:t>
            </w:r>
          </w:p>
        </w:tc>
        <w:tc>
          <w:tcPr>
            <w:tcW w:w="48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80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Property, plant &amp; equipment</w:t>
            </w:r>
          </w:p>
        </w:tc>
        <w:tc>
          <w:tcPr>
            <w:tcW w:w="480" w:type="dxa"/>
            <w:vAlign w:val="bottom"/>
            <w:shd w:val="clear" w:color="auto" w:fill="CFF0FC"/>
          </w:tcPr>
          <w:p>
            <w:pPr>
              <w:jc w:val="right"/>
              <w:ind w:right="370"/>
              <w:spacing w:after="0"/>
              <w:rPr>
                <w:sz w:val="20"/>
                <w:szCs w:val="20"/>
                <w:color w:val="auto"/>
              </w:rPr>
            </w:pPr>
            <w:r>
              <w:rPr>
                <w:rFonts w:ascii="Arial" w:cs="Arial" w:eastAsia="Arial" w:hAnsi="Arial"/>
                <w:sz w:val="10"/>
                <w:szCs w:val="10"/>
                <w:color w:val="auto"/>
                <w:w w:val="71"/>
              </w:rPr>
              <w:t>$</w:t>
            </w:r>
          </w:p>
        </w:tc>
        <w:tc>
          <w:tcPr>
            <w:tcW w:w="232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(43,817)</w:t>
            </w:r>
          </w:p>
        </w:tc>
        <w:tc>
          <w:tcPr>
            <w:tcW w:w="620" w:type="dxa"/>
            <w:vAlign w:val="bottom"/>
            <w:gridSpan w:val="2"/>
            <w:shd w:val="clear" w:color="auto" w:fill="CFF0FC"/>
          </w:tcPr>
          <w:p>
            <w:pPr>
              <w:jc w:val="right"/>
              <w:ind w:right="440"/>
              <w:spacing w:after="0"/>
              <w:rPr>
                <w:sz w:val="20"/>
                <w:szCs w:val="20"/>
                <w:color w:val="auto"/>
              </w:rPr>
            </w:pPr>
            <w:r>
              <w:rPr>
                <w:rFonts w:ascii="Arial" w:cs="Arial" w:eastAsia="Arial" w:hAnsi="Arial"/>
                <w:sz w:val="12"/>
                <w:szCs w:val="12"/>
                <w:color w:val="auto"/>
              </w:rPr>
              <w:t>$</w:t>
            </w:r>
          </w:p>
        </w:tc>
        <w:tc>
          <w:tcPr>
            <w:tcW w:w="226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(20,923)</w:t>
            </w:r>
          </w:p>
        </w:tc>
        <w:tc>
          <w:tcPr>
            <w:tcW w:w="0" w:type="dxa"/>
            <w:vAlign w:val="bottom"/>
          </w:tcPr>
          <w:p>
            <w:pPr>
              <w:spacing w:after="0"/>
              <w:rPr>
                <w:sz w:val="1"/>
                <w:szCs w:val="1"/>
                <w:color w:val="auto"/>
              </w:rPr>
            </w:pPr>
          </w:p>
        </w:tc>
      </w:tr>
      <w:tr>
        <w:trPr>
          <w:trHeight w:val="153"/>
        </w:trPr>
        <w:tc>
          <w:tcPr>
            <w:tcW w:w="5800" w:type="dxa"/>
            <w:vAlign w:val="bottom"/>
            <w:gridSpan w:val="2"/>
          </w:tcPr>
          <w:p>
            <w:pPr>
              <w:ind w:left="160"/>
              <w:spacing w:after="0"/>
              <w:rPr>
                <w:sz w:val="20"/>
                <w:szCs w:val="20"/>
                <w:color w:val="auto"/>
              </w:rPr>
            </w:pPr>
            <w:r>
              <w:rPr>
                <w:rFonts w:ascii="Arial" w:cs="Arial" w:eastAsia="Arial" w:hAnsi="Arial"/>
                <w:sz w:val="12"/>
                <w:szCs w:val="12"/>
                <w:color w:val="auto"/>
              </w:rPr>
              <w:t>Customer list intangible</w:t>
            </w:r>
          </w:p>
        </w:tc>
        <w:tc>
          <w:tcPr>
            <w:tcW w:w="480" w:type="dxa"/>
            <w:vAlign w:val="bottom"/>
          </w:tcPr>
          <w:p>
            <w:pPr>
              <w:spacing w:after="0"/>
              <w:rPr>
                <w:sz w:val="13"/>
                <w:szCs w:val="13"/>
                <w:color w:val="auto"/>
              </w:rPr>
            </w:pPr>
          </w:p>
        </w:tc>
        <w:tc>
          <w:tcPr>
            <w:tcW w:w="2320" w:type="dxa"/>
            <w:vAlign w:val="bottom"/>
            <w:gridSpan w:val="2"/>
          </w:tcPr>
          <w:p>
            <w:pPr>
              <w:jc w:val="right"/>
              <w:ind w:right="140"/>
              <w:spacing w:after="0"/>
              <w:rPr>
                <w:sz w:val="20"/>
                <w:szCs w:val="20"/>
                <w:color w:val="auto"/>
              </w:rPr>
            </w:pPr>
            <w:r>
              <w:rPr>
                <w:rFonts w:ascii="Arial" w:cs="Arial" w:eastAsia="Arial" w:hAnsi="Arial"/>
                <w:sz w:val="12"/>
                <w:szCs w:val="12"/>
                <w:color w:val="auto"/>
              </w:rPr>
              <w:t>(68,795)</w:t>
            </w: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60" w:type="dxa"/>
            <w:vAlign w:val="bottom"/>
            <w:gridSpan w:val="2"/>
          </w:tcPr>
          <w:p>
            <w:pPr>
              <w:jc w:val="right"/>
              <w:ind w:right="80"/>
              <w:spacing w:after="0"/>
              <w:rPr>
                <w:sz w:val="20"/>
                <w:szCs w:val="20"/>
                <w:color w:val="auto"/>
              </w:rPr>
            </w:pPr>
            <w:r>
              <w:rPr>
                <w:rFonts w:ascii="Arial" w:cs="Arial" w:eastAsia="Arial" w:hAnsi="Arial"/>
                <w:sz w:val="12"/>
                <w:szCs w:val="12"/>
                <w:color w:val="auto"/>
              </w:rPr>
              <w:t>(47,721)</w:t>
            </w:r>
          </w:p>
        </w:tc>
        <w:tc>
          <w:tcPr>
            <w:tcW w:w="0" w:type="dxa"/>
            <w:vAlign w:val="bottom"/>
          </w:tcPr>
          <w:p>
            <w:pPr>
              <w:spacing w:after="0"/>
              <w:rPr>
                <w:sz w:val="1"/>
                <w:szCs w:val="1"/>
                <w:color w:val="auto"/>
              </w:rPr>
            </w:pPr>
          </w:p>
        </w:tc>
      </w:tr>
      <w:tr>
        <w:trPr>
          <w:trHeight w:val="153"/>
        </w:trPr>
        <w:tc>
          <w:tcPr>
            <w:tcW w:w="580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Other intangible amortization</w:t>
            </w:r>
          </w:p>
        </w:tc>
        <w:tc>
          <w:tcPr>
            <w:tcW w:w="480" w:type="dxa"/>
            <w:vAlign w:val="bottom"/>
            <w:shd w:val="clear" w:color="auto" w:fill="CFF0FC"/>
          </w:tcPr>
          <w:p>
            <w:pPr>
              <w:spacing w:after="0"/>
              <w:rPr>
                <w:sz w:val="13"/>
                <w:szCs w:val="13"/>
                <w:color w:val="auto"/>
              </w:rPr>
            </w:pPr>
          </w:p>
        </w:tc>
        <w:tc>
          <w:tcPr>
            <w:tcW w:w="232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(291)</w:t>
            </w:r>
          </w:p>
        </w:tc>
        <w:tc>
          <w:tcPr>
            <w:tcW w:w="12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226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(137)</w:t>
            </w:r>
          </w:p>
        </w:tc>
        <w:tc>
          <w:tcPr>
            <w:tcW w:w="0" w:type="dxa"/>
            <w:vAlign w:val="bottom"/>
          </w:tcPr>
          <w:p>
            <w:pPr>
              <w:spacing w:after="0"/>
              <w:rPr>
                <w:sz w:val="1"/>
                <w:szCs w:val="1"/>
                <w:color w:val="auto"/>
              </w:rPr>
            </w:pPr>
          </w:p>
        </w:tc>
      </w:tr>
      <w:tr>
        <w:trPr>
          <w:trHeight w:val="153"/>
        </w:trPr>
        <w:tc>
          <w:tcPr>
            <w:tcW w:w="5800" w:type="dxa"/>
            <w:vAlign w:val="bottom"/>
            <w:gridSpan w:val="2"/>
          </w:tcPr>
          <w:p>
            <w:pPr>
              <w:ind w:left="160"/>
              <w:spacing w:after="0"/>
              <w:rPr>
                <w:sz w:val="20"/>
                <w:szCs w:val="20"/>
                <w:color w:val="auto"/>
              </w:rPr>
            </w:pPr>
            <w:r>
              <w:rPr>
                <w:rFonts w:ascii="Arial" w:cs="Arial" w:eastAsia="Arial" w:hAnsi="Arial"/>
                <w:sz w:val="12"/>
                <w:szCs w:val="12"/>
                <w:color w:val="auto"/>
              </w:rPr>
              <w:t>Other</w:t>
            </w:r>
          </w:p>
        </w:tc>
        <w:tc>
          <w:tcPr>
            <w:tcW w:w="480" w:type="dxa"/>
            <w:vAlign w:val="bottom"/>
          </w:tcPr>
          <w:p>
            <w:pPr>
              <w:spacing w:after="0"/>
              <w:rPr>
                <w:sz w:val="13"/>
                <w:szCs w:val="13"/>
                <w:color w:val="auto"/>
              </w:rPr>
            </w:pPr>
          </w:p>
        </w:tc>
        <w:tc>
          <w:tcPr>
            <w:tcW w:w="2320" w:type="dxa"/>
            <w:vAlign w:val="bottom"/>
            <w:gridSpan w:val="2"/>
          </w:tcPr>
          <w:p>
            <w:pPr>
              <w:jc w:val="right"/>
              <w:ind w:right="140"/>
              <w:spacing w:after="0"/>
              <w:rPr>
                <w:sz w:val="20"/>
                <w:szCs w:val="20"/>
                <w:color w:val="auto"/>
              </w:rPr>
            </w:pPr>
            <w:r>
              <w:rPr>
                <w:rFonts w:ascii="Arial" w:cs="Arial" w:eastAsia="Arial" w:hAnsi="Arial"/>
                <w:sz w:val="12"/>
                <w:szCs w:val="12"/>
                <w:color w:val="auto"/>
              </w:rPr>
              <w:t>(137)</w:t>
            </w: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60" w:type="dxa"/>
            <w:vAlign w:val="bottom"/>
            <w:gridSpan w:val="2"/>
          </w:tcPr>
          <w:p>
            <w:pPr>
              <w:jc w:val="right"/>
              <w:ind w:right="80"/>
              <w:spacing w:after="0"/>
              <w:rPr>
                <w:sz w:val="20"/>
                <w:szCs w:val="20"/>
                <w:color w:val="auto"/>
              </w:rPr>
            </w:pPr>
            <w:r>
              <w:rPr>
                <w:rFonts w:ascii="Arial" w:cs="Arial" w:eastAsia="Arial" w:hAnsi="Arial"/>
                <w:sz w:val="12"/>
                <w:szCs w:val="12"/>
                <w:color w:val="auto"/>
              </w:rPr>
              <w:t>(175)</w:t>
            </w:r>
          </w:p>
        </w:tc>
        <w:tc>
          <w:tcPr>
            <w:tcW w:w="0" w:type="dxa"/>
            <w:vAlign w:val="bottom"/>
          </w:tcPr>
          <w:p>
            <w:pPr>
              <w:spacing w:after="0"/>
              <w:rPr>
                <w:sz w:val="1"/>
                <w:szCs w:val="1"/>
                <w:color w:val="auto"/>
              </w:rPr>
            </w:pPr>
          </w:p>
        </w:tc>
      </w:tr>
      <w:tr>
        <w:trPr>
          <w:trHeight w:val="20"/>
        </w:trPr>
        <w:tc>
          <w:tcPr>
            <w:tcW w:w="5800" w:type="dxa"/>
            <w:vAlign w:val="bottom"/>
            <w:gridSpan w:val="2"/>
            <w:vMerge w:val="restart"/>
            <w:shd w:val="clear" w:color="auto" w:fill="CFF0FC"/>
          </w:tcPr>
          <w:p>
            <w:pPr>
              <w:spacing w:after="0"/>
              <w:rPr>
                <w:sz w:val="20"/>
                <w:szCs w:val="20"/>
                <w:color w:val="auto"/>
              </w:rPr>
            </w:pPr>
            <w:r>
              <w:rPr>
                <w:rFonts w:ascii="Arial" w:cs="Arial" w:eastAsia="Arial" w:hAnsi="Arial"/>
                <w:sz w:val="12"/>
                <w:szCs w:val="12"/>
                <w:color w:val="auto"/>
              </w:rPr>
              <w:t>Deferred tax liabilities</w:t>
            </w:r>
          </w:p>
        </w:tc>
        <w:tc>
          <w:tcPr>
            <w:tcW w:w="480" w:type="dxa"/>
            <w:vAlign w:val="bottom"/>
            <w:shd w:val="clear" w:color="auto" w:fill="000000"/>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800" w:type="dxa"/>
            <w:vAlign w:val="bottom"/>
            <w:gridSpan w:val="2"/>
            <w:vMerge w:val="continue"/>
            <w:shd w:val="clear" w:color="auto" w:fill="CFF0FC"/>
          </w:tcPr>
          <w:p>
            <w:pPr>
              <w:spacing w:after="0"/>
              <w:rPr>
                <w:sz w:val="12"/>
                <w:szCs w:val="12"/>
                <w:color w:val="auto"/>
              </w:rPr>
            </w:pPr>
          </w:p>
        </w:tc>
        <w:tc>
          <w:tcPr>
            <w:tcW w:w="480" w:type="dxa"/>
            <w:vAlign w:val="bottom"/>
            <w:shd w:val="clear" w:color="auto" w:fill="CFF0FC"/>
          </w:tcPr>
          <w:p>
            <w:pPr>
              <w:jc w:val="right"/>
              <w:ind w:right="370"/>
              <w:spacing w:after="0"/>
              <w:rPr>
                <w:sz w:val="20"/>
                <w:szCs w:val="20"/>
                <w:color w:val="auto"/>
              </w:rPr>
            </w:pPr>
            <w:r>
              <w:rPr>
                <w:rFonts w:ascii="Arial" w:cs="Arial" w:eastAsia="Arial" w:hAnsi="Arial"/>
                <w:sz w:val="10"/>
                <w:szCs w:val="10"/>
                <w:color w:val="auto"/>
                <w:w w:val="71"/>
              </w:rPr>
              <w:t>$</w:t>
            </w:r>
          </w:p>
        </w:tc>
        <w:tc>
          <w:tcPr>
            <w:tcW w:w="232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(113,040)</w:t>
            </w:r>
          </w:p>
        </w:tc>
        <w:tc>
          <w:tcPr>
            <w:tcW w:w="620" w:type="dxa"/>
            <w:vAlign w:val="bottom"/>
            <w:gridSpan w:val="2"/>
            <w:shd w:val="clear" w:color="auto" w:fill="CFF0FC"/>
          </w:tcPr>
          <w:p>
            <w:pPr>
              <w:jc w:val="right"/>
              <w:ind w:right="440"/>
              <w:spacing w:after="0"/>
              <w:rPr>
                <w:sz w:val="20"/>
                <w:szCs w:val="20"/>
                <w:color w:val="auto"/>
              </w:rPr>
            </w:pPr>
            <w:r>
              <w:rPr>
                <w:rFonts w:ascii="Arial" w:cs="Arial" w:eastAsia="Arial" w:hAnsi="Arial"/>
                <w:sz w:val="12"/>
                <w:szCs w:val="12"/>
                <w:color w:val="auto"/>
              </w:rPr>
              <w:t>$</w:t>
            </w:r>
          </w:p>
        </w:tc>
        <w:tc>
          <w:tcPr>
            <w:tcW w:w="226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(68,956)</w:t>
            </w:r>
          </w:p>
        </w:tc>
        <w:tc>
          <w:tcPr>
            <w:tcW w:w="0" w:type="dxa"/>
            <w:vAlign w:val="bottom"/>
          </w:tcPr>
          <w:p>
            <w:pPr>
              <w:spacing w:after="0"/>
              <w:rPr>
                <w:sz w:val="1"/>
                <w:szCs w:val="1"/>
                <w:color w:val="auto"/>
              </w:rPr>
            </w:pPr>
          </w:p>
        </w:tc>
      </w:tr>
      <w:tr>
        <w:trPr>
          <w:trHeight w:val="151"/>
        </w:trPr>
        <w:tc>
          <w:tcPr>
            <w:tcW w:w="5500" w:type="dxa"/>
            <w:vAlign w:val="bottom"/>
            <w:tcBorders>
              <w:bottom w:val="single" w:sz="8" w:color="CFF0FC"/>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480" w:type="dxa"/>
            <w:vAlign w:val="bottom"/>
            <w:tcBorders>
              <w:top w:val="single" w:sz="8" w:color="auto"/>
              <w:bottom w:val="single" w:sz="8" w:color="auto"/>
            </w:tcBorders>
          </w:tcPr>
          <w:p>
            <w:pPr>
              <w:spacing w:after="0"/>
              <w:rPr>
                <w:sz w:val="13"/>
                <w:szCs w:val="13"/>
                <w:color w:val="auto"/>
              </w:rPr>
            </w:pPr>
          </w:p>
        </w:tc>
        <w:tc>
          <w:tcPr>
            <w:tcW w:w="2140" w:type="dxa"/>
            <w:vAlign w:val="bottom"/>
            <w:tcBorders>
              <w:top w:val="single" w:sz="8" w:color="auto"/>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500" w:type="dxa"/>
            <w:vAlign w:val="bottom"/>
            <w:tcBorders>
              <w:top w:val="single" w:sz="8" w:color="auto"/>
              <w:bottom w:val="single" w:sz="8" w:color="auto"/>
            </w:tcBorders>
          </w:tcPr>
          <w:p>
            <w:pPr>
              <w:spacing w:after="0"/>
              <w:rPr>
                <w:sz w:val="13"/>
                <w:szCs w:val="13"/>
                <w:color w:val="auto"/>
              </w:rPr>
            </w:pPr>
          </w:p>
        </w:tc>
        <w:tc>
          <w:tcPr>
            <w:tcW w:w="2140" w:type="dxa"/>
            <w:vAlign w:val="bottom"/>
            <w:tcBorders>
              <w:top w:val="single" w:sz="8" w:color="auto"/>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8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Deferred tax liability, net</w:t>
            </w:r>
          </w:p>
        </w:tc>
        <w:tc>
          <w:tcPr>
            <w:tcW w:w="480" w:type="dxa"/>
            <w:vAlign w:val="bottom"/>
            <w:shd w:val="clear" w:color="auto" w:fill="CFF0FC"/>
          </w:tcPr>
          <w:p>
            <w:pPr>
              <w:jc w:val="right"/>
              <w:ind w:right="370"/>
              <w:spacing w:after="0"/>
              <w:rPr>
                <w:sz w:val="20"/>
                <w:szCs w:val="20"/>
                <w:color w:val="auto"/>
              </w:rPr>
            </w:pPr>
            <w:r>
              <w:rPr>
                <w:rFonts w:ascii="Arial" w:cs="Arial" w:eastAsia="Arial" w:hAnsi="Arial"/>
                <w:sz w:val="10"/>
                <w:szCs w:val="10"/>
                <w:color w:val="auto"/>
                <w:w w:val="71"/>
              </w:rPr>
              <w:t>$</w:t>
            </w:r>
          </w:p>
        </w:tc>
        <w:tc>
          <w:tcPr>
            <w:tcW w:w="232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(55,478)</w:t>
            </w:r>
          </w:p>
        </w:tc>
        <w:tc>
          <w:tcPr>
            <w:tcW w:w="620" w:type="dxa"/>
            <w:vAlign w:val="bottom"/>
            <w:gridSpan w:val="2"/>
            <w:shd w:val="clear" w:color="auto" w:fill="CFF0FC"/>
          </w:tcPr>
          <w:p>
            <w:pPr>
              <w:jc w:val="right"/>
              <w:ind w:right="440"/>
              <w:spacing w:after="0"/>
              <w:rPr>
                <w:sz w:val="20"/>
                <w:szCs w:val="20"/>
                <w:color w:val="auto"/>
              </w:rPr>
            </w:pPr>
            <w:r>
              <w:rPr>
                <w:rFonts w:ascii="Arial" w:cs="Arial" w:eastAsia="Arial" w:hAnsi="Arial"/>
                <w:sz w:val="12"/>
                <w:szCs w:val="12"/>
                <w:color w:val="auto"/>
              </w:rPr>
              <w:t>$</w:t>
            </w:r>
          </w:p>
        </w:tc>
        <w:tc>
          <w:tcPr>
            <w:tcW w:w="226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(28,394)</w:t>
            </w:r>
          </w:p>
        </w:tc>
        <w:tc>
          <w:tcPr>
            <w:tcW w:w="0" w:type="dxa"/>
            <w:vAlign w:val="bottom"/>
          </w:tcPr>
          <w:p>
            <w:pPr>
              <w:spacing w:after="0"/>
              <w:rPr>
                <w:sz w:val="1"/>
                <w:szCs w:val="1"/>
                <w:color w:val="auto"/>
              </w:rPr>
            </w:pPr>
          </w:p>
        </w:tc>
      </w:tr>
      <w:tr>
        <w:trPr>
          <w:trHeight w:val="27"/>
        </w:trPr>
        <w:tc>
          <w:tcPr>
            <w:tcW w:w="5500" w:type="dxa"/>
            <w:vAlign w:val="bottom"/>
            <w:shd w:val="clear" w:color="auto" w:fill="CFF0FC"/>
          </w:tcPr>
          <w:p>
            <w:pPr>
              <w:spacing w:after="0"/>
              <w:rPr>
                <w:sz w:val="2"/>
                <w:szCs w:val="2"/>
                <w:color w:val="auto"/>
              </w:rPr>
            </w:pPr>
          </w:p>
        </w:tc>
        <w:tc>
          <w:tcPr>
            <w:tcW w:w="300" w:type="dxa"/>
            <w:vAlign w:val="bottom"/>
            <w:shd w:val="clear" w:color="auto" w:fill="CFF0FC"/>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140" w:type="dxa"/>
            <w:vAlign w:val="bottom"/>
            <w:shd w:val="clear" w:color="auto" w:fill="000000"/>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14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ind w:right="300"/>
        <w:spacing w:after="0" w:line="263" w:lineRule="auto"/>
        <w:rPr>
          <w:sz w:val="20"/>
          <w:szCs w:val="20"/>
          <w:color w:val="auto"/>
        </w:rPr>
      </w:pPr>
      <w:r>
        <w:rPr>
          <w:rFonts w:ascii="Arial" w:cs="Arial" w:eastAsia="Arial" w:hAnsi="Arial"/>
          <w:sz w:val="12"/>
          <w:szCs w:val="12"/>
          <w:color w:val="auto"/>
        </w:rPr>
        <w:t>As of December 31, 2016, the Company’s deferred tax assets were primarily the result of U.S. federal and state NOL carryforwards. A valuation allowance of $8.2 million was recorded against its gross deferred tax asset balance as of December 31, 2016. During 2017, the Company recorded a full-year valuation allowance release of $8.2 million on the basis of management’s reassessment of the amount of its deferred tax assets that are more likely than not to be realized.</w:t>
      </w:r>
    </w:p>
    <w:p>
      <w:pPr>
        <w:spacing w:after="0" w:line="123" w:lineRule="exact"/>
        <w:rPr>
          <w:sz w:val="20"/>
          <w:szCs w:val="20"/>
          <w:color w:val="auto"/>
        </w:rPr>
      </w:pPr>
    </w:p>
    <w:p>
      <w:pPr>
        <w:jc w:val="both"/>
        <w:ind w:right="120"/>
        <w:spacing w:after="0" w:line="263" w:lineRule="auto"/>
        <w:rPr>
          <w:sz w:val="20"/>
          <w:szCs w:val="20"/>
          <w:color w:val="auto"/>
        </w:rPr>
      </w:pPr>
      <w:r>
        <w:rPr>
          <w:rFonts w:ascii="Arial" w:cs="Arial" w:eastAsia="Arial" w:hAnsi="Arial"/>
          <w:sz w:val="12"/>
          <w:szCs w:val="12"/>
          <w:color w:val="auto"/>
        </w:rPr>
        <w:t>As of each reporting date, the Company’s management considers new evidence, both positive and negative, that could impact management’s view with regard to future realization of deferred tax assets. Given the Company has significant deferred tax liabilities which are not limited by Sec. 269(a)(1) of the Code, management determined that sufficient positive evidence exists as of December 31, 2017, to conclude that it is more likely than not that additional deferred taxes of $8,176 are realizable, and therefore, removed the valuation allowance accordingly.</w:t>
      </w:r>
    </w:p>
    <w:p>
      <w:pPr>
        <w:spacing w:after="0" w:line="123" w:lineRule="exact"/>
        <w:rPr>
          <w:sz w:val="20"/>
          <w:szCs w:val="20"/>
          <w:color w:val="auto"/>
        </w:rPr>
      </w:pPr>
    </w:p>
    <w:p>
      <w:pPr>
        <w:ind w:right="280"/>
        <w:spacing w:after="0" w:line="276" w:lineRule="auto"/>
        <w:rPr>
          <w:sz w:val="20"/>
          <w:szCs w:val="20"/>
          <w:color w:val="auto"/>
        </w:rPr>
      </w:pPr>
      <w:r>
        <w:rPr>
          <w:rFonts w:ascii="Arial" w:cs="Arial" w:eastAsia="Arial" w:hAnsi="Arial"/>
          <w:sz w:val="12"/>
          <w:szCs w:val="12"/>
          <w:color w:val="auto"/>
        </w:rPr>
        <w:t>On August 31, 2016, we acquired 100% of the outstanding equity of Tower Cloud, Inc., which had federal NOL carryforwards of approximately $81.2 million at the date of the acquisition that will expire between 2026 and 2036. As a result of the change in ownership, the utilization of Tower Cloud, Inc. NOL carryforwards is subject to limitations imposed by the Code.</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We have total federal NOL carryforwards as of December 31, 2017 of approximately $133.8 million which will expire between 2026 and 2037.</w:t>
      </w:r>
    </w:p>
    <w:p>
      <w:pPr>
        <w:spacing w:after="0" w:line="150" w:lineRule="exact"/>
        <w:rPr>
          <w:sz w:val="20"/>
          <w:szCs w:val="20"/>
          <w:color w:val="auto"/>
        </w:rPr>
      </w:pPr>
    </w:p>
    <w:p>
      <w:pPr>
        <w:ind w:right="100"/>
        <w:spacing w:after="0" w:line="276" w:lineRule="auto"/>
        <w:rPr>
          <w:sz w:val="20"/>
          <w:szCs w:val="20"/>
          <w:color w:val="auto"/>
        </w:rPr>
      </w:pPr>
      <w:r>
        <w:rPr>
          <w:rFonts w:ascii="Arial" w:cs="Arial" w:eastAsia="Arial" w:hAnsi="Arial"/>
          <w:sz w:val="12"/>
          <w:szCs w:val="12"/>
          <w:color w:val="auto"/>
        </w:rPr>
        <w:t>With the exception of Tower Cloud, Inc., our 2014 returns remain open to examination. As Tower Cloud, Inc. has NOLs available to carry forward, the applicable tax years will generally remain open to examination several years after the applicable loss carryforwards have been utilized or expire.</w:t>
      </w:r>
    </w:p>
    <w:p>
      <w:pPr>
        <w:spacing w:after="0" w:line="115" w:lineRule="exact"/>
        <w:rPr>
          <w:sz w:val="20"/>
          <w:szCs w:val="20"/>
          <w:color w:val="auto"/>
        </w:rPr>
      </w:pPr>
    </w:p>
    <w:p>
      <w:pPr>
        <w:ind w:right="160"/>
        <w:spacing w:after="0" w:line="276" w:lineRule="auto"/>
        <w:rPr>
          <w:sz w:val="20"/>
          <w:szCs w:val="20"/>
          <w:color w:val="auto"/>
        </w:rPr>
      </w:pPr>
      <w:r>
        <w:rPr>
          <w:rFonts w:ascii="Arial" w:cs="Arial" w:eastAsia="Arial" w:hAnsi="Arial"/>
          <w:sz w:val="12"/>
          <w:szCs w:val="12"/>
          <w:color w:val="auto"/>
        </w:rPr>
        <w:t>The Company or its subsidiaries file tax returns in the U.S. federal jurisdiction, various state and local jurisdictions, and certain foreign jurisdictions. A reconciliation of the Company’s beginning and ending liability for unrecognized tax benefits is as follows:</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7">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30" w:right="199" w:bottom="1440" w:gutter="0" w:footer="0" w:header="0"/>
        </w:sectPr>
      </w:pPr>
    </w:p>
    <w:bookmarkStart w:id="90" w:name="page91"/>
    <w:bookmarkEnd w:id="90"/>
    <w:p>
      <w:pPr>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tbl>
      <w:tblPr>
        <w:tblLayout w:type="fixed"/>
        <w:tblInd w:w="0" w:type="dxa"/>
        <w:tblCellMar>
          <w:top w:w="0" w:type="dxa"/>
          <w:left w:w="0" w:type="dxa"/>
          <w:bottom w:w="0" w:type="dxa"/>
          <w:right w:w="0" w:type="dxa"/>
        </w:tblCellMar>
      </w:tblPr>
      <w:tr>
        <w:trPr>
          <w:trHeight w:val="138"/>
        </w:trPr>
        <w:tc>
          <w:tcPr>
            <w:tcW w:w="840" w:type="dxa"/>
            <w:vAlign w:val="bottom"/>
            <w:tcBorders>
              <w:top w:val="single" w:sz="8" w:color="0000EE"/>
            </w:tcBorders>
          </w:tcPr>
          <w:p>
            <w:pPr>
              <w:spacing w:after="0"/>
              <w:rPr>
                <w:sz w:val="12"/>
                <w:szCs w:val="12"/>
                <w:color w:val="auto"/>
              </w:rPr>
            </w:pPr>
          </w:p>
        </w:tc>
        <w:tc>
          <w:tcPr>
            <w:tcW w:w="2380" w:type="dxa"/>
            <w:vAlign w:val="bottom"/>
          </w:tcPr>
          <w:p>
            <w:pPr>
              <w:spacing w:after="0"/>
              <w:rPr>
                <w:sz w:val="12"/>
                <w:szCs w:val="12"/>
                <w:color w:val="auto"/>
              </w:rPr>
            </w:pPr>
          </w:p>
        </w:tc>
        <w:tc>
          <w:tcPr>
            <w:tcW w:w="5860" w:type="dxa"/>
            <w:vAlign w:val="bottom"/>
            <w:gridSpan w:val="3"/>
          </w:tcPr>
          <w:p>
            <w:pPr>
              <w:jc w:val="right"/>
              <w:ind w:right="2870"/>
              <w:spacing w:after="0"/>
              <w:rPr>
                <w:sz w:val="20"/>
                <w:szCs w:val="20"/>
                <w:color w:val="auto"/>
              </w:rPr>
            </w:pPr>
            <w:r>
              <w:rPr>
                <w:rFonts w:ascii="Arial" w:cs="Arial" w:eastAsia="Arial" w:hAnsi="Arial"/>
                <w:sz w:val="12"/>
                <w:szCs w:val="12"/>
                <w:b w:val="1"/>
                <w:bCs w:val="1"/>
                <w:color w:val="auto"/>
              </w:rPr>
              <w:t>Uniti Group Inc.</w:t>
            </w: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7"/>
        </w:trPr>
        <w:tc>
          <w:tcPr>
            <w:tcW w:w="84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5860" w:type="dxa"/>
            <w:vAlign w:val="bottom"/>
            <w:gridSpan w:val="3"/>
          </w:tcPr>
          <w:p>
            <w:pPr>
              <w:jc w:val="right"/>
              <w:ind w:right="1750"/>
              <w:spacing w:after="0"/>
              <w:rPr>
                <w:sz w:val="20"/>
                <w:szCs w:val="20"/>
                <w:color w:val="auto"/>
              </w:rPr>
            </w:pPr>
            <w:r>
              <w:rPr>
                <w:rFonts w:ascii="Arial" w:cs="Arial" w:eastAsia="Arial" w:hAnsi="Arial"/>
                <w:sz w:val="12"/>
                <w:szCs w:val="12"/>
                <w:b w:val="1"/>
                <w:bCs w:val="1"/>
                <w:color w:val="auto"/>
              </w:rPr>
              <w:t>Notes to the Consolidated Financial Statements – Continued</w:t>
            </w:r>
          </w:p>
        </w:tc>
        <w:tc>
          <w:tcPr>
            <w:tcW w:w="22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70"/>
        </w:trPr>
        <w:tc>
          <w:tcPr>
            <w:tcW w:w="3220" w:type="dxa"/>
            <w:vAlign w:val="bottom"/>
            <w:tcBorders>
              <w:bottom w:val="single" w:sz="8" w:color="auto"/>
            </w:tcBorders>
            <w:gridSpan w:val="2"/>
          </w:tcPr>
          <w:p>
            <w:pPr>
              <w:spacing w:after="0"/>
              <w:rPr>
                <w:sz w:val="20"/>
                <w:szCs w:val="20"/>
                <w:color w:val="auto"/>
              </w:rPr>
            </w:pPr>
            <w:r>
              <w:rPr>
                <w:rFonts w:ascii="Arial" w:cs="Arial" w:eastAsia="Arial" w:hAnsi="Arial"/>
                <w:sz w:val="10"/>
                <w:szCs w:val="10"/>
                <w:color w:val="auto"/>
              </w:rPr>
              <w:t>(Thousands)</w:t>
            </w:r>
          </w:p>
        </w:tc>
        <w:tc>
          <w:tcPr>
            <w:tcW w:w="4900" w:type="dxa"/>
            <w:vAlign w:val="bottom"/>
            <w:tcBorders>
              <w:bottom w:val="single" w:sz="8" w:color="auto"/>
            </w:tcBorders>
          </w:tcPr>
          <w:p>
            <w:pPr>
              <w:spacing w:after="0"/>
              <w:rPr>
                <w:sz w:val="23"/>
                <w:szCs w:val="23"/>
                <w:color w:val="auto"/>
              </w:rPr>
            </w:pPr>
          </w:p>
        </w:tc>
        <w:tc>
          <w:tcPr>
            <w:tcW w:w="220" w:type="dxa"/>
            <w:vAlign w:val="bottom"/>
            <w:tcBorders>
              <w:bottom w:val="single" w:sz="8" w:color="CFF0FC"/>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2280" w:type="dxa"/>
            <w:vAlign w:val="bottom"/>
            <w:tcBorders>
              <w:bottom w:val="single" w:sz="8" w:color="auto"/>
            </w:tcBorders>
          </w:tcPr>
          <w:p>
            <w:pPr>
              <w:jc w:val="right"/>
              <w:ind w:right="1361"/>
              <w:spacing w:after="0"/>
              <w:rPr>
                <w:sz w:val="20"/>
                <w:szCs w:val="20"/>
                <w:color w:val="auto"/>
              </w:rPr>
            </w:pPr>
            <w:r>
              <w:rPr>
                <w:rFonts w:ascii="Arial" w:cs="Arial" w:eastAsia="Arial" w:hAnsi="Arial"/>
                <w:sz w:val="10"/>
                <w:szCs w:val="10"/>
                <w:b w:val="1"/>
                <w:bCs w:val="1"/>
                <w:color w:val="auto"/>
              </w:rPr>
              <w:t>2017</w:t>
            </w:r>
          </w:p>
        </w:tc>
        <w:tc>
          <w:tcPr>
            <w:tcW w:w="120" w:type="dxa"/>
            <w:vAlign w:val="bottom"/>
            <w:tcBorders>
              <w:bottom w:val="single" w:sz="8" w:color="CFF0FC"/>
            </w:tcBorders>
          </w:tcPr>
          <w:p>
            <w:pPr>
              <w:spacing w:after="0"/>
              <w:rPr>
                <w:sz w:val="23"/>
                <w:szCs w:val="23"/>
                <w:color w:val="auto"/>
              </w:rPr>
            </w:pPr>
          </w:p>
        </w:tc>
      </w:tr>
      <w:tr>
        <w:trPr>
          <w:trHeight w:val="142"/>
        </w:trPr>
        <w:tc>
          <w:tcPr>
            <w:tcW w:w="322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Balance at January 1</w:t>
            </w:r>
          </w:p>
        </w:tc>
        <w:tc>
          <w:tcPr>
            <w:tcW w:w="5860" w:type="dxa"/>
            <w:vAlign w:val="bottom"/>
            <w:gridSpan w:val="3"/>
            <w:shd w:val="clear" w:color="auto" w:fill="CFF0FC"/>
          </w:tcPr>
          <w:p>
            <w:pPr>
              <w:jc w:val="right"/>
              <w:ind w:right="630"/>
              <w:spacing w:after="0"/>
              <w:rPr>
                <w:sz w:val="20"/>
                <w:szCs w:val="20"/>
                <w:color w:val="auto"/>
              </w:rPr>
            </w:pPr>
            <w:r>
              <w:rPr>
                <w:rFonts w:ascii="Arial" w:cs="Arial" w:eastAsia="Arial" w:hAnsi="Arial"/>
                <w:sz w:val="12"/>
                <w:szCs w:val="12"/>
                <w:color w:val="auto"/>
              </w:rPr>
              <w:t>$</w:t>
            </w:r>
          </w:p>
        </w:tc>
        <w:tc>
          <w:tcPr>
            <w:tcW w:w="22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2"/>
                <w:szCs w:val="12"/>
                <w:color w:val="auto"/>
              </w:rPr>
            </w:pPr>
          </w:p>
        </w:tc>
      </w:tr>
      <w:tr>
        <w:trPr>
          <w:trHeight w:val="153"/>
        </w:trPr>
        <w:tc>
          <w:tcPr>
            <w:tcW w:w="3220" w:type="dxa"/>
            <w:vAlign w:val="bottom"/>
            <w:gridSpan w:val="2"/>
          </w:tcPr>
          <w:p>
            <w:pPr>
              <w:spacing w:after="0"/>
              <w:rPr>
                <w:sz w:val="20"/>
                <w:szCs w:val="20"/>
                <w:color w:val="auto"/>
              </w:rPr>
            </w:pPr>
            <w:r>
              <w:rPr>
                <w:rFonts w:ascii="Arial" w:cs="Arial" w:eastAsia="Arial" w:hAnsi="Arial"/>
                <w:sz w:val="12"/>
                <w:szCs w:val="12"/>
                <w:color w:val="auto"/>
              </w:rPr>
              <w:t>Additions related to acquisitions</w:t>
            </w:r>
          </w:p>
        </w:tc>
        <w:tc>
          <w:tcPr>
            <w:tcW w:w="4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80" w:type="dxa"/>
            <w:vAlign w:val="bottom"/>
          </w:tcPr>
          <w:p>
            <w:pPr>
              <w:jc w:val="right"/>
              <w:spacing w:after="0"/>
              <w:rPr>
                <w:sz w:val="20"/>
                <w:szCs w:val="20"/>
                <w:color w:val="auto"/>
              </w:rPr>
            </w:pPr>
            <w:r>
              <w:rPr>
                <w:rFonts w:ascii="Arial" w:cs="Arial" w:eastAsia="Arial" w:hAnsi="Arial"/>
                <w:sz w:val="12"/>
                <w:szCs w:val="12"/>
                <w:color w:val="auto"/>
              </w:rPr>
              <w:t>3,036</w:t>
            </w:r>
          </w:p>
        </w:tc>
        <w:tc>
          <w:tcPr>
            <w:tcW w:w="120" w:type="dxa"/>
            <w:vAlign w:val="bottom"/>
          </w:tcPr>
          <w:p>
            <w:pPr>
              <w:spacing w:after="0"/>
              <w:rPr>
                <w:sz w:val="13"/>
                <w:szCs w:val="13"/>
                <w:color w:val="auto"/>
              </w:rPr>
            </w:pPr>
          </w:p>
        </w:tc>
      </w:tr>
      <w:tr>
        <w:trPr>
          <w:trHeight w:val="153"/>
        </w:trPr>
        <w:tc>
          <w:tcPr>
            <w:tcW w:w="322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Additions for tax positions for the current year</w:t>
            </w:r>
          </w:p>
        </w:tc>
        <w:tc>
          <w:tcPr>
            <w:tcW w:w="49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2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r>
      <w:tr>
        <w:trPr>
          <w:trHeight w:val="153"/>
        </w:trPr>
        <w:tc>
          <w:tcPr>
            <w:tcW w:w="3220" w:type="dxa"/>
            <w:vAlign w:val="bottom"/>
            <w:gridSpan w:val="2"/>
          </w:tcPr>
          <w:p>
            <w:pPr>
              <w:spacing w:after="0"/>
              <w:rPr>
                <w:sz w:val="20"/>
                <w:szCs w:val="20"/>
                <w:color w:val="auto"/>
              </w:rPr>
            </w:pPr>
            <w:r>
              <w:rPr>
                <w:rFonts w:ascii="Arial" w:cs="Arial" w:eastAsia="Arial" w:hAnsi="Arial"/>
                <w:sz w:val="12"/>
                <w:szCs w:val="12"/>
                <w:color w:val="auto"/>
              </w:rPr>
              <w:t>Additions for tax positions of prior years</w:t>
            </w:r>
          </w:p>
        </w:tc>
        <w:tc>
          <w:tcPr>
            <w:tcW w:w="4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8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r>
      <w:tr>
        <w:trPr>
          <w:trHeight w:val="153"/>
        </w:trPr>
        <w:tc>
          <w:tcPr>
            <w:tcW w:w="322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Reductions for tax positions of prior years</w:t>
            </w:r>
          </w:p>
        </w:tc>
        <w:tc>
          <w:tcPr>
            <w:tcW w:w="49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2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r>
      <w:tr>
        <w:trPr>
          <w:trHeight w:val="153"/>
        </w:trPr>
        <w:tc>
          <w:tcPr>
            <w:tcW w:w="3220" w:type="dxa"/>
            <w:vAlign w:val="bottom"/>
            <w:tcBorders>
              <w:bottom w:val="single" w:sz="8" w:color="CFF0FC"/>
            </w:tcBorders>
            <w:gridSpan w:val="2"/>
          </w:tcPr>
          <w:p>
            <w:pPr>
              <w:spacing w:after="0"/>
              <w:rPr>
                <w:sz w:val="20"/>
                <w:szCs w:val="20"/>
                <w:color w:val="auto"/>
              </w:rPr>
            </w:pPr>
            <w:r>
              <w:rPr>
                <w:rFonts w:ascii="Arial" w:cs="Arial" w:eastAsia="Arial" w:hAnsi="Arial"/>
                <w:sz w:val="12"/>
                <w:szCs w:val="12"/>
                <w:color w:val="auto"/>
              </w:rPr>
              <w:t>Settlements</w:t>
            </w:r>
          </w:p>
        </w:tc>
        <w:tc>
          <w:tcPr>
            <w:tcW w:w="4900" w:type="dxa"/>
            <w:vAlign w:val="bottom"/>
            <w:tcBorders>
              <w:bottom w:val="single" w:sz="8" w:color="CFF0FC"/>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FF0FC"/>
            </w:tcBorders>
          </w:tcPr>
          <w:p>
            <w:pPr>
              <w:spacing w:after="0"/>
              <w:rPr>
                <w:sz w:val="13"/>
                <w:szCs w:val="13"/>
                <w:color w:val="auto"/>
              </w:rPr>
            </w:pPr>
          </w:p>
        </w:tc>
      </w:tr>
      <w:tr>
        <w:trPr>
          <w:trHeight w:val="149"/>
        </w:trPr>
        <w:tc>
          <w:tcPr>
            <w:tcW w:w="32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2"/>
                <w:szCs w:val="12"/>
                <w:color w:val="auto"/>
              </w:rPr>
              <w:t>Balance at December 31</w:t>
            </w:r>
          </w:p>
        </w:tc>
        <w:tc>
          <w:tcPr>
            <w:tcW w:w="5120" w:type="dxa"/>
            <w:vAlign w:val="bottom"/>
            <w:tcBorders>
              <w:bottom w:val="single" w:sz="8" w:color="CFF0FC"/>
            </w:tcBorders>
            <w:gridSpan w:val="2"/>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jc w:val="right"/>
              <w:ind w:right="630"/>
              <w:spacing w:after="0"/>
              <w:rPr>
                <w:sz w:val="20"/>
                <w:szCs w:val="20"/>
                <w:color w:val="auto"/>
              </w:rPr>
            </w:pPr>
            <w:r>
              <w:rPr>
                <w:rFonts w:ascii="Arial" w:cs="Arial" w:eastAsia="Arial" w:hAnsi="Arial"/>
                <w:sz w:val="10"/>
                <w:szCs w:val="10"/>
                <w:color w:val="auto"/>
                <w:w w:val="71"/>
              </w:rPr>
              <w:t>$</w:t>
            </w:r>
          </w:p>
        </w:tc>
        <w:tc>
          <w:tcPr>
            <w:tcW w:w="2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3,036</w:t>
            </w:r>
          </w:p>
        </w:tc>
        <w:tc>
          <w:tcPr>
            <w:tcW w:w="120" w:type="dxa"/>
            <w:vAlign w:val="bottom"/>
            <w:tcBorders>
              <w:bottom w:val="single" w:sz="8" w:color="CFF0FC"/>
            </w:tcBorders>
            <w:shd w:val="clear" w:color="auto" w:fill="CFF0FC"/>
          </w:tcPr>
          <w:p>
            <w:pPr>
              <w:spacing w:after="0"/>
              <w:rPr>
                <w:sz w:val="12"/>
                <w:szCs w:val="12"/>
                <w:color w:val="auto"/>
              </w:rPr>
            </w:pPr>
          </w:p>
        </w:tc>
      </w:tr>
    </w:tbl>
    <w:p>
      <w:pPr>
        <w:spacing w:after="0" w:line="135" w:lineRule="exact"/>
        <w:rPr>
          <w:sz w:val="20"/>
          <w:szCs w:val="20"/>
          <w:color w:val="auto"/>
        </w:rPr>
      </w:pPr>
    </w:p>
    <w:p>
      <w:pPr>
        <w:spacing w:after="0"/>
        <w:rPr>
          <w:sz w:val="20"/>
          <w:szCs w:val="20"/>
          <w:color w:val="auto"/>
        </w:rPr>
      </w:pPr>
      <w:r>
        <w:rPr>
          <w:rFonts w:ascii="Arial" w:cs="Arial" w:eastAsia="Arial" w:hAnsi="Arial"/>
          <w:sz w:val="11"/>
          <w:szCs w:val="11"/>
          <w:color w:val="auto"/>
        </w:rPr>
        <w:t>The Company’s entire liability for unrecognized tax benefit would affect the annual effective tax rate if recognized. The Company does not expect a significant change in the balance of unrecognized tax benefits within the next 12 months.</w:t>
      </w:r>
    </w:p>
    <w:p>
      <w:pPr>
        <w:spacing w:after="0" w:line="162" w:lineRule="exact"/>
        <w:rPr>
          <w:sz w:val="20"/>
          <w:szCs w:val="20"/>
          <w:color w:val="auto"/>
        </w:rPr>
      </w:pPr>
    </w:p>
    <w:p>
      <w:pPr>
        <w:ind w:right="220"/>
        <w:spacing w:after="0" w:line="276" w:lineRule="auto"/>
        <w:rPr>
          <w:sz w:val="20"/>
          <w:szCs w:val="20"/>
          <w:color w:val="auto"/>
        </w:rPr>
      </w:pPr>
      <w:r>
        <w:rPr>
          <w:rFonts w:ascii="Arial" w:cs="Arial" w:eastAsia="Arial" w:hAnsi="Arial"/>
          <w:sz w:val="12"/>
          <w:szCs w:val="12"/>
          <w:color w:val="auto"/>
        </w:rPr>
        <w:t>The Company recognizes accrued interest and penalties related to unrecognized tax benefits as additional tax expense. The Company recorded no interest expense or penalties for the period ending December 31, 2017. The Company’s balance of accrued interest and penalties related to unrecognized tax benefits as of December 31, 2017 was $2.3 million.</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17. Supplemental Cash Flow Information</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color w:val="auto"/>
        </w:rPr>
        <w:t>Cash paid for interest expense and income taxes is as follows: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212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0"/>
                <w:szCs w:val="10"/>
                <w:b w:val="1"/>
                <w:bCs w:val="1"/>
                <w:color w:val="auto"/>
              </w:rPr>
              <w:t>Year Ended December 31,</w:t>
            </w:r>
          </w:p>
        </w:tc>
        <w:tc>
          <w:tcPr>
            <w:tcW w:w="1100" w:type="dxa"/>
            <w:vAlign w:val="bottom"/>
            <w:tcBorders>
              <w:bottom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89"/>
              </w:rPr>
              <w:t>Period from</w:t>
            </w:r>
          </w:p>
        </w:tc>
      </w:tr>
      <w:tr>
        <w:trPr>
          <w:trHeight w:val="151"/>
        </w:trPr>
        <w:tc>
          <w:tcPr>
            <w:tcW w:w="5820" w:type="dxa"/>
            <w:vAlign w:val="bottom"/>
            <w:gridSpan w:val="2"/>
          </w:tcPr>
          <w:p>
            <w:pPr>
              <w:spacing w:after="0"/>
              <w:rPr>
                <w:sz w:val="20"/>
                <w:szCs w:val="20"/>
                <w:color w:val="auto"/>
              </w:rPr>
            </w:pPr>
            <w:r>
              <w:rPr>
                <w:rFonts w:ascii="Arial" w:cs="Arial" w:eastAsia="Arial" w:hAnsi="Arial"/>
                <w:sz w:val="10"/>
                <w:szCs w:val="10"/>
                <w:color w:val="auto"/>
              </w:rPr>
              <w:t>(Thousands)</w:t>
            </w:r>
          </w:p>
        </w:tc>
        <w:tc>
          <w:tcPr>
            <w:tcW w:w="380" w:type="dxa"/>
            <w:vAlign w:val="bottom"/>
          </w:tcPr>
          <w:p>
            <w:pPr>
              <w:spacing w:after="0"/>
              <w:rPr>
                <w:sz w:val="13"/>
                <w:szCs w:val="13"/>
                <w:color w:val="auto"/>
              </w:rPr>
            </w:pPr>
          </w:p>
        </w:tc>
        <w:tc>
          <w:tcPr>
            <w:tcW w:w="1240" w:type="dxa"/>
            <w:vAlign w:val="bottom"/>
          </w:tcPr>
          <w:p>
            <w:pPr>
              <w:jc w:val="right"/>
              <w:ind w:right="669"/>
              <w:spacing w:after="0"/>
              <w:rPr>
                <w:sz w:val="20"/>
                <w:szCs w:val="20"/>
                <w:color w:val="auto"/>
              </w:rPr>
            </w:pPr>
            <w:r>
              <w:rPr>
                <w:rFonts w:ascii="Arial" w:cs="Arial" w:eastAsia="Arial" w:hAnsi="Arial"/>
                <w:sz w:val="10"/>
                <w:szCs w:val="10"/>
                <w:b w:val="1"/>
                <w:bCs w:val="1"/>
                <w:color w:val="auto"/>
              </w:rPr>
              <w:t>2017</w:t>
            </w: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100" w:type="dxa"/>
            <w:vAlign w:val="bottom"/>
          </w:tcPr>
          <w:p>
            <w:pPr>
              <w:jc w:val="right"/>
              <w:ind w:right="688"/>
              <w:spacing w:after="0"/>
              <w:rPr>
                <w:sz w:val="20"/>
                <w:szCs w:val="20"/>
                <w:color w:val="auto"/>
              </w:rPr>
            </w:pPr>
            <w:r>
              <w:rPr>
                <w:rFonts w:ascii="Arial" w:cs="Arial" w:eastAsia="Arial" w:hAnsi="Arial"/>
                <w:sz w:val="10"/>
                <w:szCs w:val="10"/>
                <w:b w:val="1"/>
                <w:bCs w:val="1"/>
                <w:color w:val="auto"/>
              </w:rPr>
              <w:t>2016</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86"/>
              </w:rPr>
              <w:t>April 24 - December 31, 2015</w:t>
            </w:r>
          </w:p>
        </w:tc>
      </w:tr>
      <w:tr>
        <w:trPr>
          <w:trHeight w:val="133"/>
        </w:trPr>
        <w:tc>
          <w:tcPr>
            <w:tcW w:w="56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1"/>
                <w:szCs w:val="11"/>
                <w:b w:val="1"/>
                <w:bCs w:val="1"/>
                <w:color w:val="auto"/>
              </w:rPr>
              <w:t>Supplemental cash flow information:</w:t>
            </w:r>
          </w:p>
        </w:tc>
        <w:tc>
          <w:tcPr>
            <w:tcW w:w="220" w:type="dxa"/>
            <w:vAlign w:val="bottom"/>
            <w:tcBorders>
              <w:top w:val="single" w:sz="8" w:color="CFF0FC"/>
            </w:tcBorders>
            <w:shd w:val="clear" w:color="auto" w:fill="CFF0FC"/>
          </w:tcPr>
          <w:p>
            <w:pPr>
              <w:spacing w:after="0"/>
              <w:rPr>
                <w:sz w:val="11"/>
                <w:szCs w:val="11"/>
                <w:color w:val="auto"/>
              </w:rPr>
            </w:pPr>
          </w:p>
        </w:tc>
        <w:tc>
          <w:tcPr>
            <w:tcW w:w="380" w:type="dxa"/>
            <w:vAlign w:val="bottom"/>
            <w:tcBorders>
              <w:top w:val="single" w:sz="8" w:color="auto"/>
            </w:tcBorders>
            <w:shd w:val="clear" w:color="auto" w:fill="CFF0FC"/>
          </w:tcPr>
          <w:p>
            <w:pPr>
              <w:spacing w:after="0"/>
              <w:rPr>
                <w:sz w:val="11"/>
                <w:szCs w:val="11"/>
                <w:color w:val="auto"/>
              </w:rPr>
            </w:pPr>
          </w:p>
        </w:tc>
        <w:tc>
          <w:tcPr>
            <w:tcW w:w="1240" w:type="dxa"/>
            <w:vAlign w:val="bottom"/>
            <w:tcBorders>
              <w:top w:val="single" w:sz="8" w:color="auto"/>
            </w:tcBorders>
            <w:shd w:val="clear" w:color="auto" w:fill="CFF0FC"/>
          </w:tcPr>
          <w:p>
            <w:pPr>
              <w:spacing w:after="0"/>
              <w:rPr>
                <w:sz w:val="11"/>
                <w:szCs w:val="11"/>
                <w:color w:val="auto"/>
              </w:rPr>
            </w:pPr>
          </w:p>
        </w:tc>
        <w:tc>
          <w:tcPr>
            <w:tcW w:w="320" w:type="dxa"/>
            <w:vAlign w:val="bottom"/>
            <w:tcBorders>
              <w:top w:val="single" w:sz="8" w:color="CFF0FC"/>
            </w:tcBorders>
            <w:shd w:val="clear" w:color="auto" w:fill="CFF0FC"/>
          </w:tcPr>
          <w:p>
            <w:pPr>
              <w:spacing w:after="0"/>
              <w:rPr>
                <w:sz w:val="11"/>
                <w:szCs w:val="11"/>
                <w:color w:val="auto"/>
              </w:rPr>
            </w:pPr>
          </w:p>
        </w:tc>
        <w:tc>
          <w:tcPr>
            <w:tcW w:w="560" w:type="dxa"/>
            <w:vAlign w:val="bottom"/>
            <w:tcBorders>
              <w:top w:val="single" w:sz="8" w:color="auto"/>
            </w:tcBorders>
            <w:shd w:val="clear" w:color="auto" w:fill="CFF0FC"/>
          </w:tcPr>
          <w:p>
            <w:pPr>
              <w:spacing w:after="0"/>
              <w:rPr>
                <w:sz w:val="11"/>
                <w:szCs w:val="11"/>
                <w:color w:val="auto"/>
              </w:rPr>
            </w:pPr>
          </w:p>
        </w:tc>
        <w:tc>
          <w:tcPr>
            <w:tcW w:w="1100" w:type="dxa"/>
            <w:vAlign w:val="bottom"/>
            <w:tcBorders>
              <w:top w:val="single" w:sz="8" w:color="auto"/>
            </w:tcBorders>
            <w:shd w:val="clear" w:color="auto" w:fill="CFF0FC"/>
          </w:tcPr>
          <w:p>
            <w:pPr>
              <w:spacing w:after="0"/>
              <w:rPr>
                <w:sz w:val="11"/>
                <w:szCs w:val="11"/>
                <w:color w:val="auto"/>
              </w:rPr>
            </w:pPr>
          </w:p>
        </w:tc>
        <w:tc>
          <w:tcPr>
            <w:tcW w:w="30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152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r>
      <w:tr>
        <w:trPr>
          <w:trHeight w:val="142"/>
        </w:trPr>
        <w:tc>
          <w:tcPr>
            <w:tcW w:w="5820" w:type="dxa"/>
            <w:vAlign w:val="bottom"/>
            <w:gridSpan w:val="2"/>
          </w:tcPr>
          <w:p>
            <w:pPr>
              <w:ind w:left="160"/>
              <w:spacing w:after="0"/>
              <w:rPr>
                <w:sz w:val="20"/>
                <w:szCs w:val="20"/>
                <w:color w:val="auto"/>
              </w:rPr>
            </w:pPr>
            <w:r>
              <w:rPr>
                <w:rFonts w:ascii="Arial" w:cs="Arial" w:eastAsia="Arial" w:hAnsi="Arial"/>
                <w:sz w:val="11"/>
                <w:szCs w:val="11"/>
                <w:color w:val="auto"/>
              </w:rPr>
              <w:t>Cash paid for interest</w:t>
            </w:r>
          </w:p>
        </w:tc>
        <w:tc>
          <w:tcPr>
            <w:tcW w:w="380" w:type="dxa"/>
            <w:vAlign w:val="bottom"/>
          </w:tcPr>
          <w:p>
            <w:pPr>
              <w:jc w:val="right"/>
              <w:ind w:right="313"/>
              <w:spacing w:after="0"/>
              <w:rPr>
                <w:sz w:val="20"/>
                <w:szCs w:val="20"/>
                <w:color w:val="auto"/>
              </w:rPr>
            </w:pPr>
            <w:r>
              <w:rPr>
                <w:rFonts w:ascii="Arial" w:cs="Arial" w:eastAsia="Arial" w:hAnsi="Arial"/>
                <w:sz w:val="5"/>
                <w:szCs w:val="5"/>
                <w:color w:val="auto"/>
                <w:w w:val="70"/>
              </w:rPr>
              <w:t>$</w:t>
            </w:r>
          </w:p>
        </w:tc>
        <w:tc>
          <w:tcPr>
            <w:tcW w:w="1240" w:type="dxa"/>
            <w:vAlign w:val="bottom"/>
          </w:tcPr>
          <w:p>
            <w:pPr>
              <w:jc w:val="right"/>
              <w:spacing w:after="0"/>
              <w:rPr>
                <w:sz w:val="20"/>
                <w:szCs w:val="20"/>
                <w:color w:val="auto"/>
              </w:rPr>
            </w:pPr>
            <w:r>
              <w:rPr>
                <w:rFonts w:ascii="Arial" w:cs="Arial" w:eastAsia="Arial" w:hAnsi="Arial"/>
                <w:sz w:val="11"/>
                <w:szCs w:val="11"/>
                <w:color w:val="auto"/>
              </w:rPr>
              <w:t>276,071</w:t>
            </w:r>
          </w:p>
        </w:tc>
        <w:tc>
          <w:tcPr>
            <w:tcW w:w="880" w:type="dxa"/>
            <w:vAlign w:val="bottom"/>
            <w:gridSpan w:val="2"/>
          </w:tcPr>
          <w:p>
            <w:pPr>
              <w:jc w:val="right"/>
              <w:ind w:right="500"/>
              <w:spacing w:after="0"/>
              <w:rPr>
                <w:sz w:val="20"/>
                <w:szCs w:val="20"/>
                <w:color w:val="auto"/>
              </w:rPr>
            </w:pPr>
            <w:r>
              <w:rPr>
                <w:rFonts w:ascii="Arial" w:cs="Arial" w:eastAsia="Arial" w:hAnsi="Arial"/>
                <w:sz w:val="11"/>
                <w:szCs w:val="11"/>
                <w:color w:val="auto"/>
              </w:rPr>
              <w:t>$</w:t>
            </w:r>
          </w:p>
        </w:tc>
        <w:tc>
          <w:tcPr>
            <w:tcW w:w="1100" w:type="dxa"/>
            <w:vAlign w:val="bottom"/>
          </w:tcPr>
          <w:p>
            <w:pPr>
              <w:jc w:val="right"/>
              <w:spacing w:after="0"/>
              <w:rPr>
                <w:sz w:val="20"/>
                <w:szCs w:val="20"/>
                <w:color w:val="auto"/>
              </w:rPr>
            </w:pPr>
            <w:r>
              <w:rPr>
                <w:rFonts w:ascii="Arial" w:cs="Arial" w:eastAsia="Arial" w:hAnsi="Arial"/>
                <w:sz w:val="11"/>
                <w:szCs w:val="11"/>
                <w:color w:val="auto"/>
              </w:rPr>
              <w:t>255,945</w:t>
            </w:r>
          </w:p>
        </w:tc>
        <w:tc>
          <w:tcPr>
            <w:tcW w:w="300" w:type="dxa"/>
            <w:vAlign w:val="bottom"/>
          </w:tcPr>
          <w:p>
            <w:pPr>
              <w:spacing w:after="0"/>
              <w:rPr>
                <w:sz w:val="12"/>
                <w:szCs w:val="12"/>
                <w:color w:val="auto"/>
              </w:rPr>
            </w:pPr>
          </w:p>
        </w:tc>
        <w:tc>
          <w:tcPr>
            <w:tcW w:w="120" w:type="dxa"/>
            <w:vAlign w:val="bottom"/>
          </w:tcPr>
          <w:p>
            <w:pPr>
              <w:jc w:val="right"/>
              <w:ind w:right="53"/>
              <w:spacing w:after="0"/>
              <w:rPr>
                <w:sz w:val="20"/>
                <w:szCs w:val="20"/>
                <w:color w:val="auto"/>
              </w:rPr>
            </w:pPr>
            <w:r>
              <w:rPr>
                <w:rFonts w:ascii="Arial" w:cs="Arial" w:eastAsia="Arial" w:hAnsi="Arial"/>
                <w:sz w:val="5"/>
                <w:szCs w:val="5"/>
                <w:color w:val="auto"/>
                <w:w w:val="70"/>
              </w:rPr>
              <w:t>$</w:t>
            </w:r>
          </w:p>
        </w:tc>
        <w:tc>
          <w:tcPr>
            <w:tcW w:w="1520" w:type="dxa"/>
            <w:vAlign w:val="bottom"/>
          </w:tcPr>
          <w:p>
            <w:pPr>
              <w:jc w:val="right"/>
              <w:spacing w:after="0"/>
              <w:rPr>
                <w:sz w:val="20"/>
                <w:szCs w:val="20"/>
                <w:color w:val="auto"/>
              </w:rPr>
            </w:pPr>
            <w:r>
              <w:rPr>
                <w:rFonts w:ascii="Arial" w:cs="Arial" w:eastAsia="Arial" w:hAnsi="Arial"/>
                <w:sz w:val="11"/>
                <w:szCs w:val="11"/>
                <w:color w:val="auto"/>
              </w:rPr>
              <w:t>147,428</w:t>
            </w:r>
          </w:p>
        </w:tc>
        <w:tc>
          <w:tcPr>
            <w:tcW w:w="120" w:type="dxa"/>
            <w:vAlign w:val="bottom"/>
          </w:tcPr>
          <w:p>
            <w:pPr>
              <w:spacing w:after="0"/>
              <w:rPr>
                <w:sz w:val="12"/>
                <w:szCs w:val="12"/>
                <w:color w:val="auto"/>
              </w:rPr>
            </w:pPr>
          </w:p>
        </w:tc>
      </w:tr>
      <w:tr>
        <w:trPr>
          <w:trHeight w:val="146"/>
        </w:trPr>
        <w:tc>
          <w:tcPr>
            <w:tcW w:w="5820" w:type="dxa"/>
            <w:vAlign w:val="bottom"/>
            <w:gridSpan w:val="2"/>
            <w:shd w:val="clear" w:color="auto" w:fill="CFF0FC"/>
          </w:tcPr>
          <w:p>
            <w:pPr>
              <w:ind w:left="160"/>
              <w:spacing w:after="0"/>
              <w:rPr>
                <w:sz w:val="20"/>
                <w:szCs w:val="20"/>
                <w:color w:val="auto"/>
              </w:rPr>
            </w:pPr>
            <w:r>
              <w:rPr>
                <w:rFonts w:ascii="Arial" w:cs="Arial" w:eastAsia="Arial" w:hAnsi="Arial"/>
                <w:sz w:val="11"/>
                <w:szCs w:val="11"/>
                <w:color w:val="auto"/>
              </w:rPr>
              <w:t>Cash paid for income taxes</w:t>
            </w:r>
          </w:p>
        </w:tc>
        <w:tc>
          <w:tcPr>
            <w:tcW w:w="380" w:type="dxa"/>
            <w:vAlign w:val="bottom"/>
            <w:shd w:val="clear" w:color="auto" w:fill="CFF0FC"/>
          </w:tcPr>
          <w:p>
            <w:pPr>
              <w:jc w:val="right"/>
              <w:ind w:right="313"/>
              <w:spacing w:after="0"/>
              <w:rPr>
                <w:sz w:val="20"/>
                <w:szCs w:val="20"/>
                <w:color w:val="auto"/>
              </w:rPr>
            </w:pPr>
            <w:r>
              <w:rPr>
                <w:rFonts w:ascii="Arial" w:cs="Arial" w:eastAsia="Arial" w:hAnsi="Arial"/>
                <w:sz w:val="5"/>
                <w:szCs w:val="5"/>
                <w:color w:val="auto"/>
                <w:w w:val="70"/>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4,388</w:t>
            </w:r>
          </w:p>
        </w:tc>
        <w:tc>
          <w:tcPr>
            <w:tcW w:w="880" w:type="dxa"/>
            <w:vAlign w:val="bottom"/>
            <w:gridSpan w:val="2"/>
            <w:shd w:val="clear" w:color="auto" w:fill="CFF0FC"/>
          </w:tcPr>
          <w:p>
            <w:pPr>
              <w:jc w:val="right"/>
              <w:ind w:right="500"/>
              <w:spacing w:after="0"/>
              <w:rPr>
                <w:sz w:val="20"/>
                <w:szCs w:val="20"/>
                <w:color w:val="auto"/>
              </w:rPr>
            </w:pPr>
            <w:r>
              <w:rPr>
                <w:rFonts w:ascii="Arial" w:cs="Arial" w:eastAsia="Arial" w:hAnsi="Arial"/>
                <w:sz w:val="11"/>
                <w:szCs w:val="11"/>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3,003</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jc w:val="right"/>
              <w:ind w:right="53"/>
              <w:spacing w:after="0"/>
              <w:rPr>
                <w:sz w:val="20"/>
                <w:szCs w:val="20"/>
                <w:color w:val="auto"/>
              </w:rPr>
            </w:pPr>
            <w:r>
              <w:rPr>
                <w:rFonts w:ascii="Arial" w:cs="Arial" w:eastAsia="Arial" w:hAnsi="Arial"/>
                <w:sz w:val="5"/>
                <w:szCs w:val="5"/>
                <w:color w:val="auto"/>
                <w:w w:val="70"/>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1,284</w:t>
            </w:r>
          </w:p>
        </w:tc>
        <w:tc>
          <w:tcPr>
            <w:tcW w:w="120" w:type="dxa"/>
            <w:vAlign w:val="bottom"/>
            <w:shd w:val="clear" w:color="auto" w:fill="CFF0FC"/>
          </w:tcPr>
          <w:p>
            <w:pPr>
              <w:spacing w:after="0"/>
              <w:rPr>
                <w:sz w:val="12"/>
                <w:szCs w:val="12"/>
                <w:color w:val="auto"/>
              </w:rPr>
            </w:pPr>
          </w:p>
        </w:tc>
      </w:tr>
    </w:tbl>
    <w:p>
      <w:pPr>
        <w:spacing w:after="0" w:line="13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18. Capital Stock</w:t>
      </w:r>
    </w:p>
    <w:p>
      <w:pPr>
        <w:spacing w:after="0" w:line="82" w:lineRule="exact"/>
        <w:rPr>
          <w:sz w:val="20"/>
          <w:szCs w:val="20"/>
          <w:color w:val="auto"/>
        </w:rPr>
      </w:pPr>
    </w:p>
    <w:p>
      <w:pPr>
        <w:ind w:right="440"/>
        <w:spacing w:after="0" w:line="375" w:lineRule="auto"/>
        <w:rPr>
          <w:sz w:val="20"/>
          <w:szCs w:val="20"/>
          <w:color w:val="auto"/>
        </w:rPr>
      </w:pPr>
      <w:r>
        <w:rPr>
          <w:rFonts w:ascii="Arial" w:cs="Arial" w:eastAsia="Arial" w:hAnsi="Arial"/>
          <w:sz w:val="10"/>
          <w:szCs w:val="10"/>
          <w:color w:val="auto"/>
        </w:rPr>
        <w:t>On April 25, 2017, we issued 19.5 million shares of our common stock, par value $0.0001 per share. The shares were sold at a public offering price of $26.50, generating proceeds of approximately $518 million, before underwriter discounts and transaction costs. The Company used the proceeds from this offering to fund a portion of the cash consideration paid in connection with the acquisitions of Southern Light and Hunt that closed on July 3, 2017.</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On August 31, 2016, we issued 1.9 million shares of our common stock, par value $0.0001 per share, as partial consideration for all outstanding equity interests of Tower Cloud. See Note 4.</w:t>
      </w:r>
    </w:p>
    <w:p>
      <w:pPr>
        <w:spacing w:after="0" w:line="150" w:lineRule="exact"/>
        <w:rPr>
          <w:sz w:val="20"/>
          <w:szCs w:val="20"/>
          <w:color w:val="auto"/>
        </w:rPr>
      </w:pPr>
    </w:p>
    <w:p>
      <w:pPr>
        <w:ind w:right="60"/>
        <w:spacing w:after="0" w:line="323" w:lineRule="auto"/>
        <w:rPr>
          <w:sz w:val="20"/>
          <w:szCs w:val="20"/>
          <w:color w:val="auto"/>
        </w:rPr>
      </w:pPr>
      <w:r>
        <w:rPr>
          <w:rFonts w:ascii="Arial" w:cs="Arial" w:eastAsia="Arial" w:hAnsi="Arial"/>
          <w:sz w:val="11"/>
          <w:szCs w:val="11"/>
          <w:color w:val="auto"/>
        </w:rPr>
        <w:t>On June 24, 2016, in connection with Windstream’s disposition of its retained ownership interest in Uniti pursuant to the public offering (See Note 11), we issued 2.2 million additional shares of our common stock. The shares were sold at a public offering price of $26.01, resulting in proceeds to the Company of $54.8 million, net of underwriting discounts and commissions, which were used to repay existing borrowings under our Revolving Credit Facility.</w:t>
      </w:r>
    </w:p>
    <w:p>
      <w:pPr>
        <w:spacing w:after="0" w:line="92" w:lineRule="exact"/>
        <w:rPr>
          <w:sz w:val="20"/>
          <w:szCs w:val="20"/>
          <w:color w:val="auto"/>
        </w:rPr>
      </w:pPr>
    </w:p>
    <w:p>
      <w:pPr>
        <w:ind w:right="40"/>
        <w:spacing w:after="0" w:line="283" w:lineRule="auto"/>
        <w:rPr>
          <w:sz w:val="20"/>
          <w:szCs w:val="20"/>
          <w:color w:val="auto"/>
        </w:rPr>
      </w:pPr>
      <w:r>
        <w:rPr>
          <w:rFonts w:ascii="Arial" w:cs="Arial" w:eastAsia="Arial" w:hAnsi="Arial"/>
          <w:sz w:val="11"/>
          <w:szCs w:val="11"/>
          <w:color w:val="auto"/>
        </w:rPr>
        <w:t>On May 2, 2016, we issued 1 million shares of our common stock, par value $0.0001 per share, as partial consideration for all outstanding equity interests of PEG Bandwidth. See Note 4. In addition, we issued 87,500 shares of the Company’s 3% Series A Convertible Preferred Stock, $0.0001 par value (“Series A Shares”), with a liquidation value of $87.5 million. The Series A Shares are non-voting and entitle the holders to receive cumulative dividends at the rate per annum of 3.0%, payable in cash. Holders of the Series A Shares have the option to convert at any time after three years, or are mandatorily convertible after eight years at a conversion rate of 28.5714 shares of common stock per Series A Share, subject to adjustment for certain dilutive events not to exceed a conversion rate of 50.5305 shares of common stock per Series A Share. The Series A Shares provide us the option to cash or share settle, and it is our policy to settle in cash upon conversion. Upon liquidation, each holder of the Series A Shares shall be entitled to receive the liquidation preference per share of $1,000 plus an amount equal to the accumulated and unpaid dividends on such shares. The Series A Shares were recorded at inception on the Consolidated Balance Sheet as mezzanine equity at fair value.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8">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19" w:right="199" w:bottom="1440" w:gutter="0" w:footer="0" w:header="0"/>
        </w:sectPr>
      </w:pPr>
    </w:p>
    <w:bookmarkStart w:id="91" w:name="page92"/>
    <w:bookmarkEnd w:id="91"/>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Uniti Group Inc.</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the Consolidated Financial Statements – Continued</w:t>
      </w:r>
    </w:p>
    <w:p>
      <w:pPr>
        <w:spacing w:after="0" w:line="231" w:lineRule="exact"/>
        <w:rPr>
          <w:sz w:val="20"/>
          <w:szCs w:val="20"/>
          <w:color w:val="auto"/>
        </w:rPr>
      </w:pPr>
    </w:p>
    <w:p>
      <w:pPr>
        <w:ind w:right="80"/>
        <w:spacing w:after="0" w:line="276" w:lineRule="auto"/>
        <w:rPr>
          <w:sz w:val="20"/>
          <w:szCs w:val="20"/>
          <w:color w:val="auto"/>
        </w:rPr>
      </w:pPr>
      <w:r>
        <w:rPr>
          <w:rFonts w:ascii="Arial" w:cs="Arial" w:eastAsia="Arial" w:hAnsi="Arial"/>
          <w:sz w:val="12"/>
          <w:szCs w:val="12"/>
          <w:color w:val="auto"/>
        </w:rPr>
        <w:t>We are authorized to issue up to 500,000,000 shares of voting common stock and 50,000,000 shares of preferred stock, of which 174,851,514 and 0 shares, respectively, were outstanding at December 31, 2017. We had 325,148,486 shares of voting common stock available for issuance at December 31, 2017.</w:t>
      </w:r>
    </w:p>
    <w:p>
      <w:pPr>
        <w:spacing w:after="0" w:line="10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19. Dividends (Distributions)</w:t>
      </w:r>
    </w:p>
    <w:p>
      <w:pPr>
        <w:spacing w:after="0" w:line="82" w:lineRule="exact"/>
        <w:rPr>
          <w:sz w:val="20"/>
          <w:szCs w:val="20"/>
          <w:color w:val="auto"/>
        </w:rPr>
      </w:pPr>
    </w:p>
    <w:p>
      <w:pPr>
        <w:spacing w:after="0"/>
        <w:rPr>
          <w:sz w:val="20"/>
          <w:szCs w:val="20"/>
          <w:color w:val="auto"/>
        </w:rPr>
      </w:pPr>
      <w:r>
        <w:rPr>
          <w:rFonts w:ascii="Arial" w:cs="Arial" w:eastAsia="Arial" w:hAnsi="Arial"/>
          <w:sz w:val="10"/>
          <w:szCs w:val="10"/>
          <w:color w:val="auto"/>
        </w:rPr>
        <w:t>Distributions with respect to our common stock is characterized for federal income tax purposes as taxable ordinary dividends, capital gains dividends, non-dividend distribution or a combination thereof. For the years ended December 31,</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2017 and 2016 and for the period from April 24, 2015 to December 31, 2015 our common stock distribution per share was $2.40, $2.40 and $1.04, respectively, characterized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82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162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0"/>
                <w:szCs w:val="10"/>
                <w:b w:val="1"/>
                <w:bCs w:val="1"/>
                <w:color w:val="auto"/>
              </w:rPr>
              <w:t>Year Ended December 31,</w:t>
            </w:r>
          </w:p>
        </w:tc>
        <w:tc>
          <w:tcPr>
            <w:tcW w:w="142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100" w:type="dxa"/>
            <w:vAlign w:val="bottom"/>
            <w:gridSpan w:val="2"/>
          </w:tcPr>
          <w:p>
            <w:pPr>
              <w:ind w:left="600"/>
              <w:spacing w:after="0"/>
              <w:rPr>
                <w:sz w:val="20"/>
                <w:szCs w:val="20"/>
                <w:color w:val="auto"/>
              </w:rPr>
            </w:pPr>
            <w:r>
              <w:rPr>
                <w:rFonts w:ascii="Arial" w:cs="Arial" w:eastAsia="Arial" w:hAnsi="Arial"/>
                <w:sz w:val="10"/>
                <w:szCs w:val="10"/>
                <w:b w:val="1"/>
                <w:bCs w:val="1"/>
                <w:color w:val="auto"/>
              </w:rPr>
              <w:t>Period from</w:t>
            </w:r>
          </w:p>
        </w:tc>
      </w:tr>
      <w:tr>
        <w:trPr>
          <w:trHeight w:val="151"/>
        </w:trPr>
        <w:tc>
          <w:tcPr>
            <w:tcW w:w="2820" w:type="dxa"/>
            <w:vAlign w:val="bottom"/>
            <w:tcBorders>
              <w:bottom w:val="single" w:sz="8" w:color="CFF0FC"/>
            </w:tcBorders>
          </w:tcPr>
          <w:p>
            <w:pPr>
              <w:spacing w:after="0"/>
              <w:rPr>
                <w:sz w:val="13"/>
                <w:szCs w:val="13"/>
                <w:color w:val="auto"/>
              </w:rPr>
            </w:pPr>
          </w:p>
        </w:tc>
        <w:tc>
          <w:tcPr>
            <w:tcW w:w="1520" w:type="dxa"/>
            <w:vAlign w:val="bottom"/>
            <w:tcBorders>
              <w:bottom w:val="single" w:sz="8" w:color="CFF0FC"/>
            </w:tcBorders>
          </w:tcPr>
          <w:p>
            <w:pPr>
              <w:spacing w:after="0"/>
              <w:rPr>
                <w:sz w:val="13"/>
                <w:szCs w:val="13"/>
                <w:color w:val="auto"/>
              </w:rPr>
            </w:pPr>
          </w:p>
        </w:tc>
        <w:tc>
          <w:tcPr>
            <w:tcW w:w="1420" w:type="dxa"/>
            <w:vAlign w:val="bottom"/>
            <w:tcBorders>
              <w:bottom w:val="single" w:sz="8" w:color="auto"/>
            </w:tcBorders>
          </w:tcPr>
          <w:p>
            <w:pPr>
              <w:jc w:val="right"/>
              <w:ind w:right="232"/>
              <w:spacing w:after="0"/>
              <w:rPr>
                <w:sz w:val="20"/>
                <w:szCs w:val="20"/>
                <w:color w:val="auto"/>
              </w:rPr>
            </w:pPr>
            <w:r>
              <w:rPr>
                <w:rFonts w:ascii="Arial" w:cs="Arial" w:eastAsia="Arial" w:hAnsi="Arial"/>
                <w:sz w:val="10"/>
                <w:szCs w:val="10"/>
                <w:b w:val="1"/>
                <w:bCs w:val="1"/>
                <w:color w:val="auto"/>
              </w:rPr>
              <w:t>2017</w:t>
            </w:r>
          </w:p>
        </w:tc>
        <w:tc>
          <w:tcPr>
            <w:tcW w:w="680" w:type="dxa"/>
            <w:vAlign w:val="bottom"/>
            <w:tcBorders>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903"/>
              <w:spacing w:after="0"/>
              <w:rPr>
                <w:sz w:val="20"/>
                <w:szCs w:val="20"/>
                <w:color w:val="auto"/>
              </w:rPr>
            </w:pPr>
            <w:r>
              <w:rPr>
                <w:rFonts w:ascii="Arial" w:cs="Arial" w:eastAsia="Arial" w:hAnsi="Arial"/>
                <w:sz w:val="10"/>
                <w:szCs w:val="10"/>
                <w:b w:val="1"/>
                <w:bCs w:val="1"/>
                <w:color w:val="auto"/>
              </w:rPr>
              <w:t>2016</w:t>
            </w:r>
          </w:p>
        </w:tc>
        <w:tc>
          <w:tcPr>
            <w:tcW w:w="2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tcPr>
          <w:p>
            <w:pPr>
              <w:jc w:val="right"/>
              <w:ind w:right="485"/>
              <w:spacing w:after="0"/>
              <w:rPr>
                <w:sz w:val="20"/>
                <w:szCs w:val="20"/>
                <w:color w:val="auto"/>
              </w:rPr>
            </w:pPr>
            <w:r>
              <w:rPr>
                <w:rFonts w:ascii="Arial" w:cs="Arial" w:eastAsia="Arial" w:hAnsi="Arial"/>
                <w:sz w:val="10"/>
                <w:szCs w:val="10"/>
                <w:b w:val="1"/>
                <w:bCs w:val="1"/>
                <w:color w:val="auto"/>
              </w:rPr>
              <w:t>April 24 - December 31, 2015</w:t>
            </w:r>
          </w:p>
        </w:tc>
        <w:tc>
          <w:tcPr>
            <w:tcW w:w="120" w:type="dxa"/>
            <w:vAlign w:val="bottom"/>
            <w:tcBorders>
              <w:bottom w:val="single" w:sz="8" w:color="CFF0FC"/>
            </w:tcBorders>
          </w:tcPr>
          <w:p>
            <w:pPr>
              <w:spacing w:after="0"/>
              <w:rPr>
                <w:sz w:val="13"/>
                <w:szCs w:val="13"/>
                <w:color w:val="auto"/>
              </w:rPr>
            </w:pPr>
          </w:p>
        </w:tc>
      </w:tr>
      <w:tr>
        <w:trPr>
          <w:trHeight w:val="151"/>
        </w:trPr>
        <w:tc>
          <w:tcPr>
            <w:tcW w:w="2820" w:type="dxa"/>
            <w:vAlign w:val="bottom"/>
            <w:shd w:val="clear" w:color="auto" w:fill="CFF0FC"/>
          </w:tcPr>
          <w:p>
            <w:pPr>
              <w:spacing w:after="0"/>
              <w:rPr>
                <w:sz w:val="20"/>
                <w:szCs w:val="20"/>
                <w:color w:val="auto"/>
              </w:rPr>
            </w:pPr>
            <w:r>
              <w:rPr>
                <w:rFonts w:ascii="Arial" w:cs="Arial" w:eastAsia="Arial" w:hAnsi="Arial"/>
                <w:sz w:val="12"/>
                <w:szCs w:val="12"/>
                <w:color w:val="auto"/>
              </w:rPr>
              <w:t>Ordinary dividends</w:t>
            </w:r>
          </w:p>
        </w:tc>
        <w:tc>
          <w:tcPr>
            <w:tcW w:w="2940" w:type="dxa"/>
            <w:vAlign w:val="bottom"/>
            <w:gridSpan w:val="2"/>
            <w:shd w:val="clear" w:color="auto" w:fill="CFF0FC"/>
          </w:tcPr>
          <w:p>
            <w:pPr>
              <w:jc w:val="right"/>
              <w:ind w:right="1312"/>
              <w:spacing w:after="0"/>
              <w:rPr>
                <w:sz w:val="20"/>
                <w:szCs w:val="20"/>
                <w:color w:val="auto"/>
              </w:rPr>
            </w:pPr>
            <w:r>
              <w:rPr>
                <w:rFonts w:ascii="Arial" w:cs="Arial" w:eastAsia="Arial" w:hAnsi="Arial"/>
                <w:sz w:val="12"/>
                <w:szCs w:val="12"/>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1.22</w:t>
            </w:r>
          </w:p>
        </w:tc>
        <w:tc>
          <w:tcPr>
            <w:tcW w:w="940" w:type="dxa"/>
            <w:vAlign w:val="bottom"/>
            <w:gridSpan w:val="2"/>
            <w:shd w:val="clear" w:color="auto" w:fill="CFF0FC"/>
          </w:tcPr>
          <w:p>
            <w:pPr>
              <w:jc w:val="right"/>
              <w:ind w:right="620"/>
              <w:spacing w:after="0"/>
              <w:rPr>
                <w:sz w:val="20"/>
                <w:szCs w:val="20"/>
                <w:color w:val="auto"/>
              </w:rPr>
            </w:pPr>
            <w:r>
              <w:rPr>
                <w:rFonts w:ascii="Arial" w:cs="Arial" w:eastAsia="Arial" w:hAnsi="Arial"/>
                <w:sz w:val="12"/>
                <w:szCs w:val="12"/>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1.31</w:t>
            </w:r>
          </w:p>
        </w:tc>
        <w:tc>
          <w:tcPr>
            <w:tcW w:w="58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9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0.87</w:t>
            </w:r>
          </w:p>
        </w:tc>
        <w:tc>
          <w:tcPr>
            <w:tcW w:w="120" w:type="dxa"/>
            <w:vAlign w:val="bottom"/>
            <w:shd w:val="clear" w:color="auto" w:fill="CFF0FC"/>
          </w:tcPr>
          <w:p>
            <w:pPr>
              <w:spacing w:after="0"/>
              <w:rPr>
                <w:sz w:val="13"/>
                <w:szCs w:val="13"/>
                <w:color w:val="auto"/>
              </w:rPr>
            </w:pPr>
          </w:p>
        </w:tc>
      </w:tr>
      <w:tr>
        <w:trPr>
          <w:trHeight w:val="162"/>
        </w:trPr>
        <w:tc>
          <w:tcPr>
            <w:tcW w:w="2820" w:type="dxa"/>
            <w:vAlign w:val="bottom"/>
            <w:tcBorders>
              <w:bottom w:val="single" w:sz="8" w:color="CFF0FC"/>
            </w:tcBorders>
          </w:tcPr>
          <w:p>
            <w:pPr>
              <w:spacing w:after="0"/>
              <w:rPr>
                <w:sz w:val="20"/>
                <w:szCs w:val="20"/>
                <w:color w:val="auto"/>
              </w:rPr>
            </w:pPr>
            <w:r>
              <w:rPr>
                <w:rFonts w:ascii="Arial" w:cs="Arial" w:eastAsia="Arial" w:hAnsi="Arial"/>
                <w:sz w:val="12"/>
                <w:szCs w:val="12"/>
                <w:color w:val="auto"/>
              </w:rPr>
              <w:t>Non-dividend distributions</w:t>
            </w:r>
          </w:p>
        </w:tc>
        <w:tc>
          <w:tcPr>
            <w:tcW w:w="1520" w:type="dxa"/>
            <w:vAlign w:val="bottom"/>
            <w:tcBorders>
              <w:bottom w:val="single" w:sz="8" w:color="CFF0FC"/>
            </w:tcBorders>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1.18</w:t>
            </w:r>
          </w:p>
        </w:tc>
        <w:tc>
          <w:tcPr>
            <w:tcW w:w="260" w:type="dxa"/>
            <w:vAlign w:val="bottom"/>
            <w:tcBorders>
              <w:bottom w:val="single" w:sz="8" w:color="CFF0FC"/>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1.09</w:t>
            </w:r>
          </w:p>
        </w:tc>
        <w:tc>
          <w:tcPr>
            <w:tcW w:w="28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0.17</w:t>
            </w:r>
          </w:p>
        </w:tc>
        <w:tc>
          <w:tcPr>
            <w:tcW w:w="120" w:type="dxa"/>
            <w:vAlign w:val="bottom"/>
            <w:tcBorders>
              <w:bottom w:val="single" w:sz="8" w:color="CFF0FC"/>
            </w:tcBorders>
          </w:tcPr>
          <w:p>
            <w:pPr>
              <w:spacing w:after="0"/>
              <w:rPr>
                <w:sz w:val="14"/>
                <w:szCs w:val="14"/>
                <w:color w:val="auto"/>
              </w:rPr>
            </w:pPr>
          </w:p>
        </w:tc>
      </w:tr>
      <w:tr>
        <w:trPr>
          <w:trHeight w:val="151"/>
        </w:trPr>
        <w:tc>
          <w:tcPr>
            <w:tcW w:w="2820" w:type="dxa"/>
            <w:vAlign w:val="bottom"/>
            <w:shd w:val="clear" w:color="auto" w:fill="CFF0FC"/>
          </w:tcPr>
          <w:p>
            <w:pPr>
              <w:spacing w:after="0"/>
              <w:rPr>
                <w:sz w:val="20"/>
                <w:szCs w:val="20"/>
                <w:color w:val="auto"/>
              </w:rPr>
            </w:pPr>
            <w:r>
              <w:rPr>
                <w:rFonts w:ascii="Arial" w:cs="Arial" w:eastAsia="Arial" w:hAnsi="Arial"/>
                <w:sz w:val="12"/>
                <w:szCs w:val="12"/>
                <w:color w:val="auto"/>
              </w:rPr>
              <w:t>Total</w:t>
            </w:r>
          </w:p>
        </w:tc>
        <w:tc>
          <w:tcPr>
            <w:tcW w:w="2940" w:type="dxa"/>
            <w:vAlign w:val="bottom"/>
            <w:gridSpan w:val="2"/>
            <w:shd w:val="clear" w:color="auto" w:fill="CFF0FC"/>
          </w:tcPr>
          <w:p>
            <w:pPr>
              <w:jc w:val="right"/>
              <w:ind w:right="1312"/>
              <w:spacing w:after="0"/>
              <w:rPr>
                <w:sz w:val="20"/>
                <w:szCs w:val="20"/>
                <w:color w:val="auto"/>
              </w:rPr>
            </w:pPr>
            <w:r>
              <w:rPr>
                <w:rFonts w:ascii="Arial" w:cs="Arial" w:eastAsia="Arial" w:hAnsi="Arial"/>
                <w:sz w:val="12"/>
                <w:szCs w:val="12"/>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2.40</w:t>
            </w:r>
          </w:p>
        </w:tc>
        <w:tc>
          <w:tcPr>
            <w:tcW w:w="940" w:type="dxa"/>
            <w:vAlign w:val="bottom"/>
            <w:gridSpan w:val="2"/>
            <w:shd w:val="clear" w:color="auto" w:fill="CFF0FC"/>
          </w:tcPr>
          <w:p>
            <w:pPr>
              <w:jc w:val="right"/>
              <w:ind w:right="620"/>
              <w:spacing w:after="0"/>
              <w:rPr>
                <w:sz w:val="20"/>
                <w:szCs w:val="20"/>
                <w:color w:val="auto"/>
              </w:rPr>
            </w:pPr>
            <w:r>
              <w:rPr>
                <w:rFonts w:ascii="Arial" w:cs="Arial" w:eastAsia="Arial" w:hAnsi="Arial"/>
                <w:sz w:val="12"/>
                <w:szCs w:val="12"/>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2.40</w:t>
            </w:r>
          </w:p>
        </w:tc>
        <w:tc>
          <w:tcPr>
            <w:tcW w:w="58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9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1.04</w:t>
            </w:r>
          </w:p>
        </w:tc>
        <w:tc>
          <w:tcPr>
            <w:tcW w:w="120" w:type="dxa"/>
            <w:vAlign w:val="bottom"/>
            <w:shd w:val="clear" w:color="auto" w:fill="CFF0FC"/>
          </w:tcPr>
          <w:p>
            <w:pPr>
              <w:spacing w:after="0"/>
              <w:rPr>
                <w:sz w:val="13"/>
                <w:szCs w:val="13"/>
                <w:color w:val="auto"/>
              </w:rPr>
            </w:pPr>
          </w:p>
        </w:tc>
      </w:tr>
    </w:tbl>
    <w:p>
      <w:pPr>
        <w:spacing w:after="0" w:line="25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20. Future Minimum Rents</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color w:val="auto"/>
        </w:rPr>
        <w:t>Future minimum lease payments to be received, excluding operating expense reimbursements, from tenant under non-cancelable operating leases as of December 31, 2017, are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36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(Thousands)</w:t>
            </w:r>
          </w:p>
        </w:tc>
        <w:tc>
          <w:tcPr>
            <w:tcW w:w="200" w:type="dxa"/>
            <w:vAlign w:val="bottom"/>
            <w:tcBorders>
              <w:bottom w:val="single" w:sz="8" w:color="CFF0FC"/>
            </w:tcBorders>
          </w:tcPr>
          <w:p>
            <w:pPr>
              <w:spacing w:after="0"/>
              <w:rPr>
                <w:sz w:val="10"/>
                <w:szCs w:val="10"/>
                <w:color w:val="auto"/>
              </w:rPr>
            </w:pPr>
          </w:p>
        </w:tc>
        <w:tc>
          <w:tcPr>
            <w:tcW w:w="1200" w:type="dxa"/>
            <w:vAlign w:val="bottom"/>
            <w:tcBorders>
              <w:bottom w:val="single" w:sz="8" w:color="CFF0FC"/>
            </w:tcBorders>
          </w:tcPr>
          <w:p>
            <w:pPr>
              <w:spacing w:after="0"/>
              <w:rPr>
                <w:sz w:val="10"/>
                <w:szCs w:val="10"/>
                <w:color w:val="auto"/>
              </w:rPr>
            </w:pPr>
          </w:p>
        </w:tc>
        <w:tc>
          <w:tcPr>
            <w:tcW w:w="1600" w:type="dxa"/>
            <w:vAlign w:val="bottom"/>
            <w:tcBorders>
              <w:bottom w:val="single" w:sz="8" w:color="CFF0FC"/>
            </w:tcBorders>
          </w:tcPr>
          <w:p>
            <w:pPr>
              <w:spacing w:after="0"/>
              <w:rPr>
                <w:sz w:val="10"/>
                <w:szCs w:val="10"/>
                <w:color w:val="auto"/>
              </w:rPr>
            </w:pPr>
          </w:p>
        </w:tc>
        <w:tc>
          <w:tcPr>
            <w:tcW w:w="120" w:type="dxa"/>
            <w:vAlign w:val="bottom"/>
            <w:tcBorders>
              <w:bottom w:val="single" w:sz="8" w:color="CFF0FC"/>
            </w:tcBorders>
          </w:tcPr>
          <w:p>
            <w:pPr>
              <w:spacing w:after="0"/>
              <w:rPr>
                <w:sz w:val="10"/>
                <w:szCs w:val="10"/>
                <w:color w:val="auto"/>
              </w:rPr>
            </w:pPr>
          </w:p>
        </w:tc>
      </w:tr>
      <w:tr>
        <w:trPr>
          <w:trHeight w:val="142"/>
        </w:trPr>
        <w:tc>
          <w:tcPr>
            <w:tcW w:w="8360" w:type="dxa"/>
            <w:vAlign w:val="bottom"/>
            <w:shd w:val="clear" w:color="auto" w:fill="CFF0FC"/>
          </w:tcPr>
          <w:p>
            <w:pPr>
              <w:spacing w:after="0"/>
              <w:rPr>
                <w:sz w:val="20"/>
                <w:szCs w:val="20"/>
                <w:color w:val="auto"/>
              </w:rPr>
            </w:pPr>
            <w:r>
              <w:rPr>
                <w:rFonts w:ascii="Arial" w:cs="Arial" w:eastAsia="Arial" w:hAnsi="Arial"/>
                <w:sz w:val="12"/>
                <w:szCs w:val="12"/>
                <w:color w:val="auto"/>
              </w:rPr>
              <w:t>2017</w:t>
            </w:r>
          </w:p>
        </w:tc>
        <w:tc>
          <w:tcPr>
            <w:tcW w:w="1400" w:type="dxa"/>
            <w:vAlign w:val="bottom"/>
            <w:gridSpan w:val="2"/>
            <w:shd w:val="clear" w:color="auto" w:fill="CFF0FC"/>
          </w:tcPr>
          <w:p>
            <w:pPr>
              <w:jc w:val="right"/>
              <w:ind w:right="1090"/>
              <w:spacing w:after="0"/>
              <w:rPr>
                <w:sz w:val="20"/>
                <w:szCs w:val="20"/>
                <w:color w:val="auto"/>
              </w:rPr>
            </w:pPr>
            <w:r>
              <w:rPr>
                <w:rFonts w:ascii="Arial" w:cs="Arial" w:eastAsia="Arial" w:hAnsi="Arial"/>
                <w:sz w:val="12"/>
                <w:szCs w:val="12"/>
                <w:color w:val="auto"/>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661,859</w:t>
            </w:r>
          </w:p>
        </w:tc>
        <w:tc>
          <w:tcPr>
            <w:tcW w:w="120" w:type="dxa"/>
            <w:vAlign w:val="bottom"/>
            <w:shd w:val="clear" w:color="auto" w:fill="CFF0FC"/>
          </w:tcPr>
          <w:p>
            <w:pPr>
              <w:spacing w:after="0"/>
              <w:rPr>
                <w:sz w:val="12"/>
                <w:szCs w:val="12"/>
                <w:color w:val="auto"/>
              </w:rPr>
            </w:pPr>
          </w:p>
        </w:tc>
      </w:tr>
      <w:tr>
        <w:trPr>
          <w:trHeight w:val="153"/>
        </w:trPr>
        <w:tc>
          <w:tcPr>
            <w:tcW w:w="8360" w:type="dxa"/>
            <w:vAlign w:val="bottom"/>
          </w:tcPr>
          <w:p>
            <w:pPr>
              <w:spacing w:after="0"/>
              <w:rPr>
                <w:sz w:val="20"/>
                <w:szCs w:val="20"/>
                <w:color w:val="auto"/>
              </w:rPr>
            </w:pPr>
            <w:r>
              <w:rPr>
                <w:rFonts w:ascii="Arial" w:cs="Arial" w:eastAsia="Arial" w:hAnsi="Arial"/>
                <w:sz w:val="12"/>
                <w:szCs w:val="12"/>
                <w:color w:val="auto"/>
              </w:rPr>
              <w:t>2018</w:t>
            </w:r>
          </w:p>
        </w:tc>
        <w:tc>
          <w:tcPr>
            <w:tcW w:w="2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Arial" w:cs="Arial" w:eastAsia="Arial" w:hAnsi="Arial"/>
                <w:sz w:val="12"/>
                <w:szCs w:val="12"/>
                <w:color w:val="auto"/>
              </w:rPr>
              <w:t>666,703</w:t>
            </w:r>
          </w:p>
        </w:tc>
        <w:tc>
          <w:tcPr>
            <w:tcW w:w="120" w:type="dxa"/>
            <w:vAlign w:val="bottom"/>
          </w:tcPr>
          <w:p>
            <w:pPr>
              <w:spacing w:after="0"/>
              <w:rPr>
                <w:sz w:val="13"/>
                <w:szCs w:val="13"/>
                <w:color w:val="auto"/>
              </w:rPr>
            </w:pPr>
          </w:p>
        </w:tc>
      </w:tr>
      <w:tr>
        <w:trPr>
          <w:trHeight w:val="153"/>
        </w:trPr>
        <w:tc>
          <w:tcPr>
            <w:tcW w:w="8360" w:type="dxa"/>
            <w:vAlign w:val="bottom"/>
            <w:shd w:val="clear" w:color="auto" w:fill="CFF0FC"/>
          </w:tcPr>
          <w:p>
            <w:pPr>
              <w:spacing w:after="0"/>
              <w:rPr>
                <w:sz w:val="20"/>
                <w:szCs w:val="20"/>
                <w:color w:val="auto"/>
              </w:rPr>
            </w:pPr>
            <w:r>
              <w:rPr>
                <w:rFonts w:ascii="Arial" w:cs="Arial" w:eastAsia="Arial" w:hAnsi="Arial"/>
                <w:sz w:val="12"/>
                <w:szCs w:val="12"/>
                <w:color w:val="auto"/>
              </w:rPr>
              <w:t>2019</w:t>
            </w:r>
          </w:p>
        </w:tc>
        <w:tc>
          <w:tcPr>
            <w:tcW w:w="20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669,838</w:t>
            </w:r>
          </w:p>
        </w:tc>
        <w:tc>
          <w:tcPr>
            <w:tcW w:w="120" w:type="dxa"/>
            <w:vAlign w:val="bottom"/>
            <w:shd w:val="clear" w:color="auto" w:fill="CFF0FC"/>
          </w:tcPr>
          <w:p>
            <w:pPr>
              <w:spacing w:after="0"/>
              <w:rPr>
                <w:sz w:val="13"/>
                <w:szCs w:val="13"/>
                <w:color w:val="auto"/>
              </w:rPr>
            </w:pPr>
          </w:p>
        </w:tc>
      </w:tr>
      <w:tr>
        <w:trPr>
          <w:trHeight w:val="153"/>
        </w:trPr>
        <w:tc>
          <w:tcPr>
            <w:tcW w:w="8360" w:type="dxa"/>
            <w:vAlign w:val="bottom"/>
          </w:tcPr>
          <w:p>
            <w:pPr>
              <w:spacing w:after="0"/>
              <w:rPr>
                <w:sz w:val="20"/>
                <w:szCs w:val="20"/>
                <w:color w:val="auto"/>
              </w:rPr>
            </w:pPr>
            <w:r>
              <w:rPr>
                <w:rFonts w:ascii="Arial" w:cs="Arial" w:eastAsia="Arial" w:hAnsi="Arial"/>
                <w:sz w:val="12"/>
                <w:szCs w:val="12"/>
                <w:color w:val="auto"/>
              </w:rPr>
              <w:t>2020</w:t>
            </w:r>
          </w:p>
        </w:tc>
        <w:tc>
          <w:tcPr>
            <w:tcW w:w="2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Arial" w:cs="Arial" w:eastAsia="Arial" w:hAnsi="Arial"/>
                <w:sz w:val="12"/>
                <w:szCs w:val="12"/>
                <w:color w:val="auto"/>
              </w:rPr>
              <w:t>672,998</w:t>
            </w:r>
          </w:p>
        </w:tc>
        <w:tc>
          <w:tcPr>
            <w:tcW w:w="120" w:type="dxa"/>
            <w:vAlign w:val="bottom"/>
          </w:tcPr>
          <w:p>
            <w:pPr>
              <w:spacing w:after="0"/>
              <w:rPr>
                <w:sz w:val="13"/>
                <w:szCs w:val="13"/>
                <w:color w:val="auto"/>
              </w:rPr>
            </w:pPr>
          </w:p>
        </w:tc>
      </w:tr>
      <w:tr>
        <w:trPr>
          <w:trHeight w:val="153"/>
        </w:trPr>
        <w:tc>
          <w:tcPr>
            <w:tcW w:w="8360" w:type="dxa"/>
            <w:vAlign w:val="bottom"/>
            <w:shd w:val="clear" w:color="auto" w:fill="CFF0FC"/>
          </w:tcPr>
          <w:p>
            <w:pPr>
              <w:spacing w:after="0"/>
              <w:rPr>
                <w:sz w:val="20"/>
                <w:szCs w:val="20"/>
                <w:color w:val="auto"/>
              </w:rPr>
            </w:pPr>
            <w:r>
              <w:rPr>
                <w:rFonts w:ascii="Arial" w:cs="Arial" w:eastAsia="Arial" w:hAnsi="Arial"/>
                <w:sz w:val="12"/>
                <w:szCs w:val="12"/>
                <w:color w:val="auto"/>
              </w:rPr>
              <w:t>2021</w:t>
            </w:r>
          </w:p>
        </w:tc>
        <w:tc>
          <w:tcPr>
            <w:tcW w:w="20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675,904</w:t>
            </w:r>
          </w:p>
        </w:tc>
        <w:tc>
          <w:tcPr>
            <w:tcW w:w="120" w:type="dxa"/>
            <w:vAlign w:val="bottom"/>
            <w:shd w:val="clear" w:color="auto" w:fill="CFF0FC"/>
          </w:tcPr>
          <w:p>
            <w:pPr>
              <w:spacing w:after="0"/>
              <w:rPr>
                <w:sz w:val="13"/>
                <w:szCs w:val="13"/>
                <w:color w:val="auto"/>
              </w:rPr>
            </w:pPr>
          </w:p>
        </w:tc>
      </w:tr>
      <w:tr>
        <w:trPr>
          <w:trHeight w:val="153"/>
        </w:trPr>
        <w:tc>
          <w:tcPr>
            <w:tcW w:w="8360" w:type="dxa"/>
            <w:vAlign w:val="bottom"/>
            <w:tcBorders>
              <w:bottom w:val="single" w:sz="8" w:color="CFF0FC"/>
            </w:tcBorders>
          </w:tcPr>
          <w:p>
            <w:pPr>
              <w:spacing w:after="0"/>
              <w:rPr>
                <w:sz w:val="20"/>
                <w:szCs w:val="20"/>
                <w:color w:val="auto"/>
              </w:rPr>
            </w:pPr>
            <w:r>
              <w:rPr>
                <w:rFonts w:ascii="Arial" w:cs="Arial" w:eastAsia="Arial" w:hAnsi="Arial"/>
                <w:sz w:val="12"/>
                <w:szCs w:val="12"/>
                <w:color w:val="auto"/>
              </w:rPr>
              <w:t>Thereafter</w:t>
            </w:r>
          </w:p>
        </w:tc>
        <w:tc>
          <w:tcPr>
            <w:tcW w:w="200" w:type="dxa"/>
            <w:vAlign w:val="bottom"/>
            <w:tcBorders>
              <w:bottom w:val="single" w:sz="8" w:color="CFF0FC"/>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5,109,341</w:t>
            </w:r>
          </w:p>
        </w:tc>
        <w:tc>
          <w:tcPr>
            <w:tcW w:w="120" w:type="dxa"/>
            <w:vAlign w:val="bottom"/>
            <w:tcBorders>
              <w:bottom w:val="single" w:sz="8" w:color="CFF0FC"/>
            </w:tcBorders>
          </w:tcPr>
          <w:p>
            <w:pPr>
              <w:spacing w:after="0"/>
              <w:rPr>
                <w:sz w:val="13"/>
                <w:szCs w:val="13"/>
                <w:color w:val="auto"/>
              </w:rPr>
            </w:pPr>
          </w:p>
        </w:tc>
      </w:tr>
      <w:tr>
        <w:trPr>
          <w:trHeight w:val="158"/>
        </w:trPr>
        <w:tc>
          <w:tcPr>
            <w:tcW w:w="8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2"/>
                <w:szCs w:val="12"/>
                <w:color w:val="auto"/>
              </w:rPr>
              <w:t>Total</w:t>
            </w:r>
          </w:p>
        </w:tc>
        <w:tc>
          <w:tcPr>
            <w:tcW w:w="200" w:type="dxa"/>
            <w:vAlign w:val="bottom"/>
            <w:tcBorders>
              <w:bottom w:val="single" w:sz="8" w:color="CFF0FC"/>
            </w:tcBorders>
            <w:shd w:val="clear" w:color="auto" w:fill="CFF0FC"/>
          </w:tcPr>
          <w:p>
            <w:pPr>
              <w:spacing w:after="0"/>
              <w:rPr>
                <w:sz w:val="13"/>
                <w:szCs w:val="13"/>
                <w:color w:val="auto"/>
              </w:rPr>
            </w:pPr>
          </w:p>
        </w:tc>
        <w:tc>
          <w:tcPr>
            <w:tcW w:w="1200" w:type="dxa"/>
            <w:vAlign w:val="bottom"/>
            <w:tcBorders>
              <w:bottom w:val="single" w:sz="8" w:color="auto"/>
            </w:tcBorders>
            <w:shd w:val="clear" w:color="auto" w:fill="CFF0FC"/>
          </w:tcPr>
          <w:p>
            <w:pPr>
              <w:jc w:val="right"/>
              <w:ind w:right="1090"/>
              <w:spacing w:after="0"/>
              <w:rPr>
                <w:sz w:val="20"/>
                <w:szCs w:val="20"/>
                <w:color w:val="auto"/>
              </w:rPr>
            </w:pPr>
            <w:r>
              <w:rPr>
                <w:rFonts w:ascii="Arial" w:cs="Arial" w:eastAsia="Arial" w:hAnsi="Arial"/>
                <w:sz w:val="10"/>
                <w:szCs w:val="10"/>
                <w:color w:val="auto"/>
                <w:w w:val="71"/>
              </w:rPr>
              <w:t>$</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8,456,643</w:t>
            </w:r>
          </w:p>
        </w:tc>
        <w:tc>
          <w:tcPr>
            <w:tcW w:w="120" w:type="dxa"/>
            <w:vAlign w:val="bottom"/>
            <w:tcBorders>
              <w:bottom w:val="single" w:sz="8" w:color="CFF0FC"/>
            </w:tcBorders>
            <w:shd w:val="clear" w:color="auto" w:fill="CFF0FC"/>
          </w:tcPr>
          <w:p>
            <w:pPr>
              <w:spacing w:after="0"/>
              <w:rPr>
                <w:sz w:val="13"/>
                <w:szCs w:val="13"/>
                <w:color w:val="auto"/>
              </w:rPr>
            </w:pPr>
          </w:p>
        </w:tc>
      </w:tr>
    </w:tbl>
    <w:p>
      <w:pPr>
        <w:spacing w:after="0" w:line="25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21. Employee Benefit Plan</w:t>
      </w:r>
    </w:p>
    <w:p>
      <w:pPr>
        <w:spacing w:after="0" w:line="82" w:lineRule="exact"/>
        <w:rPr>
          <w:sz w:val="20"/>
          <w:szCs w:val="20"/>
          <w:color w:val="auto"/>
        </w:rPr>
      </w:pPr>
    </w:p>
    <w:p>
      <w:pPr>
        <w:jc w:val="both"/>
        <w:ind w:right="100"/>
        <w:spacing w:after="0" w:line="263" w:lineRule="auto"/>
        <w:rPr>
          <w:sz w:val="20"/>
          <w:szCs w:val="20"/>
          <w:color w:val="auto"/>
        </w:rPr>
      </w:pPr>
      <w:r>
        <w:rPr>
          <w:rFonts w:ascii="Arial" w:cs="Arial" w:eastAsia="Arial" w:hAnsi="Arial"/>
          <w:sz w:val="12"/>
          <w:szCs w:val="12"/>
          <w:color w:val="auto"/>
        </w:rPr>
        <w:t>We sponsor a defined contribution plan under section 401(k) of the Internal Revenue Code, which covers employees who are 21 years of age and over. Under this plan, we match voluntary employee contributions at a rate of 100% for the first 3% of an employee’s annual compensation and at a rate of 50% for the next 2% of an employee’s annual compensation. Employees vest in our contribution immediately. Our expense related to the plan recognized for the years ended December 31, 2017, 2016 and for the period April 24, 2015 to December 31, 2015 was $0.8 million, $0.4 million and $0.1 million, respectively.</w:t>
      </w:r>
    </w:p>
    <w:p>
      <w:pPr>
        <w:spacing w:after="0" w:line="141" w:lineRule="exact"/>
        <w:rPr>
          <w:sz w:val="20"/>
          <w:szCs w:val="20"/>
          <w:color w:val="auto"/>
        </w:rPr>
      </w:pPr>
    </w:p>
    <w:p>
      <w:pPr>
        <w:ind w:right="200"/>
        <w:spacing w:after="0" w:line="298" w:lineRule="auto"/>
        <w:rPr>
          <w:sz w:val="20"/>
          <w:szCs w:val="20"/>
          <w:color w:val="auto"/>
        </w:rPr>
      </w:pPr>
      <w:r>
        <w:rPr>
          <w:rFonts w:ascii="Arial" w:cs="Arial" w:eastAsia="Arial" w:hAnsi="Arial"/>
          <w:sz w:val="11"/>
          <w:szCs w:val="11"/>
          <w:color w:val="auto"/>
        </w:rPr>
        <w:t>We sponsor a deferred compensation plan. The plan is established and maintained by the Company primarily to permit certain management or highly compensated employees of the Company and its subsidiaries, within the meaning of Section 301(a) of the Employee Retirement Income Security Act of 1974, as amended (“ERISA”), to defer a percentage of their compensation. The plan is an unfunded deferred compensation plan intended to qualify for the exemptions provided in, and shall be administered in a manner consistent with Section 201, 301 and 401 of ERISA and Section 409A of the Internal Revenue Code of 1986, as amended.</w:t>
      </w:r>
    </w:p>
    <w:p>
      <w:pPr>
        <w:spacing w:after="0" w:line="2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22. Subsequent Events</w:t>
      </w:r>
    </w:p>
    <w:p>
      <w:pPr>
        <w:spacing w:after="0" w:line="154" w:lineRule="exact"/>
        <w:rPr>
          <w:sz w:val="20"/>
          <w:szCs w:val="20"/>
          <w:color w:val="auto"/>
        </w:rPr>
      </w:pPr>
    </w:p>
    <w:p>
      <w:pPr>
        <w:jc w:val="center"/>
        <w:ind w:right="500"/>
        <w:spacing w:after="0"/>
        <w:rPr>
          <w:sz w:val="20"/>
          <w:szCs w:val="20"/>
          <w:color w:val="auto"/>
        </w:rPr>
      </w:pPr>
      <w:r>
        <w:rPr>
          <w:rFonts w:ascii="Arial" w:cs="Arial" w:eastAsia="Arial" w:hAnsi="Arial"/>
          <w:sz w:val="10"/>
          <w:szCs w:val="10"/>
          <w:color w:val="auto"/>
        </w:rPr>
        <w:t>On March 1, 2018, we announced that Uniti has entered into agreements to acquire and lease-back fiber assets from privately-held U.S. TelePacific holding Corp. (“TPx”) for aggregate consideration of $95 million in cash. In the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9">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30" w:right="199" w:bottom="1440" w:gutter="0" w:footer="0" w:header="0"/>
        </w:sectPr>
      </w:pPr>
    </w:p>
    <w:bookmarkStart w:id="92" w:name="page93"/>
    <w:bookmarkEnd w:id="92"/>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Uniti Group Inc.</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Notes to the Consolidated Financial Statements – Continued</w:t>
      </w:r>
    </w:p>
    <w:p>
      <w:pPr>
        <w:spacing w:after="0" w:line="303" w:lineRule="exact"/>
        <w:rPr>
          <w:sz w:val="20"/>
          <w:szCs w:val="20"/>
          <w:color w:val="auto"/>
        </w:rPr>
      </w:pPr>
    </w:p>
    <w:p>
      <w:pPr>
        <w:ind w:right="140"/>
        <w:spacing w:after="0" w:line="323" w:lineRule="auto"/>
        <w:rPr>
          <w:sz w:val="20"/>
          <w:szCs w:val="20"/>
          <w:color w:val="auto"/>
        </w:rPr>
      </w:pPr>
      <w:r>
        <w:rPr>
          <w:rFonts w:ascii="Arial" w:cs="Arial" w:eastAsia="Arial" w:hAnsi="Arial"/>
          <w:sz w:val="11"/>
          <w:szCs w:val="11"/>
          <w:color w:val="auto"/>
        </w:rPr>
        <w:t>transactions, Uniti will acquire and leaseback to TPx, on a triple-net basis, 38,000 fiber strand miles located across California, Nevada, Texas, and Massachusetts. In addition, Uniti will acquire and have exclusive use of 7,000 fiber strand miles located in Texas, which are adjacent to Uniti Fiber’s southern network footprint. Uniti will also have non-exclusive rights to market, on behalf of TPx, certain of the fiber assets in California and Massachusetts.</w:t>
      </w:r>
    </w:p>
    <w:p>
      <w:pPr>
        <w:spacing w:after="0" w:line="92" w:lineRule="exact"/>
        <w:rPr>
          <w:sz w:val="20"/>
          <w:szCs w:val="20"/>
          <w:color w:val="auto"/>
        </w:rPr>
      </w:pPr>
    </w:p>
    <w:p>
      <w:pPr>
        <w:ind w:right="140"/>
        <w:spacing w:after="0" w:line="323" w:lineRule="auto"/>
        <w:rPr>
          <w:sz w:val="20"/>
          <w:szCs w:val="20"/>
          <w:color w:val="auto"/>
        </w:rPr>
      </w:pPr>
      <w:r>
        <w:rPr>
          <w:rFonts w:ascii="Arial" w:cs="Arial" w:eastAsia="Arial" w:hAnsi="Arial"/>
          <w:sz w:val="11"/>
          <w:szCs w:val="11"/>
          <w:color w:val="auto"/>
        </w:rPr>
        <w:t>The transactions are subject to customary closing conditions and are expected to close in two tranches, with the non-California assets expected to close in the second quarter of 2018 and the remaining California assets to close in the third quarter of 2018. The initial lease term will be 15 years with five 5-year renewal options at TPx’s discretion. Upon the closing of both transactions, annual cash rent will initially be $8.8 million with a fixed annual escalator of 1.5%.</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23. Supplemental Guarantor Information</w:t>
      </w:r>
    </w:p>
    <w:p>
      <w:pPr>
        <w:spacing w:after="0" w:line="82" w:lineRule="exact"/>
        <w:rPr>
          <w:sz w:val="20"/>
          <w:szCs w:val="20"/>
          <w:color w:val="auto"/>
        </w:rPr>
      </w:pPr>
    </w:p>
    <w:p>
      <w:pPr>
        <w:ind w:right="120"/>
        <w:spacing w:after="0" w:line="340" w:lineRule="auto"/>
        <w:rPr>
          <w:sz w:val="20"/>
          <w:szCs w:val="20"/>
          <w:color w:val="auto"/>
        </w:rPr>
      </w:pPr>
      <w:r>
        <w:rPr>
          <w:rFonts w:ascii="Arial" w:cs="Arial" w:eastAsia="Arial" w:hAnsi="Arial"/>
          <w:sz w:val="10"/>
          <w:szCs w:val="10"/>
          <w:color w:val="auto"/>
        </w:rPr>
        <w:t>Pursuant to SEC Regulation S-X Rule 3-10 “Financial statements of guarantors and issuers of guaranteed securities registered or being registered,” the Company historically has provided condensed consolidating financial information for CSL Capital and the Guarantors because the 2023 Notes and the guarantees thereof were previously registered with the SEC under the Securities Act of 1933, as amended. Effective as of May 9, 2017 (the effective date of the previously announced up-REIT Reorganization (see Note 9)), the 2023 Notes ceased to be an obligation of the Company, and the Company was no longer required to provide supplemental guarantor information related to the 2023 Notes.</w:t>
      </w:r>
    </w:p>
    <w:p>
      <w:pPr>
        <w:spacing w:after="0" w:line="2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24. Quarterly Results of Operations (unaudited)</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color w:val="auto"/>
        </w:rPr>
        <w:t>Selected quarterly information for each of the four quarters in the year ended December 31, 2017:</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80"/>
              </w:rPr>
              <w:t>2017</w:t>
            </w:r>
          </w:p>
        </w:tc>
        <w:tc>
          <w:tcPr>
            <w:tcW w:w="28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70"/>
        </w:trPr>
        <w:tc>
          <w:tcPr>
            <w:tcW w:w="5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ind w:right="69"/>
              <w:spacing w:after="0"/>
              <w:rPr>
                <w:sz w:val="20"/>
                <w:szCs w:val="20"/>
                <w:color w:val="auto"/>
              </w:rPr>
            </w:pPr>
            <w:r>
              <w:rPr>
                <w:rFonts w:ascii="Arial" w:cs="Arial" w:eastAsia="Arial" w:hAnsi="Arial"/>
                <w:sz w:val="10"/>
                <w:szCs w:val="10"/>
                <w:b w:val="1"/>
                <w:bCs w:val="1"/>
                <w:color w:val="auto"/>
              </w:rPr>
              <w:t>First</w:t>
            </w: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Second</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gridSpan w:val="2"/>
          </w:tcPr>
          <w:p>
            <w:pPr>
              <w:jc w:val="right"/>
              <w:ind w:right="700"/>
              <w:spacing w:after="0"/>
              <w:rPr>
                <w:sz w:val="20"/>
                <w:szCs w:val="20"/>
                <w:color w:val="auto"/>
              </w:rPr>
            </w:pPr>
            <w:r>
              <w:rPr>
                <w:rFonts w:ascii="Arial" w:cs="Arial" w:eastAsia="Arial" w:hAnsi="Arial"/>
                <w:sz w:val="10"/>
                <w:szCs w:val="10"/>
                <w:b w:val="1"/>
                <w:bCs w:val="1"/>
                <w:color w:val="auto"/>
              </w:rPr>
              <w:t>Third</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0"/>
                <w:szCs w:val="10"/>
                <w:b w:val="1"/>
                <w:bCs w:val="1"/>
                <w:color w:val="auto"/>
              </w:rPr>
              <w:t>Fourth</w:t>
            </w:r>
          </w:p>
        </w:tc>
        <w:tc>
          <w:tcPr>
            <w:tcW w:w="20" w:type="dxa"/>
            <w:vAlign w:val="bottom"/>
          </w:tcPr>
          <w:p>
            <w:pPr>
              <w:spacing w:after="0"/>
              <w:rPr>
                <w:sz w:val="14"/>
                <w:szCs w:val="14"/>
                <w:color w:val="auto"/>
              </w:rPr>
            </w:pPr>
          </w:p>
        </w:tc>
      </w:tr>
      <w:tr>
        <w:trPr>
          <w:trHeight w:val="152"/>
        </w:trPr>
        <w:tc>
          <w:tcPr>
            <w:tcW w:w="514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(Thousands, except per share data)</w:t>
            </w:r>
          </w:p>
        </w:tc>
        <w:tc>
          <w:tcPr>
            <w:tcW w:w="160" w:type="dxa"/>
            <w:vAlign w:val="bottom"/>
            <w:tcBorders>
              <w:bottom w:val="single" w:sz="8" w:color="CFF0FC"/>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Quarter</w:t>
            </w:r>
          </w:p>
        </w:tc>
        <w:tc>
          <w:tcPr>
            <w:tcW w:w="460" w:type="dxa"/>
            <w:vAlign w:val="bottom"/>
            <w:tcBorders>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23"/>
              <w:spacing w:after="0"/>
              <w:rPr>
                <w:sz w:val="20"/>
                <w:szCs w:val="20"/>
                <w:color w:val="auto"/>
              </w:rPr>
            </w:pPr>
            <w:r>
              <w:rPr>
                <w:rFonts w:ascii="Arial" w:cs="Arial" w:eastAsia="Arial" w:hAnsi="Arial"/>
                <w:sz w:val="10"/>
                <w:szCs w:val="10"/>
                <w:b w:val="1"/>
                <w:bCs w:val="1"/>
                <w:color w:val="auto"/>
              </w:rPr>
              <w:t>Quarter</w:t>
            </w:r>
          </w:p>
        </w:tc>
        <w:tc>
          <w:tcPr>
            <w:tcW w:w="40" w:type="dxa"/>
            <w:vAlign w:val="bottom"/>
            <w:tcBorders>
              <w:bottom w:val="single" w:sz="8" w:color="CFF0FC"/>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43"/>
              <w:spacing w:after="0"/>
              <w:rPr>
                <w:sz w:val="20"/>
                <w:szCs w:val="20"/>
                <w:color w:val="auto"/>
              </w:rPr>
            </w:pPr>
            <w:r>
              <w:rPr>
                <w:rFonts w:ascii="Arial" w:cs="Arial" w:eastAsia="Arial" w:hAnsi="Arial"/>
                <w:sz w:val="10"/>
                <w:szCs w:val="10"/>
                <w:b w:val="1"/>
                <w:bCs w:val="1"/>
                <w:color w:val="auto"/>
              </w:rPr>
              <w:t>Quarter</w:t>
            </w:r>
          </w:p>
        </w:tc>
        <w:tc>
          <w:tcPr>
            <w:tcW w:w="14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42"/>
              <w:spacing w:after="0"/>
              <w:rPr>
                <w:sz w:val="20"/>
                <w:szCs w:val="20"/>
                <w:color w:val="auto"/>
              </w:rPr>
            </w:pPr>
            <w:r>
              <w:rPr>
                <w:rFonts w:ascii="Arial" w:cs="Arial" w:eastAsia="Arial" w:hAnsi="Arial"/>
                <w:sz w:val="10"/>
                <w:szCs w:val="10"/>
                <w:b w:val="1"/>
                <w:bCs w:val="1"/>
                <w:color w:val="auto"/>
              </w:rPr>
              <w:t>Quarter</w:t>
            </w:r>
          </w:p>
        </w:tc>
        <w:tc>
          <w:tcPr>
            <w:tcW w:w="12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r>
      <w:tr>
        <w:trPr>
          <w:trHeight w:val="142"/>
        </w:trPr>
        <w:tc>
          <w:tcPr>
            <w:tcW w:w="53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Total revenues</w:t>
            </w:r>
          </w:p>
        </w:tc>
        <w:tc>
          <w:tcPr>
            <w:tcW w:w="860" w:type="dxa"/>
            <w:vAlign w:val="bottom"/>
            <w:shd w:val="clear" w:color="auto" w:fill="CFF0FC"/>
          </w:tcPr>
          <w:p>
            <w:pPr>
              <w:jc w:val="right"/>
              <w:ind w:right="749"/>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6"/>
              </w:rPr>
              <w:t>211,473</w:t>
            </w:r>
          </w:p>
        </w:tc>
        <w:tc>
          <w:tcPr>
            <w:tcW w:w="260" w:type="dxa"/>
            <w:vAlign w:val="bottom"/>
            <w:shd w:val="clear" w:color="auto" w:fill="CFF0FC"/>
          </w:tcPr>
          <w:p>
            <w:pPr>
              <w:spacing w:after="0"/>
              <w:rPr>
                <w:sz w:val="12"/>
                <w:szCs w:val="12"/>
                <w:color w:val="auto"/>
              </w:rPr>
            </w:pPr>
          </w:p>
        </w:tc>
        <w:tc>
          <w:tcPr>
            <w:tcW w:w="260" w:type="dxa"/>
            <w:vAlign w:val="bottom"/>
            <w:shd w:val="clear" w:color="auto" w:fill="CFF0FC"/>
          </w:tcPr>
          <w:p>
            <w:pPr>
              <w:jc w:val="right"/>
              <w:ind w:right="150"/>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213,013</w:t>
            </w:r>
          </w:p>
        </w:tc>
        <w:tc>
          <w:tcPr>
            <w:tcW w:w="40" w:type="dxa"/>
            <w:vAlign w:val="bottom"/>
            <w:shd w:val="clear" w:color="auto" w:fill="CFF0FC"/>
          </w:tcPr>
          <w:p>
            <w:pPr>
              <w:spacing w:after="0"/>
              <w:rPr>
                <w:sz w:val="12"/>
                <w:szCs w:val="12"/>
                <w:color w:val="auto"/>
              </w:rPr>
            </w:pPr>
          </w:p>
        </w:tc>
        <w:tc>
          <w:tcPr>
            <w:tcW w:w="50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245,210</w:t>
            </w:r>
          </w:p>
        </w:tc>
        <w:tc>
          <w:tcPr>
            <w:tcW w:w="140" w:type="dxa"/>
            <w:vAlign w:val="bottom"/>
            <w:shd w:val="clear" w:color="auto" w:fill="CFF0FC"/>
          </w:tcPr>
          <w:p>
            <w:pPr>
              <w:spacing w:after="0"/>
              <w:rPr>
                <w:sz w:val="12"/>
                <w:szCs w:val="12"/>
                <w:color w:val="auto"/>
              </w:rPr>
            </w:pPr>
          </w:p>
        </w:tc>
        <w:tc>
          <w:tcPr>
            <w:tcW w:w="38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246,336</w:t>
            </w:r>
          </w:p>
        </w:tc>
        <w:tc>
          <w:tcPr>
            <w:tcW w:w="12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r>
      <w:tr>
        <w:trPr>
          <w:trHeight w:val="153"/>
        </w:trPr>
        <w:tc>
          <w:tcPr>
            <w:tcW w:w="5300" w:type="dxa"/>
            <w:vAlign w:val="bottom"/>
            <w:gridSpan w:val="2"/>
          </w:tcPr>
          <w:p>
            <w:pPr>
              <w:spacing w:after="0"/>
              <w:rPr>
                <w:sz w:val="20"/>
                <w:szCs w:val="20"/>
                <w:color w:val="auto"/>
              </w:rPr>
            </w:pPr>
            <w:r>
              <w:rPr>
                <w:rFonts w:ascii="Arial" w:cs="Arial" w:eastAsia="Arial" w:hAnsi="Arial"/>
                <w:sz w:val="12"/>
                <w:szCs w:val="12"/>
                <w:color w:val="auto"/>
              </w:rPr>
              <w:t>Loss before income taxes</w:t>
            </w:r>
          </w:p>
        </w:tc>
        <w:tc>
          <w:tcPr>
            <w:tcW w:w="860" w:type="dxa"/>
            <w:vAlign w:val="bottom"/>
          </w:tcPr>
          <w:p>
            <w:pPr>
              <w:spacing w:after="0"/>
              <w:rPr>
                <w:sz w:val="13"/>
                <w:szCs w:val="13"/>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2"/>
                <w:szCs w:val="12"/>
                <w:color w:val="auto"/>
              </w:rPr>
              <w:t>(20,379)</w:t>
            </w:r>
          </w:p>
        </w:tc>
        <w:tc>
          <w:tcPr>
            <w:tcW w:w="260" w:type="dxa"/>
            <w:vAlign w:val="bottom"/>
          </w:tcPr>
          <w:p>
            <w:pPr>
              <w:spacing w:after="0"/>
              <w:rPr>
                <w:sz w:val="13"/>
                <w:szCs w:val="13"/>
                <w:color w:val="auto"/>
              </w:rPr>
            </w:pPr>
          </w:p>
        </w:tc>
        <w:tc>
          <w:tcPr>
            <w:tcW w:w="1080" w:type="dxa"/>
            <w:vAlign w:val="bottom"/>
            <w:gridSpan w:val="2"/>
          </w:tcPr>
          <w:p>
            <w:pPr>
              <w:jc w:val="right"/>
              <w:spacing w:after="0"/>
              <w:rPr>
                <w:sz w:val="20"/>
                <w:szCs w:val="20"/>
                <w:color w:val="auto"/>
              </w:rPr>
            </w:pPr>
            <w:r>
              <w:rPr>
                <w:rFonts w:ascii="Arial" w:cs="Arial" w:eastAsia="Arial" w:hAnsi="Arial"/>
                <w:sz w:val="12"/>
                <w:szCs w:val="12"/>
                <w:color w:val="auto"/>
              </w:rPr>
              <w:t>(16,385)</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2"/>
                <w:szCs w:val="12"/>
                <w:color w:val="auto"/>
              </w:rPr>
              <w:t>(3,837)</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2"/>
                <w:szCs w:val="12"/>
                <w:color w:val="auto"/>
              </w:rPr>
              <w:t>(7,076)</w:t>
            </w:r>
          </w:p>
        </w:tc>
        <w:tc>
          <w:tcPr>
            <w:tcW w:w="20" w:type="dxa"/>
            <w:vAlign w:val="bottom"/>
          </w:tcPr>
          <w:p>
            <w:pPr>
              <w:spacing w:after="0"/>
              <w:rPr>
                <w:sz w:val="13"/>
                <w:szCs w:val="13"/>
                <w:color w:val="auto"/>
              </w:rPr>
            </w:pPr>
          </w:p>
        </w:tc>
      </w:tr>
      <w:tr>
        <w:trPr>
          <w:trHeight w:val="153"/>
        </w:trPr>
        <w:tc>
          <w:tcPr>
            <w:tcW w:w="53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Net (loss) income</w:t>
            </w:r>
          </w:p>
        </w:tc>
        <w:tc>
          <w:tcPr>
            <w:tcW w:w="86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(20,000)</w:t>
            </w:r>
          </w:p>
        </w:tc>
        <w:tc>
          <w:tcPr>
            <w:tcW w:w="26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(16,460)</w:t>
            </w:r>
          </w:p>
        </w:tc>
        <w:tc>
          <w:tcPr>
            <w:tcW w:w="2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4,835</w:t>
            </w: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22,797</w:t>
            </w: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5300" w:type="dxa"/>
            <w:vAlign w:val="bottom"/>
            <w:gridSpan w:val="2"/>
          </w:tcPr>
          <w:p>
            <w:pPr>
              <w:spacing w:after="0"/>
              <w:rPr>
                <w:sz w:val="20"/>
                <w:szCs w:val="20"/>
                <w:color w:val="auto"/>
              </w:rPr>
            </w:pPr>
            <w:r>
              <w:rPr>
                <w:rFonts w:ascii="Arial" w:cs="Arial" w:eastAsia="Arial" w:hAnsi="Arial"/>
                <w:sz w:val="12"/>
                <w:szCs w:val="12"/>
                <w:color w:val="auto"/>
              </w:rPr>
              <w:t>Net (loss) income attributable to common shareholders</w:t>
            </w:r>
          </w:p>
        </w:tc>
        <w:tc>
          <w:tcPr>
            <w:tcW w:w="860" w:type="dxa"/>
            <w:vAlign w:val="bottom"/>
          </w:tcPr>
          <w:p>
            <w:pPr>
              <w:spacing w:after="0"/>
              <w:rPr>
                <w:sz w:val="13"/>
                <w:szCs w:val="13"/>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2"/>
                <w:szCs w:val="12"/>
                <w:color w:val="auto"/>
              </w:rPr>
              <w:t>(21,788)</w:t>
            </w:r>
          </w:p>
        </w:tc>
        <w:tc>
          <w:tcPr>
            <w:tcW w:w="260" w:type="dxa"/>
            <w:vAlign w:val="bottom"/>
          </w:tcPr>
          <w:p>
            <w:pPr>
              <w:spacing w:after="0"/>
              <w:rPr>
                <w:sz w:val="13"/>
                <w:szCs w:val="13"/>
                <w:color w:val="auto"/>
              </w:rPr>
            </w:pPr>
          </w:p>
        </w:tc>
        <w:tc>
          <w:tcPr>
            <w:tcW w:w="1080" w:type="dxa"/>
            <w:vAlign w:val="bottom"/>
            <w:gridSpan w:val="2"/>
          </w:tcPr>
          <w:p>
            <w:pPr>
              <w:jc w:val="right"/>
              <w:spacing w:after="0"/>
              <w:rPr>
                <w:sz w:val="20"/>
                <w:szCs w:val="20"/>
                <w:color w:val="auto"/>
              </w:rPr>
            </w:pPr>
            <w:r>
              <w:rPr>
                <w:rFonts w:ascii="Arial" w:cs="Arial" w:eastAsia="Arial" w:hAnsi="Arial"/>
                <w:sz w:val="12"/>
                <w:szCs w:val="12"/>
                <w:color w:val="auto"/>
              </w:rPr>
              <w:t>(18,242)</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2,939</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20,539</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51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5300" w:type="dxa"/>
            <w:vAlign w:val="bottom"/>
            <w:gridSpan w:val="2"/>
          </w:tcPr>
          <w:p>
            <w:pPr>
              <w:spacing w:after="0"/>
              <w:rPr>
                <w:sz w:val="20"/>
                <w:szCs w:val="20"/>
                <w:color w:val="auto"/>
              </w:rPr>
            </w:pPr>
            <w:r>
              <w:rPr>
                <w:rFonts w:ascii="Arial" w:cs="Arial" w:eastAsia="Arial" w:hAnsi="Arial"/>
                <w:sz w:val="12"/>
                <w:szCs w:val="12"/>
                <w:color w:val="auto"/>
              </w:rPr>
              <w:t>Basic (loss) earnings per common share</w:t>
            </w:r>
          </w:p>
        </w:tc>
        <w:tc>
          <w:tcPr>
            <w:tcW w:w="860" w:type="dxa"/>
            <w:vAlign w:val="bottom"/>
          </w:tcPr>
          <w:p>
            <w:pPr>
              <w:jc w:val="right"/>
              <w:ind w:right="749"/>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220"/>
              <w:spacing w:after="0"/>
              <w:rPr>
                <w:sz w:val="20"/>
                <w:szCs w:val="20"/>
                <w:color w:val="auto"/>
              </w:rPr>
            </w:pPr>
            <w:r>
              <w:rPr>
                <w:rFonts w:ascii="Arial" w:cs="Arial" w:eastAsia="Arial" w:hAnsi="Arial"/>
                <w:sz w:val="12"/>
                <w:szCs w:val="12"/>
                <w:color w:val="auto"/>
              </w:rPr>
              <w:t>(0.14)</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spacing w:after="0"/>
              <w:rPr>
                <w:sz w:val="20"/>
                <w:szCs w:val="20"/>
                <w:color w:val="auto"/>
              </w:rPr>
            </w:pPr>
            <w:r>
              <w:rPr>
                <w:rFonts w:ascii="Arial" w:cs="Arial" w:eastAsia="Arial" w:hAnsi="Arial"/>
                <w:sz w:val="12"/>
                <w:szCs w:val="12"/>
                <w:color w:val="auto"/>
              </w:rPr>
              <w:t>(0.11)</w:t>
            </w:r>
          </w:p>
        </w:tc>
        <w:tc>
          <w:tcPr>
            <w:tcW w:w="5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0.02</w:t>
            </w:r>
          </w:p>
        </w:tc>
        <w:tc>
          <w:tcPr>
            <w:tcW w:w="140" w:type="dxa"/>
            <w:vAlign w:val="bottom"/>
          </w:tcPr>
          <w:p>
            <w:pPr>
              <w:spacing w:after="0"/>
              <w:rPr>
                <w:sz w:val="13"/>
                <w:szCs w:val="13"/>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0.12</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53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Diluted (loss) earnings per common share</w:t>
            </w:r>
          </w:p>
        </w:tc>
        <w:tc>
          <w:tcPr>
            <w:tcW w:w="860" w:type="dxa"/>
            <w:vAlign w:val="bottom"/>
            <w:shd w:val="clear" w:color="auto" w:fill="CFF0FC"/>
          </w:tcPr>
          <w:p>
            <w:pPr>
              <w:jc w:val="right"/>
              <w:ind w:right="749"/>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(0.14)</w:t>
            </w:r>
          </w:p>
        </w:tc>
        <w:tc>
          <w:tcPr>
            <w:tcW w:w="260" w:type="dxa"/>
            <w:vAlign w:val="bottom"/>
            <w:shd w:val="clear" w:color="auto" w:fill="CFF0FC"/>
          </w:tcPr>
          <w:p>
            <w:pPr>
              <w:jc w:val="right"/>
              <w:ind w:right="150"/>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(0.11)</w:t>
            </w:r>
          </w:p>
        </w:tc>
        <w:tc>
          <w:tcPr>
            <w:tcW w:w="50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(0.02)</w:t>
            </w:r>
          </w:p>
        </w:tc>
        <w:tc>
          <w:tcPr>
            <w:tcW w:w="38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0.12</w:t>
            </w: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5300" w:type="dxa"/>
            <w:vAlign w:val="bottom"/>
            <w:gridSpan w:val="2"/>
          </w:tcPr>
          <w:p>
            <w:pPr>
              <w:spacing w:after="0"/>
              <w:rPr>
                <w:sz w:val="20"/>
                <w:szCs w:val="20"/>
                <w:color w:val="auto"/>
              </w:rPr>
            </w:pPr>
            <w:r>
              <w:rPr>
                <w:rFonts w:ascii="Arial" w:cs="Arial" w:eastAsia="Arial" w:hAnsi="Arial"/>
                <w:sz w:val="12"/>
                <w:szCs w:val="12"/>
                <w:color w:val="auto"/>
              </w:rPr>
              <w:t>Dividends declared per common share</w:t>
            </w:r>
          </w:p>
        </w:tc>
        <w:tc>
          <w:tcPr>
            <w:tcW w:w="860" w:type="dxa"/>
            <w:vAlign w:val="bottom"/>
          </w:tcPr>
          <w:p>
            <w:pPr>
              <w:jc w:val="right"/>
              <w:ind w:right="749"/>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2"/>
                <w:szCs w:val="12"/>
                <w:color w:val="auto"/>
              </w:rPr>
              <w:t>0.60</w:t>
            </w:r>
          </w:p>
        </w:tc>
        <w:tc>
          <w:tcPr>
            <w:tcW w:w="260" w:type="dxa"/>
            <w:vAlign w:val="bottom"/>
          </w:tcPr>
          <w:p>
            <w:pPr>
              <w:spacing w:after="0"/>
              <w:rPr>
                <w:sz w:val="13"/>
                <w:szCs w:val="13"/>
                <w:color w:val="auto"/>
              </w:rPr>
            </w:pP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0.60</w:t>
            </w:r>
          </w:p>
        </w:tc>
        <w:tc>
          <w:tcPr>
            <w:tcW w:w="40" w:type="dxa"/>
            <w:vAlign w:val="bottom"/>
          </w:tcPr>
          <w:p>
            <w:pPr>
              <w:spacing w:after="0"/>
              <w:rPr>
                <w:sz w:val="13"/>
                <w:szCs w:val="13"/>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0.60</w:t>
            </w:r>
          </w:p>
        </w:tc>
        <w:tc>
          <w:tcPr>
            <w:tcW w:w="140" w:type="dxa"/>
            <w:vAlign w:val="bottom"/>
          </w:tcPr>
          <w:p>
            <w:pPr>
              <w:spacing w:after="0"/>
              <w:rPr>
                <w:sz w:val="13"/>
                <w:szCs w:val="13"/>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0.60</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88"/>
        </w:trPr>
        <w:tc>
          <w:tcPr>
            <w:tcW w:w="5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ind w:right="309"/>
              <w:spacing w:after="0"/>
              <w:rPr>
                <w:sz w:val="20"/>
                <w:szCs w:val="20"/>
                <w:color w:val="auto"/>
              </w:rPr>
            </w:pPr>
            <w:r>
              <w:rPr>
                <w:rFonts w:ascii="Arial" w:cs="Arial" w:eastAsia="Arial" w:hAnsi="Arial"/>
                <w:sz w:val="12"/>
                <w:szCs w:val="12"/>
                <w:color w:val="auto"/>
              </w:rPr>
              <w:t>93</w:t>
            </w: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2"/>
        </w:trPr>
        <w:tc>
          <w:tcPr>
            <w:tcW w:w="514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46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7280275</wp:posOffset>
            </wp:positionH>
            <wp:positionV relativeFrom="paragraph">
              <wp:posOffset>-23495</wp:posOffset>
            </wp:positionV>
            <wp:extent cx="31115" cy="368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0">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1">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0"/>
          </w:cols>
          <w:pgMar w:left="220" w:top="131" w:right="179" w:bottom="1440" w:gutter="0" w:footer="0" w:header="0"/>
        </w:sectPr>
      </w:pPr>
    </w:p>
    <w:bookmarkStart w:id="93" w:name="page94"/>
    <w:bookmarkEnd w:id="93"/>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Uniti Group Inc.</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the Consolidated Financial Statements – Continued</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2"/>
          <w:szCs w:val="12"/>
          <w:color w:val="auto"/>
        </w:rPr>
        <w:t>Selected quarterly information for each of the four quarters in the year ended December 31, 2016:</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80"/>
              </w:rPr>
              <w:t>2016</w:t>
            </w:r>
          </w:p>
        </w:tc>
        <w:tc>
          <w:tcPr>
            <w:tcW w:w="28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170"/>
        </w:trPr>
        <w:tc>
          <w:tcPr>
            <w:tcW w:w="5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ind w:right="71"/>
              <w:spacing w:after="0"/>
              <w:rPr>
                <w:sz w:val="20"/>
                <w:szCs w:val="20"/>
                <w:color w:val="auto"/>
              </w:rPr>
            </w:pPr>
            <w:r>
              <w:rPr>
                <w:rFonts w:ascii="Arial" w:cs="Arial" w:eastAsia="Arial" w:hAnsi="Arial"/>
                <w:sz w:val="10"/>
                <w:szCs w:val="10"/>
                <w:b w:val="1"/>
                <w:bCs w:val="1"/>
                <w:color w:val="auto"/>
              </w:rPr>
              <w:t>First</w:t>
            </w: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Second</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gridSpan w:val="2"/>
          </w:tcPr>
          <w:p>
            <w:pPr>
              <w:jc w:val="right"/>
              <w:ind w:right="700"/>
              <w:spacing w:after="0"/>
              <w:rPr>
                <w:sz w:val="20"/>
                <w:szCs w:val="20"/>
                <w:color w:val="auto"/>
              </w:rPr>
            </w:pPr>
            <w:r>
              <w:rPr>
                <w:rFonts w:ascii="Arial" w:cs="Arial" w:eastAsia="Arial" w:hAnsi="Arial"/>
                <w:sz w:val="10"/>
                <w:szCs w:val="10"/>
                <w:b w:val="1"/>
                <w:bCs w:val="1"/>
                <w:color w:val="auto"/>
              </w:rPr>
              <w:t>Third</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0"/>
                <w:szCs w:val="10"/>
                <w:b w:val="1"/>
                <w:bCs w:val="1"/>
                <w:color w:val="auto"/>
              </w:rPr>
              <w:t>Fourth</w:t>
            </w:r>
          </w:p>
        </w:tc>
      </w:tr>
      <w:tr>
        <w:trPr>
          <w:trHeight w:val="152"/>
        </w:trPr>
        <w:tc>
          <w:tcPr>
            <w:tcW w:w="514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(Thousands, except per share data)</w:t>
            </w:r>
          </w:p>
        </w:tc>
        <w:tc>
          <w:tcPr>
            <w:tcW w:w="160" w:type="dxa"/>
            <w:vAlign w:val="bottom"/>
            <w:tcBorders>
              <w:bottom w:val="single" w:sz="8" w:color="CFF0FC"/>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Quarter</w:t>
            </w:r>
          </w:p>
        </w:tc>
        <w:tc>
          <w:tcPr>
            <w:tcW w:w="460" w:type="dxa"/>
            <w:vAlign w:val="bottom"/>
            <w:tcBorders>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23"/>
              <w:spacing w:after="0"/>
              <w:rPr>
                <w:sz w:val="20"/>
                <w:szCs w:val="20"/>
                <w:color w:val="auto"/>
              </w:rPr>
            </w:pPr>
            <w:r>
              <w:rPr>
                <w:rFonts w:ascii="Arial" w:cs="Arial" w:eastAsia="Arial" w:hAnsi="Arial"/>
                <w:sz w:val="10"/>
                <w:szCs w:val="10"/>
                <w:b w:val="1"/>
                <w:bCs w:val="1"/>
                <w:color w:val="auto"/>
              </w:rPr>
              <w:t>Quarter</w:t>
            </w:r>
          </w:p>
        </w:tc>
        <w:tc>
          <w:tcPr>
            <w:tcW w:w="40" w:type="dxa"/>
            <w:vAlign w:val="bottom"/>
            <w:tcBorders>
              <w:bottom w:val="single" w:sz="8" w:color="CFF0FC"/>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43"/>
              <w:spacing w:after="0"/>
              <w:rPr>
                <w:sz w:val="20"/>
                <w:szCs w:val="20"/>
                <w:color w:val="auto"/>
              </w:rPr>
            </w:pPr>
            <w:r>
              <w:rPr>
                <w:rFonts w:ascii="Arial" w:cs="Arial" w:eastAsia="Arial" w:hAnsi="Arial"/>
                <w:sz w:val="10"/>
                <w:szCs w:val="10"/>
                <w:b w:val="1"/>
                <w:bCs w:val="1"/>
                <w:color w:val="auto"/>
              </w:rPr>
              <w:t>Quarter</w:t>
            </w:r>
          </w:p>
        </w:tc>
        <w:tc>
          <w:tcPr>
            <w:tcW w:w="14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43"/>
              <w:spacing w:after="0"/>
              <w:rPr>
                <w:sz w:val="20"/>
                <w:szCs w:val="20"/>
                <w:color w:val="auto"/>
              </w:rPr>
            </w:pPr>
            <w:r>
              <w:rPr>
                <w:rFonts w:ascii="Arial" w:cs="Arial" w:eastAsia="Arial" w:hAnsi="Arial"/>
                <w:sz w:val="10"/>
                <w:szCs w:val="10"/>
                <w:b w:val="1"/>
                <w:bCs w:val="1"/>
                <w:color w:val="auto"/>
              </w:rPr>
              <w:t>Quarter</w:t>
            </w:r>
          </w:p>
        </w:tc>
        <w:tc>
          <w:tcPr>
            <w:tcW w:w="120" w:type="dxa"/>
            <w:vAlign w:val="bottom"/>
            <w:tcBorders>
              <w:bottom w:val="single" w:sz="8" w:color="CFF0FC"/>
            </w:tcBorders>
          </w:tcPr>
          <w:p>
            <w:pPr>
              <w:spacing w:after="0"/>
              <w:rPr>
                <w:sz w:val="13"/>
                <w:szCs w:val="13"/>
                <w:color w:val="auto"/>
              </w:rPr>
            </w:pPr>
          </w:p>
        </w:tc>
      </w:tr>
      <w:tr>
        <w:trPr>
          <w:trHeight w:val="142"/>
        </w:trPr>
        <w:tc>
          <w:tcPr>
            <w:tcW w:w="53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Total revenues</w:t>
            </w:r>
          </w:p>
        </w:tc>
        <w:tc>
          <w:tcPr>
            <w:tcW w:w="860" w:type="dxa"/>
            <w:vAlign w:val="bottom"/>
            <w:shd w:val="clear" w:color="auto" w:fill="CFF0FC"/>
          </w:tcPr>
          <w:p>
            <w:pPr>
              <w:jc w:val="right"/>
              <w:ind w:right="751"/>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6"/>
              </w:rPr>
              <w:t>174,675</w:t>
            </w:r>
          </w:p>
        </w:tc>
        <w:tc>
          <w:tcPr>
            <w:tcW w:w="260" w:type="dxa"/>
            <w:vAlign w:val="bottom"/>
            <w:shd w:val="clear" w:color="auto" w:fill="CFF0FC"/>
          </w:tcPr>
          <w:p>
            <w:pPr>
              <w:spacing w:after="0"/>
              <w:rPr>
                <w:sz w:val="12"/>
                <w:szCs w:val="12"/>
                <w:color w:val="auto"/>
              </w:rPr>
            </w:pPr>
          </w:p>
        </w:tc>
        <w:tc>
          <w:tcPr>
            <w:tcW w:w="260" w:type="dxa"/>
            <w:vAlign w:val="bottom"/>
            <w:shd w:val="clear" w:color="auto" w:fill="CFF0FC"/>
          </w:tcPr>
          <w:p>
            <w:pPr>
              <w:jc w:val="right"/>
              <w:ind w:right="150"/>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188,573</w:t>
            </w:r>
          </w:p>
        </w:tc>
        <w:tc>
          <w:tcPr>
            <w:tcW w:w="40" w:type="dxa"/>
            <w:vAlign w:val="bottom"/>
            <w:shd w:val="clear" w:color="auto" w:fill="CFF0FC"/>
          </w:tcPr>
          <w:p>
            <w:pPr>
              <w:spacing w:after="0"/>
              <w:rPr>
                <w:sz w:val="12"/>
                <w:szCs w:val="12"/>
                <w:color w:val="auto"/>
              </w:rPr>
            </w:pPr>
          </w:p>
        </w:tc>
        <w:tc>
          <w:tcPr>
            <w:tcW w:w="50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200,240</w:t>
            </w:r>
          </w:p>
        </w:tc>
        <w:tc>
          <w:tcPr>
            <w:tcW w:w="140" w:type="dxa"/>
            <w:vAlign w:val="bottom"/>
            <w:shd w:val="clear" w:color="auto" w:fill="CFF0FC"/>
          </w:tcPr>
          <w:p>
            <w:pPr>
              <w:spacing w:after="0"/>
              <w:rPr>
                <w:sz w:val="12"/>
                <w:szCs w:val="12"/>
                <w:color w:val="auto"/>
              </w:rPr>
            </w:pPr>
          </w:p>
        </w:tc>
        <w:tc>
          <w:tcPr>
            <w:tcW w:w="38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206,920</w:t>
            </w:r>
          </w:p>
        </w:tc>
        <w:tc>
          <w:tcPr>
            <w:tcW w:w="120" w:type="dxa"/>
            <w:vAlign w:val="bottom"/>
            <w:shd w:val="clear" w:color="auto" w:fill="CFF0FC"/>
          </w:tcPr>
          <w:p>
            <w:pPr>
              <w:spacing w:after="0"/>
              <w:rPr>
                <w:sz w:val="12"/>
                <w:szCs w:val="12"/>
                <w:color w:val="auto"/>
              </w:rPr>
            </w:pPr>
          </w:p>
        </w:tc>
      </w:tr>
      <w:tr>
        <w:trPr>
          <w:trHeight w:val="153"/>
        </w:trPr>
        <w:tc>
          <w:tcPr>
            <w:tcW w:w="5300" w:type="dxa"/>
            <w:vAlign w:val="bottom"/>
            <w:gridSpan w:val="2"/>
          </w:tcPr>
          <w:p>
            <w:pPr>
              <w:spacing w:after="0"/>
              <w:rPr>
                <w:sz w:val="20"/>
                <w:szCs w:val="20"/>
                <w:color w:val="auto"/>
              </w:rPr>
            </w:pPr>
            <w:r>
              <w:rPr>
                <w:rFonts w:ascii="Arial" w:cs="Arial" w:eastAsia="Arial" w:hAnsi="Arial"/>
                <w:sz w:val="12"/>
                <w:szCs w:val="12"/>
                <w:color w:val="auto"/>
              </w:rPr>
              <w:t>Income (loss) before income taxes</w:t>
            </w:r>
          </w:p>
        </w:tc>
        <w:tc>
          <w:tcPr>
            <w:tcW w:w="8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8,480</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gridSpan w:val="2"/>
          </w:tcPr>
          <w:p>
            <w:pPr>
              <w:jc w:val="right"/>
              <w:spacing w:after="0"/>
              <w:rPr>
                <w:sz w:val="20"/>
                <w:szCs w:val="20"/>
                <w:color w:val="auto"/>
              </w:rPr>
            </w:pPr>
            <w:r>
              <w:rPr>
                <w:rFonts w:ascii="Arial" w:cs="Arial" w:eastAsia="Arial" w:hAnsi="Arial"/>
                <w:sz w:val="12"/>
                <w:szCs w:val="12"/>
                <w:color w:val="auto"/>
              </w:rPr>
              <w:t>(1,208)</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2"/>
                <w:szCs w:val="12"/>
                <w:color w:val="auto"/>
              </w:rPr>
              <w:t>(2,215)</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2"/>
                <w:szCs w:val="12"/>
                <w:color w:val="auto"/>
              </w:rPr>
              <w:t>(4,752)</w:t>
            </w:r>
          </w:p>
        </w:tc>
      </w:tr>
      <w:tr>
        <w:trPr>
          <w:trHeight w:val="153"/>
        </w:trPr>
        <w:tc>
          <w:tcPr>
            <w:tcW w:w="53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Net income (loss)</w:t>
            </w:r>
          </w:p>
        </w:tc>
        <w:tc>
          <w:tcPr>
            <w:tcW w:w="860" w:type="dxa"/>
            <w:vAlign w:val="bottom"/>
            <w:shd w:val="clear" w:color="auto" w:fill="CFF0FC"/>
          </w:tcPr>
          <w:p>
            <w:pPr>
              <w:spacing w:after="0"/>
              <w:rPr>
                <w:sz w:val="13"/>
                <w:szCs w:val="13"/>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8,036</w:t>
            </w:r>
          </w:p>
        </w:tc>
        <w:tc>
          <w:tcPr>
            <w:tcW w:w="2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(1,535)</w:t>
            </w:r>
          </w:p>
        </w:tc>
        <w:tc>
          <w:tcPr>
            <w:tcW w:w="2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(2,343)</w:t>
            </w:r>
          </w:p>
        </w:tc>
        <w:tc>
          <w:tcPr>
            <w:tcW w:w="1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(4,370)</w:t>
            </w:r>
          </w:p>
        </w:tc>
      </w:tr>
      <w:tr>
        <w:trPr>
          <w:trHeight w:val="153"/>
        </w:trPr>
        <w:tc>
          <w:tcPr>
            <w:tcW w:w="5300" w:type="dxa"/>
            <w:vAlign w:val="bottom"/>
            <w:gridSpan w:val="2"/>
          </w:tcPr>
          <w:p>
            <w:pPr>
              <w:spacing w:after="0"/>
              <w:rPr>
                <w:sz w:val="20"/>
                <w:szCs w:val="20"/>
                <w:color w:val="auto"/>
              </w:rPr>
            </w:pPr>
            <w:r>
              <w:rPr>
                <w:rFonts w:ascii="Arial" w:cs="Arial" w:eastAsia="Arial" w:hAnsi="Arial"/>
                <w:sz w:val="12"/>
                <w:szCs w:val="12"/>
                <w:color w:val="auto"/>
              </w:rPr>
              <w:t>Net income (loss) attributable to common shareholders</w:t>
            </w:r>
          </w:p>
        </w:tc>
        <w:tc>
          <w:tcPr>
            <w:tcW w:w="8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7,681</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gridSpan w:val="2"/>
          </w:tcPr>
          <w:p>
            <w:pPr>
              <w:jc w:val="right"/>
              <w:spacing w:after="0"/>
              <w:rPr>
                <w:sz w:val="20"/>
                <w:szCs w:val="20"/>
                <w:color w:val="auto"/>
              </w:rPr>
            </w:pPr>
            <w:r>
              <w:rPr>
                <w:rFonts w:ascii="Arial" w:cs="Arial" w:eastAsia="Arial" w:hAnsi="Arial"/>
                <w:sz w:val="12"/>
                <w:szCs w:val="12"/>
                <w:color w:val="auto"/>
              </w:rPr>
              <w:t>(2,871)</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2"/>
                <w:szCs w:val="12"/>
                <w:color w:val="auto"/>
              </w:rPr>
              <w:t>(4,144)</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2"/>
                <w:szCs w:val="12"/>
                <w:color w:val="auto"/>
              </w:rPr>
              <w:t>(6,163)</w:t>
            </w:r>
          </w:p>
        </w:tc>
      </w:tr>
      <w:tr>
        <w:trPr>
          <w:trHeight w:val="153"/>
        </w:trPr>
        <w:tc>
          <w:tcPr>
            <w:tcW w:w="51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53"/>
        </w:trPr>
        <w:tc>
          <w:tcPr>
            <w:tcW w:w="5300" w:type="dxa"/>
            <w:vAlign w:val="bottom"/>
            <w:gridSpan w:val="2"/>
          </w:tcPr>
          <w:p>
            <w:pPr>
              <w:spacing w:after="0"/>
              <w:rPr>
                <w:sz w:val="20"/>
                <w:szCs w:val="20"/>
                <w:color w:val="auto"/>
              </w:rPr>
            </w:pPr>
            <w:r>
              <w:rPr>
                <w:rFonts w:ascii="Arial" w:cs="Arial" w:eastAsia="Arial" w:hAnsi="Arial"/>
                <w:sz w:val="12"/>
                <w:szCs w:val="12"/>
                <w:color w:val="auto"/>
              </w:rPr>
              <w:t>Basic earnings (loss) per common share</w:t>
            </w:r>
          </w:p>
        </w:tc>
        <w:tc>
          <w:tcPr>
            <w:tcW w:w="860" w:type="dxa"/>
            <w:vAlign w:val="bottom"/>
          </w:tcPr>
          <w:p>
            <w:pPr>
              <w:jc w:val="right"/>
              <w:ind w:right="751"/>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2"/>
                <w:szCs w:val="12"/>
                <w:color w:val="auto"/>
              </w:rPr>
              <w:t>0.05</w:t>
            </w:r>
          </w:p>
        </w:tc>
        <w:tc>
          <w:tcPr>
            <w:tcW w:w="260" w:type="dxa"/>
            <w:vAlign w:val="bottom"/>
          </w:tcPr>
          <w:p>
            <w:pPr>
              <w:spacing w:after="0"/>
              <w:rPr>
                <w:sz w:val="13"/>
                <w:szCs w:val="13"/>
                <w:color w:val="auto"/>
              </w:rPr>
            </w:pP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spacing w:after="0"/>
              <w:rPr>
                <w:sz w:val="20"/>
                <w:szCs w:val="20"/>
                <w:color w:val="auto"/>
              </w:rPr>
            </w:pPr>
            <w:r>
              <w:rPr>
                <w:rFonts w:ascii="Arial" w:cs="Arial" w:eastAsia="Arial" w:hAnsi="Arial"/>
                <w:sz w:val="12"/>
                <w:szCs w:val="12"/>
                <w:color w:val="auto"/>
              </w:rPr>
              <w:t>(0.02)</w:t>
            </w:r>
          </w:p>
        </w:tc>
        <w:tc>
          <w:tcPr>
            <w:tcW w:w="5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2"/>
                <w:szCs w:val="12"/>
                <w:color w:val="auto"/>
              </w:rPr>
              <w:t>(0.03)</w:t>
            </w:r>
          </w:p>
        </w:tc>
        <w:tc>
          <w:tcPr>
            <w:tcW w:w="3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2"/>
                <w:szCs w:val="12"/>
                <w:color w:val="auto"/>
              </w:rPr>
              <w:t>(0.04)</w:t>
            </w:r>
          </w:p>
        </w:tc>
      </w:tr>
      <w:tr>
        <w:trPr>
          <w:trHeight w:val="153"/>
        </w:trPr>
        <w:tc>
          <w:tcPr>
            <w:tcW w:w="53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Diluted earnings (loss) per common share</w:t>
            </w:r>
          </w:p>
        </w:tc>
        <w:tc>
          <w:tcPr>
            <w:tcW w:w="860" w:type="dxa"/>
            <w:vAlign w:val="bottom"/>
            <w:shd w:val="clear" w:color="auto" w:fill="CFF0FC"/>
          </w:tcPr>
          <w:p>
            <w:pPr>
              <w:jc w:val="right"/>
              <w:ind w:right="751"/>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0.05</w:t>
            </w:r>
          </w:p>
        </w:tc>
        <w:tc>
          <w:tcPr>
            <w:tcW w:w="260" w:type="dxa"/>
            <w:vAlign w:val="bottom"/>
            <w:shd w:val="clear" w:color="auto" w:fill="CFF0FC"/>
          </w:tcPr>
          <w:p>
            <w:pPr>
              <w:spacing w:after="0"/>
              <w:rPr>
                <w:sz w:val="13"/>
                <w:szCs w:val="13"/>
                <w:color w:val="auto"/>
              </w:rPr>
            </w:pPr>
          </w:p>
        </w:tc>
        <w:tc>
          <w:tcPr>
            <w:tcW w:w="260" w:type="dxa"/>
            <w:vAlign w:val="bottom"/>
            <w:shd w:val="clear" w:color="auto" w:fill="CFF0FC"/>
          </w:tcPr>
          <w:p>
            <w:pPr>
              <w:jc w:val="right"/>
              <w:ind w:right="150"/>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(0.02)</w:t>
            </w:r>
          </w:p>
        </w:tc>
        <w:tc>
          <w:tcPr>
            <w:tcW w:w="50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(0.03)</w:t>
            </w:r>
          </w:p>
        </w:tc>
        <w:tc>
          <w:tcPr>
            <w:tcW w:w="38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(0.04)</w:t>
            </w:r>
          </w:p>
        </w:tc>
      </w:tr>
      <w:tr>
        <w:trPr>
          <w:trHeight w:val="153"/>
        </w:trPr>
        <w:tc>
          <w:tcPr>
            <w:tcW w:w="5300" w:type="dxa"/>
            <w:vAlign w:val="bottom"/>
            <w:gridSpan w:val="2"/>
          </w:tcPr>
          <w:p>
            <w:pPr>
              <w:spacing w:after="0"/>
              <w:rPr>
                <w:sz w:val="20"/>
                <w:szCs w:val="20"/>
                <w:color w:val="auto"/>
              </w:rPr>
            </w:pPr>
            <w:r>
              <w:rPr>
                <w:rFonts w:ascii="Arial" w:cs="Arial" w:eastAsia="Arial" w:hAnsi="Arial"/>
                <w:sz w:val="12"/>
                <w:szCs w:val="12"/>
                <w:color w:val="auto"/>
              </w:rPr>
              <w:t>Dividends declared per common share</w:t>
            </w:r>
          </w:p>
        </w:tc>
        <w:tc>
          <w:tcPr>
            <w:tcW w:w="860" w:type="dxa"/>
            <w:vAlign w:val="bottom"/>
          </w:tcPr>
          <w:p>
            <w:pPr>
              <w:jc w:val="right"/>
              <w:ind w:right="751"/>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2"/>
                <w:szCs w:val="12"/>
                <w:color w:val="auto"/>
              </w:rPr>
              <w:t>0.60</w:t>
            </w:r>
          </w:p>
        </w:tc>
        <w:tc>
          <w:tcPr>
            <w:tcW w:w="260" w:type="dxa"/>
            <w:vAlign w:val="bottom"/>
          </w:tcPr>
          <w:p>
            <w:pPr>
              <w:spacing w:after="0"/>
              <w:rPr>
                <w:sz w:val="13"/>
                <w:szCs w:val="13"/>
                <w:color w:val="auto"/>
              </w:rPr>
            </w:pP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0.60</w:t>
            </w:r>
          </w:p>
        </w:tc>
        <w:tc>
          <w:tcPr>
            <w:tcW w:w="40" w:type="dxa"/>
            <w:vAlign w:val="bottom"/>
          </w:tcPr>
          <w:p>
            <w:pPr>
              <w:spacing w:after="0"/>
              <w:rPr>
                <w:sz w:val="13"/>
                <w:szCs w:val="13"/>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0.60</w:t>
            </w:r>
          </w:p>
        </w:tc>
        <w:tc>
          <w:tcPr>
            <w:tcW w:w="140" w:type="dxa"/>
            <w:vAlign w:val="bottom"/>
          </w:tcPr>
          <w:p>
            <w:pPr>
              <w:spacing w:after="0"/>
              <w:rPr>
                <w:sz w:val="13"/>
                <w:szCs w:val="13"/>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0.60</w:t>
            </w:r>
          </w:p>
        </w:tc>
        <w:tc>
          <w:tcPr>
            <w:tcW w:w="120" w:type="dxa"/>
            <w:vAlign w:val="bottom"/>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2">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94" w:name="page95"/>
    <w:bookmarkEnd w:id="94"/>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38" w:lineRule="exact"/>
        <w:rPr>
          <w:sz w:val="20"/>
          <w:szCs w:val="20"/>
          <w:color w:val="auto"/>
        </w:rPr>
      </w:pPr>
    </w:p>
    <w:p>
      <w:pPr>
        <w:jc w:val="center"/>
        <w:ind w:right="-39"/>
        <w:spacing w:after="0"/>
        <w:rPr>
          <w:sz w:val="20"/>
          <w:szCs w:val="20"/>
          <w:color w:val="auto"/>
        </w:rPr>
      </w:pPr>
      <w:r>
        <w:rPr>
          <w:rFonts w:ascii="Arial" w:cs="Arial" w:eastAsia="Arial" w:hAnsi="Arial"/>
          <w:sz w:val="12"/>
          <w:szCs w:val="12"/>
          <w:b w:val="1"/>
          <w:bCs w:val="1"/>
          <w:color w:val="auto"/>
        </w:rPr>
        <w:t>Report of Independent Registered Public Accounting Firm</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color w:val="auto"/>
        </w:rPr>
        <w:t>To the Board of Directors and Shareholders of Uniti Group Inc.</w:t>
      </w:r>
    </w:p>
    <w:p>
      <w:pPr>
        <w:spacing w:after="0" w:line="150" w:lineRule="exact"/>
        <w:rPr>
          <w:sz w:val="20"/>
          <w:szCs w:val="20"/>
          <w:color w:val="auto"/>
        </w:rPr>
      </w:pPr>
    </w:p>
    <w:p>
      <w:pPr>
        <w:ind w:right="20"/>
        <w:spacing w:after="0" w:line="323" w:lineRule="auto"/>
        <w:rPr>
          <w:sz w:val="20"/>
          <w:szCs w:val="20"/>
          <w:color w:val="auto"/>
        </w:rPr>
      </w:pPr>
      <w:r>
        <w:rPr>
          <w:rFonts w:ascii="Arial" w:cs="Arial" w:eastAsia="Arial" w:hAnsi="Arial"/>
          <w:sz w:val="11"/>
          <w:szCs w:val="11"/>
          <w:color w:val="auto"/>
        </w:rPr>
        <w:t>We have audited the accompanying special purpose statement of revenue and direct expenses for the period from January 1, 2015 to April 24, 2015 of the Competitive Local Exchange Carrier (“CLEC”) Business of Windstream Holdings, Inc. This special purpose financial statement is the responsibility of the Company’s management. Our responsibility is to express an opinion on this special purpose financial statement based on our audit.</w:t>
      </w:r>
    </w:p>
    <w:p>
      <w:pPr>
        <w:spacing w:after="0" w:line="92" w:lineRule="exact"/>
        <w:rPr>
          <w:sz w:val="20"/>
          <w:szCs w:val="20"/>
          <w:color w:val="auto"/>
        </w:rPr>
      </w:pPr>
    </w:p>
    <w:p>
      <w:pPr>
        <w:spacing w:after="0" w:line="340" w:lineRule="auto"/>
        <w:rPr>
          <w:sz w:val="20"/>
          <w:szCs w:val="20"/>
          <w:color w:val="auto"/>
        </w:rPr>
      </w:pPr>
      <w:r>
        <w:rPr>
          <w:rFonts w:ascii="Arial" w:cs="Arial" w:eastAsia="Arial" w:hAnsi="Arial"/>
          <w:sz w:val="10"/>
          <w:szCs w:val="10"/>
          <w:color w:val="auto"/>
        </w:rPr>
        <w:t>We conducted our audit in accordance with the standards of the Public Company Accounting Oversight Board (United States). Those standards require that we plan and perform the audit to obtain reasonable assurance about whether the special purpose financial statement is free of material misstatement. An audit includes examining, on a test basis, evidence supporting the amounts and disclosures in the special purpose financial statement. An audit also includes assessing the accounting principles used and significant estimates made by management, as well as evaluating the overall special purpose financial statement presentation. We believe that our audit provides a reasonable basis for our opinion.</w:t>
      </w:r>
    </w:p>
    <w:p>
      <w:pPr>
        <w:spacing w:after="0" w:line="88" w:lineRule="exact"/>
        <w:rPr>
          <w:sz w:val="20"/>
          <w:szCs w:val="20"/>
          <w:color w:val="auto"/>
        </w:rPr>
      </w:pPr>
    </w:p>
    <w:p>
      <w:pPr>
        <w:ind w:right="180"/>
        <w:spacing w:after="0" w:line="276" w:lineRule="auto"/>
        <w:rPr>
          <w:sz w:val="20"/>
          <w:szCs w:val="20"/>
          <w:color w:val="auto"/>
        </w:rPr>
      </w:pPr>
      <w:r>
        <w:rPr>
          <w:rFonts w:ascii="Arial" w:cs="Arial" w:eastAsia="Arial" w:hAnsi="Arial"/>
          <w:sz w:val="12"/>
          <w:szCs w:val="12"/>
          <w:color w:val="auto"/>
        </w:rPr>
        <w:t>The accompanying special purpose financial statement was prepared for the purpose of complying with the rules and regulations of the Securities and Exchange Commission as described in Note 2 and are not intended to be a complete presentation of CLEC’s revenues and expenses.</w:t>
      </w:r>
    </w:p>
    <w:p>
      <w:pPr>
        <w:spacing w:after="0" w:line="115" w:lineRule="exact"/>
        <w:rPr>
          <w:sz w:val="20"/>
          <w:szCs w:val="20"/>
          <w:color w:val="auto"/>
        </w:rPr>
      </w:pPr>
    </w:p>
    <w:p>
      <w:pPr>
        <w:ind w:right="420"/>
        <w:spacing w:after="0" w:line="276" w:lineRule="auto"/>
        <w:rPr>
          <w:sz w:val="20"/>
          <w:szCs w:val="20"/>
          <w:color w:val="auto"/>
        </w:rPr>
      </w:pPr>
      <w:r>
        <w:rPr>
          <w:rFonts w:ascii="Arial" w:cs="Arial" w:eastAsia="Arial" w:hAnsi="Arial"/>
          <w:sz w:val="12"/>
          <w:szCs w:val="12"/>
          <w:color w:val="auto"/>
        </w:rPr>
        <w:t>In our opinion, the special purpose financial statement referred to above present fairly, in all material respects, the revenues and direct expenses for the period from January 1, 2015 through April 24, 2015 of the CLEC Business of Windstream Holdings, Inc. in conformity with accounting principles generally accepted in the United States of America.</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/s/ PricewaterhouseCoopers LLP</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2"/>
          <w:szCs w:val="12"/>
          <w:color w:val="auto"/>
        </w:rPr>
        <w:t>Little Rock, Arkansas</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March 7, 2016</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3">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20"/>
          </w:cols>
          <w:pgMar w:left="220" w:top="131" w:right="259" w:bottom="1440" w:gutter="0" w:footer="0" w:header="0"/>
        </w:sectPr>
      </w:pPr>
    </w:p>
    <w:bookmarkStart w:id="95" w:name="page96"/>
    <w:bookmarkEnd w:id="95"/>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280" w:type="dxa"/>
            <w:vAlign w:val="bottom"/>
          </w:tcPr>
          <w:p>
            <w:pPr>
              <w:spacing w:after="0"/>
              <w:rPr>
                <w:sz w:val="12"/>
                <w:szCs w:val="12"/>
                <w:color w:val="auto"/>
              </w:rPr>
            </w:pPr>
          </w:p>
        </w:tc>
        <w:tc>
          <w:tcPr>
            <w:tcW w:w="6020" w:type="dxa"/>
            <w:vAlign w:val="bottom"/>
            <w:gridSpan w:val="3"/>
          </w:tcPr>
          <w:p>
            <w:pPr>
              <w:jc w:val="right"/>
              <w:ind w:right="2880"/>
              <w:spacing w:after="0"/>
              <w:rPr>
                <w:sz w:val="20"/>
                <w:szCs w:val="20"/>
                <w:color w:val="auto"/>
              </w:rPr>
            </w:pPr>
            <w:r>
              <w:rPr>
                <w:rFonts w:ascii="Arial" w:cs="Arial" w:eastAsia="Arial" w:hAnsi="Arial"/>
                <w:sz w:val="12"/>
                <w:szCs w:val="12"/>
                <w:b w:val="1"/>
                <w:bCs w:val="1"/>
                <w:color w:val="auto"/>
              </w:rPr>
              <w:t>Consumer CLEC Business</w:t>
            </w: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7"/>
        </w:trPr>
        <w:tc>
          <w:tcPr>
            <w:tcW w:w="3280" w:type="dxa"/>
            <w:vAlign w:val="bottom"/>
          </w:tcPr>
          <w:p>
            <w:pPr>
              <w:spacing w:after="0"/>
              <w:rPr>
                <w:sz w:val="13"/>
                <w:szCs w:val="13"/>
                <w:color w:val="auto"/>
              </w:rPr>
            </w:pPr>
          </w:p>
        </w:tc>
        <w:tc>
          <w:tcPr>
            <w:tcW w:w="6020" w:type="dxa"/>
            <w:vAlign w:val="bottom"/>
            <w:gridSpan w:val="3"/>
          </w:tcPr>
          <w:p>
            <w:pPr>
              <w:jc w:val="right"/>
              <w:ind w:right="2440"/>
              <w:spacing w:after="0"/>
              <w:rPr>
                <w:sz w:val="20"/>
                <w:szCs w:val="20"/>
                <w:color w:val="auto"/>
              </w:rPr>
            </w:pPr>
            <w:r>
              <w:rPr>
                <w:rFonts w:ascii="Arial" w:cs="Arial" w:eastAsia="Arial" w:hAnsi="Arial"/>
                <w:sz w:val="12"/>
                <w:szCs w:val="12"/>
                <w:b w:val="1"/>
                <w:bCs w:val="1"/>
                <w:color w:val="auto"/>
              </w:rPr>
              <w:t>Statement of Revenues and Direct Expenses</w:t>
            </w:r>
          </w:p>
        </w:tc>
        <w:tc>
          <w:tcPr>
            <w:tcW w:w="20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38"/>
        </w:trPr>
        <w:tc>
          <w:tcPr>
            <w:tcW w:w="328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180" w:type="dxa"/>
            <w:vAlign w:val="bottom"/>
            <w:gridSpan w:val="2"/>
          </w:tcPr>
          <w:p>
            <w:pPr>
              <w:ind w:left="540"/>
              <w:spacing w:after="0"/>
              <w:rPr>
                <w:sz w:val="20"/>
                <w:szCs w:val="20"/>
                <w:color w:val="auto"/>
              </w:rPr>
            </w:pPr>
            <w:r>
              <w:rPr>
                <w:rFonts w:ascii="Arial" w:cs="Arial" w:eastAsia="Arial" w:hAnsi="Arial"/>
                <w:sz w:val="10"/>
                <w:szCs w:val="10"/>
                <w:b w:val="1"/>
                <w:bCs w:val="1"/>
                <w:color w:val="auto"/>
              </w:rPr>
              <w:t>For the Period</w:t>
            </w:r>
          </w:p>
        </w:tc>
      </w:tr>
      <w:tr>
        <w:trPr>
          <w:trHeight w:val="114"/>
        </w:trPr>
        <w:tc>
          <w:tcPr>
            <w:tcW w:w="3280" w:type="dxa"/>
            <w:vAlign w:val="bottom"/>
            <w:tcBorders>
              <w:bottom w:val="single" w:sz="8" w:color="auto"/>
            </w:tcBorders>
          </w:tcPr>
          <w:p>
            <w:pPr>
              <w:spacing w:after="0" w:line="114" w:lineRule="exact"/>
              <w:rPr>
                <w:sz w:val="20"/>
                <w:szCs w:val="20"/>
                <w:color w:val="auto"/>
              </w:rPr>
            </w:pPr>
            <w:r>
              <w:rPr>
                <w:rFonts w:ascii="Arial" w:cs="Arial" w:eastAsia="Arial" w:hAnsi="Arial"/>
                <w:sz w:val="10"/>
                <w:szCs w:val="10"/>
                <w:color w:val="auto"/>
              </w:rPr>
              <w:t>(Thousands)</w:t>
            </w:r>
          </w:p>
        </w:tc>
        <w:tc>
          <w:tcPr>
            <w:tcW w:w="5340" w:type="dxa"/>
            <w:vAlign w:val="bottom"/>
            <w:tcBorders>
              <w:bottom w:val="single" w:sz="8" w:color="auto"/>
            </w:tcBorders>
          </w:tcPr>
          <w:p>
            <w:pPr>
              <w:spacing w:after="0"/>
              <w:rPr>
                <w:sz w:val="9"/>
                <w:szCs w:val="9"/>
                <w:color w:val="auto"/>
              </w:rPr>
            </w:pPr>
          </w:p>
        </w:tc>
        <w:tc>
          <w:tcPr>
            <w:tcW w:w="320" w:type="dxa"/>
            <w:vAlign w:val="bottom"/>
            <w:tcBorders>
              <w:bottom w:val="single" w:sz="8" w:color="CFF0FC"/>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60" w:type="dxa"/>
            <w:vAlign w:val="bottom"/>
            <w:tcBorders>
              <w:bottom w:val="single" w:sz="8" w:color="auto"/>
            </w:tcBorders>
          </w:tcPr>
          <w:p>
            <w:pPr>
              <w:jc w:val="right"/>
              <w:ind w:right="623"/>
              <w:spacing w:after="0" w:line="114" w:lineRule="exact"/>
              <w:rPr>
                <w:sz w:val="20"/>
                <w:szCs w:val="20"/>
                <w:color w:val="auto"/>
              </w:rPr>
            </w:pPr>
            <w:r>
              <w:rPr>
                <w:rFonts w:ascii="Arial" w:cs="Arial" w:eastAsia="Arial" w:hAnsi="Arial"/>
                <w:sz w:val="10"/>
                <w:szCs w:val="10"/>
                <w:b w:val="1"/>
                <w:bCs w:val="1"/>
                <w:color w:val="auto"/>
              </w:rPr>
              <w:t>January 1 - April 24, 2015</w:t>
            </w:r>
          </w:p>
        </w:tc>
        <w:tc>
          <w:tcPr>
            <w:tcW w:w="120" w:type="dxa"/>
            <w:vAlign w:val="bottom"/>
            <w:tcBorders>
              <w:bottom w:val="single" w:sz="8" w:color="CFF0FC"/>
            </w:tcBorders>
          </w:tcPr>
          <w:p>
            <w:pPr>
              <w:spacing w:after="0"/>
              <w:rPr>
                <w:sz w:val="9"/>
                <w:szCs w:val="9"/>
                <w:color w:val="auto"/>
              </w:rPr>
            </w:pPr>
          </w:p>
        </w:tc>
      </w:tr>
      <w:tr>
        <w:trPr>
          <w:trHeight w:val="142"/>
        </w:trPr>
        <w:tc>
          <w:tcPr>
            <w:tcW w:w="3280" w:type="dxa"/>
            <w:vAlign w:val="bottom"/>
            <w:shd w:val="clear" w:color="auto" w:fill="CFF0FC"/>
          </w:tcPr>
          <w:p>
            <w:pPr>
              <w:spacing w:after="0"/>
              <w:rPr>
                <w:sz w:val="20"/>
                <w:szCs w:val="20"/>
                <w:color w:val="auto"/>
              </w:rPr>
            </w:pPr>
            <w:r>
              <w:rPr>
                <w:rFonts w:ascii="Arial" w:cs="Arial" w:eastAsia="Arial" w:hAnsi="Arial"/>
                <w:sz w:val="12"/>
                <w:szCs w:val="12"/>
                <w:b w:val="1"/>
                <w:bCs w:val="1"/>
                <w:color w:val="auto"/>
              </w:rPr>
              <w:t>Revenues</w:t>
            </w:r>
          </w:p>
        </w:tc>
        <w:tc>
          <w:tcPr>
            <w:tcW w:w="6020" w:type="dxa"/>
            <w:vAlign w:val="bottom"/>
            <w:gridSpan w:val="3"/>
            <w:shd w:val="clear" w:color="auto" w:fill="CFF0FC"/>
          </w:tcPr>
          <w:p>
            <w:pPr>
              <w:jc w:val="right"/>
              <w:ind w:right="300"/>
              <w:spacing w:after="0"/>
              <w:rPr>
                <w:sz w:val="20"/>
                <w:szCs w:val="20"/>
                <w:color w:val="auto"/>
              </w:rPr>
            </w:pPr>
            <w:r>
              <w:rPr>
                <w:rFonts w:ascii="Arial" w:cs="Arial" w:eastAsia="Arial" w:hAnsi="Arial"/>
                <w:sz w:val="12"/>
                <w:szCs w:val="12"/>
                <w:color w:val="auto"/>
              </w:rPr>
              <w:t>$</w:t>
            </w:r>
          </w:p>
        </w:tc>
        <w:tc>
          <w:tcPr>
            <w:tcW w:w="20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10,149</w:t>
            </w:r>
          </w:p>
        </w:tc>
        <w:tc>
          <w:tcPr>
            <w:tcW w:w="120" w:type="dxa"/>
            <w:vAlign w:val="bottom"/>
            <w:shd w:val="clear" w:color="auto" w:fill="CFF0FC"/>
          </w:tcPr>
          <w:p>
            <w:pPr>
              <w:spacing w:after="0"/>
              <w:rPr>
                <w:sz w:val="12"/>
                <w:szCs w:val="12"/>
                <w:color w:val="auto"/>
              </w:rPr>
            </w:pPr>
          </w:p>
        </w:tc>
      </w:tr>
      <w:tr>
        <w:trPr>
          <w:trHeight w:val="151"/>
        </w:trPr>
        <w:tc>
          <w:tcPr>
            <w:tcW w:w="3280" w:type="dxa"/>
            <w:vAlign w:val="bottom"/>
          </w:tcPr>
          <w:p>
            <w:pPr>
              <w:spacing w:after="0"/>
              <w:rPr>
                <w:sz w:val="20"/>
                <w:szCs w:val="20"/>
                <w:color w:val="auto"/>
              </w:rPr>
            </w:pPr>
            <w:r>
              <w:rPr>
                <w:rFonts w:ascii="Arial" w:cs="Arial" w:eastAsia="Arial" w:hAnsi="Arial"/>
                <w:sz w:val="12"/>
                <w:szCs w:val="12"/>
                <w:b w:val="1"/>
                <w:bCs w:val="1"/>
                <w:color w:val="auto"/>
              </w:rPr>
              <w:t>Direct expenses:</w:t>
            </w:r>
          </w:p>
        </w:tc>
        <w:tc>
          <w:tcPr>
            <w:tcW w:w="5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20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62"/>
        </w:trPr>
        <w:tc>
          <w:tcPr>
            <w:tcW w:w="3280" w:type="dxa"/>
            <w:vAlign w:val="bottom"/>
            <w:shd w:val="clear" w:color="auto" w:fill="CFF0FC"/>
          </w:tcPr>
          <w:p>
            <w:pPr>
              <w:ind w:left="160"/>
              <w:spacing w:after="0"/>
              <w:rPr>
                <w:sz w:val="20"/>
                <w:szCs w:val="20"/>
                <w:color w:val="auto"/>
              </w:rPr>
            </w:pPr>
            <w:r>
              <w:rPr>
                <w:rFonts w:ascii="Arial" w:cs="Arial" w:eastAsia="Arial" w:hAnsi="Arial"/>
                <w:sz w:val="12"/>
                <w:szCs w:val="12"/>
                <w:color w:val="auto"/>
              </w:rPr>
              <w:t>Cost of revenues</w:t>
            </w:r>
          </w:p>
        </w:tc>
        <w:tc>
          <w:tcPr>
            <w:tcW w:w="53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20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5,552</w:t>
            </w:r>
          </w:p>
        </w:tc>
        <w:tc>
          <w:tcPr>
            <w:tcW w:w="120" w:type="dxa"/>
            <w:vAlign w:val="bottom"/>
            <w:shd w:val="clear" w:color="auto" w:fill="CFF0FC"/>
          </w:tcPr>
          <w:p>
            <w:pPr>
              <w:spacing w:after="0"/>
              <w:rPr>
                <w:sz w:val="14"/>
                <w:szCs w:val="14"/>
                <w:color w:val="auto"/>
              </w:rPr>
            </w:pPr>
          </w:p>
        </w:tc>
      </w:tr>
      <w:tr>
        <w:trPr>
          <w:trHeight w:val="153"/>
        </w:trPr>
        <w:tc>
          <w:tcPr>
            <w:tcW w:w="3280" w:type="dxa"/>
            <w:vAlign w:val="bottom"/>
          </w:tcPr>
          <w:p>
            <w:pPr>
              <w:ind w:left="160"/>
              <w:spacing w:after="0"/>
              <w:rPr>
                <w:sz w:val="20"/>
                <w:szCs w:val="20"/>
                <w:color w:val="auto"/>
              </w:rPr>
            </w:pPr>
            <w:r>
              <w:rPr>
                <w:rFonts w:ascii="Arial" w:cs="Arial" w:eastAsia="Arial" w:hAnsi="Arial"/>
                <w:sz w:val="12"/>
                <w:szCs w:val="12"/>
                <w:color w:val="auto"/>
              </w:rPr>
              <w:t>Selling, general, and administrative</w:t>
            </w:r>
          </w:p>
        </w:tc>
        <w:tc>
          <w:tcPr>
            <w:tcW w:w="5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60" w:type="dxa"/>
            <w:vAlign w:val="bottom"/>
          </w:tcPr>
          <w:p>
            <w:pPr>
              <w:jc w:val="right"/>
              <w:spacing w:after="0"/>
              <w:rPr>
                <w:sz w:val="20"/>
                <w:szCs w:val="20"/>
                <w:color w:val="auto"/>
              </w:rPr>
            </w:pPr>
            <w:r>
              <w:rPr>
                <w:rFonts w:ascii="Arial" w:cs="Arial" w:eastAsia="Arial" w:hAnsi="Arial"/>
                <w:sz w:val="12"/>
                <w:szCs w:val="12"/>
                <w:color w:val="auto"/>
              </w:rPr>
              <w:t>22</w:t>
            </w:r>
          </w:p>
        </w:tc>
        <w:tc>
          <w:tcPr>
            <w:tcW w:w="120" w:type="dxa"/>
            <w:vAlign w:val="bottom"/>
          </w:tcPr>
          <w:p>
            <w:pPr>
              <w:spacing w:after="0"/>
              <w:rPr>
                <w:sz w:val="13"/>
                <w:szCs w:val="13"/>
                <w:color w:val="auto"/>
              </w:rPr>
            </w:pPr>
          </w:p>
        </w:tc>
      </w:tr>
      <w:tr>
        <w:trPr>
          <w:trHeight w:val="153"/>
        </w:trPr>
        <w:tc>
          <w:tcPr>
            <w:tcW w:w="3280" w:type="dxa"/>
            <w:vAlign w:val="bottom"/>
            <w:shd w:val="clear" w:color="auto" w:fill="CFF0FC"/>
          </w:tcPr>
          <w:p>
            <w:pPr>
              <w:ind w:left="160"/>
              <w:spacing w:after="0"/>
              <w:rPr>
                <w:sz w:val="20"/>
                <w:szCs w:val="20"/>
                <w:color w:val="auto"/>
              </w:rPr>
            </w:pPr>
            <w:r>
              <w:rPr>
                <w:rFonts w:ascii="Arial" w:cs="Arial" w:eastAsia="Arial" w:hAnsi="Arial"/>
                <w:sz w:val="12"/>
                <w:szCs w:val="12"/>
                <w:color w:val="auto"/>
              </w:rPr>
              <w:t>Amortization</w:t>
            </w:r>
          </w:p>
        </w:tc>
        <w:tc>
          <w:tcPr>
            <w:tcW w:w="53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360" w:type="dxa"/>
            <w:vAlign w:val="bottom"/>
            <w:tcBorders>
              <w:bottom w:val="single" w:sz="8" w:color="auto"/>
            </w:tcBorders>
            <w:shd w:val="clear" w:color="auto" w:fill="CFF0FC"/>
          </w:tcPr>
          <w:p>
            <w:pPr>
              <w:spacing w:after="0"/>
              <w:rPr>
                <w:sz w:val="13"/>
                <w:szCs w:val="13"/>
                <w:color w:val="auto"/>
              </w:rPr>
            </w:pPr>
          </w:p>
        </w:tc>
        <w:tc>
          <w:tcPr>
            <w:tcW w:w="2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1,283</w:t>
            </w:r>
          </w:p>
        </w:tc>
        <w:tc>
          <w:tcPr>
            <w:tcW w:w="120" w:type="dxa"/>
            <w:vAlign w:val="bottom"/>
            <w:shd w:val="clear" w:color="auto" w:fill="CFF0FC"/>
          </w:tcPr>
          <w:p>
            <w:pPr>
              <w:spacing w:after="0"/>
              <w:rPr>
                <w:sz w:val="13"/>
                <w:szCs w:val="13"/>
                <w:color w:val="auto"/>
              </w:rPr>
            </w:pPr>
          </w:p>
        </w:tc>
      </w:tr>
      <w:tr>
        <w:trPr>
          <w:trHeight w:val="142"/>
        </w:trPr>
        <w:tc>
          <w:tcPr>
            <w:tcW w:w="3280" w:type="dxa"/>
            <w:vAlign w:val="bottom"/>
            <w:tcBorders>
              <w:bottom w:val="single" w:sz="8" w:color="CFF0FC"/>
            </w:tcBorders>
          </w:tcPr>
          <w:p>
            <w:pPr>
              <w:ind w:left="320"/>
              <w:spacing w:after="0"/>
              <w:rPr>
                <w:sz w:val="20"/>
                <w:szCs w:val="20"/>
                <w:color w:val="auto"/>
              </w:rPr>
            </w:pPr>
            <w:r>
              <w:rPr>
                <w:rFonts w:ascii="Arial" w:cs="Arial" w:eastAsia="Arial" w:hAnsi="Arial"/>
                <w:sz w:val="12"/>
                <w:szCs w:val="12"/>
                <w:color w:val="auto"/>
              </w:rPr>
              <w:t>Total direct expenses</w:t>
            </w:r>
          </w:p>
        </w:tc>
        <w:tc>
          <w:tcPr>
            <w:tcW w:w="5340" w:type="dxa"/>
            <w:vAlign w:val="bottom"/>
            <w:tcBorders>
              <w:bottom w:val="single" w:sz="8" w:color="CFF0FC"/>
            </w:tcBorders>
          </w:tcPr>
          <w:p>
            <w:pPr>
              <w:spacing w:after="0"/>
              <w:rPr>
                <w:sz w:val="12"/>
                <w:szCs w:val="12"/>
                <w:color w:val="auto"/>
              </w:rPr>
            </w:pPr>
          </w:p>
        </w:tc>
        <w:tc>
          <w:tcPr>
            <w:tcW w:w="320" w:type="dxa"/>
            <w:vAlign w:val="bottom"/>
            <w:tcBorders>
              <w:bottom w:val="single" w:sz="8" w:color="CFF0FC"/>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6,857</w:t>
            </w:r>
          </w:p>
        </w:tc>
        <w:tc>
          <w:tcPr>
            <w:tcW w:w="120" w:type="dxa"/>
            <w:vAlign w:val="bottom"/>
            <w:tcBorders>
              <w:bottom w:val="single" w:sz="8" w:color="CFF0FC"/>
            </w:tcBorders>
          </w:tcPr>
          <w:p>
            <w:pPr>
              <w:spacing w:after="0"/>
              <w:rPr>
                <w:sz w:val="12"/>
                <w:szCs w:val="12"/>
                <w:color w:val="auto"/>
              </w:rPr>
            </w:pPr>
          </w:p>
        </w:tc>
      </w:tr>
      <w:tr>
        <w:trPr>
          <w:trHeight w:val="142"/>
        </w:trPr>
        <w:tc>
          <w:tcPr>
            <w:tcW w:w="3280" w:type="dxa"/>
            <w:vAlign w:val="bottom"/>
            <w:shd w:val="clear" w:color="auto" w:fill="CFF0FC"/>
          </w:tcPr>
          <w:p>
            <w:pPr>
              <w:spacing w:after="0"/>
              <w:rPr>
                <w:sz w:val="20"/>
                <w:szCs w:val="20"/>
                <w:color w:val="auto"/>
              </w:rPr>
            </w:pPr>
            <w:r>
              <w:rPr>
                <w:rFonts w:ascii="Arial" w:cs="Arial" w:eastAsia="Arial" w:hAnsi="Arial"/>
                <w:sz w:val="12"/>
                <w:szCs w:val="12"/>
                <w:b w:val="1"/>
                <w:bCs w:val="1"/>
                <w:color w:val="auto"/>
              </w:rPr>
              <w:t>Revenues in Excess of Direct Expenses</w:t>
            </w:r>
          </w:p>
        </w:tc>
        <w:tc>
          <w:tcPr>
            <w:tcW w:w="6020" w:type="dxa"/>
            <w:vAlign w:val="bottom"/>
            <w:gridSpan w:val="3"/>
            <w:shd w:val="clear" w:color="auto" w:fill="CFF0FC"/>
          </w:tcPr>
          <w:p>
            <w:pPr>
              <w:jc w:val="right"/>
              <w:ind w:right="300"/>
              <w:spacing w:after="0"/>
              <w:rPr>
                <w:sz w:val="20"/>
                <w:szCs w:val="20"/>
                <w:color w:val="auto"/>
              </w:rPr>
            </w:pPr>
            <w:r>
              <w:rPr>
                <w:rFonts w:ascii="Arial" w:cs="Arial" w:eastAsia="Arial" w:hAnsi="Arial"/>
                <w:sz w:val="12"/>
                <w:szCs w:val="12"/>
                <w:color w:val="auto"/>
              </w:rPr>
              <w:t>$</w:t>
            </w:r>
          </w:p>
        </w:tc>
        <w:tc>
          <w:tcPr>
            <w:tcW w:w="20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3,292</w:t>
            </w:r>
          </w:p>
        </w:tc>
        <w:tc>
          <w:tcPr>
            <w:tcW w:w="120" w:type="dxa"/>
            <w:vAlign w:val="bottom"/>
            <w:shd w:val="clear" w:color="auto" w:fill="CFF0FC"/>
          </w:tcPr>
          <w:p>
            <w:pPr>
              <w:spacing w:after="0"/>
              <w:rPr>
                <w:sz w:val="12"/>
                <w:szCs w:val="12"/>
                <w:color w:val="auto"/>
              </w:rPr>
            </w:pPr>
          </w:p>
        </w:tc>
      </w:tr>
      <w:tr>
        <w:trPr>
          <w:trHeight w:val="27"/>
        </w:trPr>
        <w:tc>
          <w:tcPr>
            <w:tcW w:w="3280" w:type="dxa"/>
            <w:vAlign w:val="bottom"/>
            <w:shd w:val="clear" w:color="auto" w:fill="CFF0FC"/>
          </w:tcPr>
          <w:p>
            <w:pPr>
              <w:spacing w:after="0"/>
              <w:rPr>
                <w:sz w:val="2"/>
                <w:szCs w:val="2"/>
                <w:color w:val="auto"/>
              </w:rPr>
            </w:pPr>
          </w:p>
        </w:tc>
        <w:tc>
          <w:tcPr>
            <w:tcW w:w="5340" w:type="dxa"/>
            <w:vAlign w:val="bottom"/>
            <w:shd w:val="clear" w:color="auto" w:fill="CFF0FC"/>
          </w:tcPr>
          <w:p>
            <w:pPr>
              <w:spacing w:after="0"/>
              <w:rPr>
                <w:sz w:val="2"/>
                <w:szCs w:val="2"/>
                <w:color w:val="auto"/>
              </w:rPr>
            </w:pPr>
          </w:p>
        </w:tc>
        <w:tc>
          <w:tcPr>
            <w:tcW w:w="320" w:type="dxa"/>
            <w:vAlign w:val="bottom"/>
            <w:shd w:val="clear" w:color="auto" w:fill="CFF0FC"/>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6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The accompanying notes are an integral part of these financial statements.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4">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30" w:right="199" w:bottom="1440" w:gutter="0" w:footer="0" w:header="0"/>
        </w:sectPr>
      </w:pPr>
    </w:p>
    <w:bookmarkStart w:id="96" w:name="page97"/>
    <w:bookmarkEnd w:id="96"/>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38" w:lineRule="exact"/>
        <w:rPr>
          <w:sz w:val="20"/>
          <w:szCs w:val="20"/>
          <w:color w:val="auto"/>
        </w:rPr>
      </w:pPr>
    </w:p>
    <w:p>
      <w:pPr>
        <w:jc w:val="center"/>
        <w:ind w:right="-39"/>
        <w:spacing w:after="0"/>
        <w:rPr>
          <w:sz w:val="20"/>
          <w:szCs w:val="20"/>
          <w:color w:val="auto"/>
        </w:rPr>
      </w:pPr>
      <w:r>
        <w:rPr>
          <w:rFonts w:ascii="Arial" w:cs="Arial" w:eastAsia="Arial" w:hAnsi="Arial"/>
          <w:sz w:val="12"/>
          <w:szCs w:val="12"/>
          <w:b w:val="1"/>
          <w:bCs w:val="1"/>
          <w:color w:val="auto"/>
        </w:rPr>
        <w:t>Consumer CLEC Business</w:t>
      </w:r>
    </w:p>
    <w:p>
      <w:pPr>
        <w:spacing w:after="0" w:line="19" w:lineRule="exact"/>
        <w:rPr>
          <w:sz w:val="20"/>
          <w:szCs w:val="20"/>
          <w:color w:val="auto"/>
        </w:rPr>
      </w:pPr>
    </w:p>
    <w:p>
      <w:pPr>
        <w:jc w:val="center"/>
        <w:ind w:right="-39"/>
        <w:spacing w:after="0"/>
        <w:rPr>
          <w:sz w:val="20"/>
          <w:szCs w:val="20"/>
          <w:color w:val="auto"/>
        </w:rPr>
      </w:pPr>
      <w:r>
        <w:rPr>
          <w:rFonts w:ascii="Arial" w:cs="Arial" w:eastAsia="Arial" w:hAnsi="Arial"/>
          <w:sz w:val="12"/>
          <w:szCs w:val="12"/>
          <w:b w:val="1"/>
          <w:bCs w:val="1"/>
          <w:color w:val="auto"/>
        </w:rPr>
        <w:t>Notes to Financial Statement</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 Description of Business</w:t>
      </w:r>
    </w:p>
    <w:p>
      <w:pPr>
        <w:spacing w:after="0" w:line="82" w:lineRule="exact"/>
        <w:rPr>
          <w:sz w:val="20"/>
          <w:szCs w:val="20"/>
          <w:color w:val="auto"/>
        </w:rPr>
      </w:pPr>
    </w:p>
    <w:p>
      <w:pPr>
        <w:ind w:right="80"/>
        <w:spacing w:after="0" w:line="259" w:lineRule="auto"/>
        <w:rPr>
          <w:sz w:val="20"/>
          <w:szCs w:val="20"/>
          <w:color w:val="auto"/>
        </w:rPr>
      </w:pPr>
      <w:r>
        <w:rPr>
          <w:rFonts w:ascii="Arial" w:cs="Arial" w:eastAsia="Arial" w:hAnsi="Arial"/>
          <w:sz w:val="12"/>
          <w:szCs w:val="12"/>
          <w:color w:val="auto"/>
        </w:rPr>
        <w:t>Uniti Group Inc. (the “Company,” “Uniti,” “we,” “us” or “our”), formerly known as Communications Sales and Leasing, Inc., was incorporated in the state of Delaware in February 2014 and reorganized in the state of Maryland on September 4, 2014. On April 24, 2015, in connection with the separation and spin-off of Uniti from Windstream Holdings, Inc. (“Windstream Holdings” and together with its consolidated subsidiaries “Windstream”), Windstream contributed certain telecommunications network assets, including fiber and copper networks and other real estate (the “Distribution Systems”) and a small consumer competitive local exchange carrier (“CLEC”) business (the “Consumer CLEC Business”) to Uniti in exchange for cash, shares of common stock of Uniti and certain indebtedness of Uniti (the “Spin-Off”).</w:t>
      </w:r>
    </w:p>
    <w:p>
      <w:pPr>
        <w:spacing w:after="0" w:line="125" w:lineRule="exact"/>
        <w:rPr>
          <w:sz w:val="20"/>
          <w:szCs w:val="20"/>
          <w:color w:val="auto"/>
        </w:rPr>
      </w:pPr>
    </w:p>
    <w:p>
      <w:pPr>
        <w:ind w:right="100"/>
        <w:spacing w:after="0" w:line="263" w:lineRule="auto"/>
        <w:rPr>
          <w:sz w:val="20"/>
          <w:szCs w:val="20"/>
          <w:color w:val="auto"/>
        </w:rPr>
      </w:pPr>
      <w:r>
        <w:rPr>
          <w:rFonts w:ascii="Arial" w:cs="Arial" w:eastAsia="Arial" w:hAnsi="Arial"/>
          <w:sz w:val="12"/>
          <w:szCs w:val="12"/>
          <w:color w:val="auto"/>
        </w:rPr>
        <w:t>The Consumer CLEC Business, which historically has been reported as an integrated operation within Windstream, offers voice, broadband, long-distance, and value-added services to residential customers located primarily in rural locations. Substantially all of the network assets used to provide these services to customers are contracted through interconnection agreements with other telecommunications carriers. Prior to the Spin-Off, Windstream ceased accepting new residential customers in the service areas covered by the Consumer CLEC Business.</w:t>
      </w:r>
    </w:p>
    <w:p>
      <w:pPr>
        <w:spacing w:after="0" w:line="24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2. Basis of Presentation</w:t>
      </w:r>
    </w:p>
    <w:p>
      <w:pPr>
        <w:spacing w:after="0" w:line="82" w:lineRule="exact"/>
        <w:rPr>
          <w:sz w:val="20"/>
          <w:szCs w:val="20"/>
          <w:color w:val="auto"/>
        </w:rPr>
      </w:pPr>
    </w:p>
    <w:p>
      <w:pPr>
        <w:ind w:right="40"/>
        <w:spacing w:after="0" w:line="286" w:lineRule="auto"/>
        <w:rPr>
          <w:sz w:val="20"/>
          <w:szCs w:val="20"/>
          <w:color w:val="auto"/>
        </w:rPr>
      </w:pPr>
      <w:r>
        <w:rPr>
          <w:rFonts w:ascii="Arial" w:cs="Arial" w:eastAsia="Arial" w:hAnsi="Arial"/>
          <w:sz w:val="11"/>
          <w:szCs w:val="11"/>
          <w:color w:val="auto"/>
        </w:rPr>
        <w:t>Subsequent to the Spin-Off, all financial results of the Consumer CLEC Business are reported within the consolidated financial statements of Uniti. The accompanying Statement of Revenues and Direct Expenses for the period January 1, 2015 to April 24, 2015 (the “Spin Date”) has been prepared for the purpose of complying with the rules and regulations of the Securities and Exchange Commission (the “SEC”), as permitted by the SEC and is not intended to be a complete presentation of the results of operations of the Consumer CLEC Business. The elements of the financial statements are stated in accordance with accounting principles generally accepted in the United States (“GAAP”). Certain information and footnote disclosures have been condensed or omitted as permitted by the SEC’s rules and regulations. In the opinion of management, all adjustments considered necessary for a fair statement of the results presented have been included. The results of operations for the period presented are not necessarily indicative of results of the Consumer CLEC Business following the Spin-Off.</w:t>
      </w:r>
    </w:p>
    <w:p>
      <w:pPr>
        <w:spacing w:after="0" w:line="111" w:lineRule="exact"/>
        <w:rPr>
          <w:sz w:val="20"/>
          <w:szCs w:val="20"/>
          <w:color w:val="auto"/>
        </w:rPr>
      </w:pPr>
    </w:p>
    <w:p>
      <w:pPr>
        <w:ind w:right="20"/>
        <w:spacing w:after="0" w:line="298" w:lineRule="auto"/>
        <w:rPr>
          <w:sz w:val="20"/>
          <w:szCs w:val="20"/>
          <w:color w:val="auto"/>
        </w:rPr>
      </w:pPr>
      <w:r>
        <w:rPr>
          <w:rFonts w:ascii="Arial" w:cs="Arial" w:eastAsia="Arial" w:hAnsi="Arial"/>
          <w:sz w:val="11"/>
          <w:szCs w:val="11"/>
          <w:color w:val="auto"/>
        </w:rPr>
        <w:t>The accompanying Statement of Revenues and Direct Expenses include all direct costs incurred in connection with the operation of the Consumer CLEC Business for which specific identification was practicable. In addition, direct costs incurred by Windstream to operate the Consumer CLEC Business for which specific identification was not practicable have been allocated based on assumptions that management believes reasonable under the circumstances as more fully discussed in Note 4. The Statement of Revenues and Direct Expenses excludes costs that are not directly related to the Consumer CLEC Business including general corporate overhead costs, interest expense and income taxes.</w:t>
      </w:r>
    </w:p>
    <w:p>
      <w:pPr>
        <w:spacing w:after="0" w:line="22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3. Summary of Significant Accounting Policies</w:t>
      </w:r>
    </w:p>
    <w:p>
      <w:pPr>
        <w:spacing w:after="0" w:line="82" w:lineRule="exact"/>
        <w:rPr>
          <w:sz w:val="20"/>
          <w:szCs w:val="20"/>
          <w:color w:val="auto"/>
        </w:rPr>
      </w:pPr>
    </w:p>
    <w:p>
      <w:pPr>
        <w:jc w:val="both"/>
        <w:ind w:right="60"/>
        <w:spacing w:after="0" w:line="263" w:lineRule="auto"/>
        <w:rPr>
          <w:sz w:val="20"/>
          <w:szCs w:val="20"/>
          <w:color w:val="auto"/>
        </w:rPr>
      </w:pPr>
      <w:r>
        <w:rPr>
          <w:rFonts w:ascii="Arial" w:cs="Arial" w:eastAsia="Arial" w:hAnsi="Arial"/>
          <w:sz w:val="12"/>
          <w:szCs w:val="12"/>
          <w:u w:val="single" w:color="auto"/>
          <w:color w:val="auto"/>
        </w:rPr>
        <w:t>Use of Estimates</w:t>
      </w:r>
      <w:r>
        <w:rPr>
          <w:rFonts w:ascii="Arial" w:cs="Arial" w:eastAsia="Arial" w:hAnsi="Arial"/>
          <w:sz w:val="12"/>
          <w:szCs w:val="12"/>
          <w:color w:val="auto"/>
        </w:rPr>
        <w:t xml:space="preserve"> —The preparation of financial statements, in accordance with GAAP, requires management to make estimates and assumptions that affect the reported amounts of revenues and expenses. The estimates and assumptions used in the accompanying financial statement are based upon management’s evaluation of the relevant facts and circumstances as of the date of the financial statement. Actual results may differ from the estimates and assumptions used in preparing the accompanying financial statement, and such differences could be material.</w:t>
      </w:r>
    </w:p>
    <w:p>
      <w:pPr>
        <w:spacing w:after="0" w:line="123" w:lineRule="exact"/>
        <w:rPr>
          <w:sz w:val="20"/>
          <w:szCs w:val="20"/>
          <w:color w:val="auto"/>
        </w:rPr>
      </w:pPr>
    </w:p>
    <w:p>
      <w:pPr>
        <w:spacing w:after="0" w:line="263" w:lineRule="auto"/>
        <w:rPr>
          <w:sz w:val="20"/>
          <w:szCs w:val="20"/>
          <w:color w:val="auto"/>
        </w:rPr>
      </w:pPr>
      <w:r>
        <w:rPr>
          <w:rFonts w:ascii="Arial" w:cs="Arial" w:eastAsia="Arial" w:hAnsi="Arial"/>
          <w:sz w:val="12"/>
          <w:szCs w:val="12"/>
          <w:u w:val="single" w:color="auto"/>
          <w:color w:val="auto"/>
        </w:rPr>
        <w:t>Revenue Recognition</w:t>
      </w:r>
      <w:r>
        <w:rPr>
          <w:rFonts w:ascii="Arial" w:cs="Arial" w:eastAsia="Arial" w:hAnsi="Arial"/>
          <w:sz w:val="12"/>
          <w:szCs w:val="12"/>
          <w:color w:val="auto"/>
        </w:rPr>
        <w:t>—Service revenues are primarily derived from providing access to or usage of leased networks and facilities. Service revenues are recognized over the period that the corresponding services are rendered to customers. Revenues derived from other telecommunications services, including broadband, long distance and enhanced service revenues are recognized monthly as services are provided. Sales of customer premise equipment and modems are recognized when products are delivered to and accepted by customers.</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5">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20"/>
          </w:cols>
          <w:pgMar w:left="220" w:top="131" w:right="259" w:bottom="1440" w:gutter="0" w:footer="0" w:header="0"/>
        </w:sectPr>
      </w:pPr>
    </w:p>
    <w:bookmarkStart w:id="97" w:name="page98"/>
    <w:bookmarkEnd w:id="97"/>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Consumer CLEC Business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Financial Statement – Continued</w:t>
      </w:r>
    </w:p>
    <w:p>
      <w:pPr>
        <w:spacing w:after="0" w:line="285" w:lineRule="exact"/>
        <w:rPr>
          <w:sz w:val="20"/>
          <w:szCs w:val="20"/>
          <w:color w:val="auto"/>
        </w:rPr>
      </w:pPr>
    </w:p>
    <w:p>
      <w:pPr>
        <w:ind w:right="40"/>
        <w:spacing w:after="0" w:line="263" w:lineRule="auto"/>
        <w:rPr>
          <w:sz w:val="20"/>
          <w:szCs w:val="20"/>
          <w:color w:val="auto"/>
        </w:rPr>
      </w:pPr>
      <w:r>
        <w:rPr>
          <w:rFonts w:ascii="Arial" w:cs="Arial" w:eastAsia="Arial" w:hAnsi="Arial"/>
          <w:sz w:val="12"/>
          <w:szCs w:val="12"/>
          <w:color w:val="auto"/>
        </w:rPr>
        <w:t>In assessing collectability of receivables, management considers a number of factors, including historical collection experience, aging of the accounts receivable balances and current economic conditions. When internal collection efforts on accounts have been exhausted, the accounts are written off by reducing the allowance for doubtful accounts. The provision for doubtful accounts, which is included in cost of service, was $111,000 for the period from January 1, 2015 to Spin Date.</w:t>
      </w:r>
    </w:p>
    <w:p>
      <w:pPr>
        <w:spacing w:after="0" w:line="123" w:lineRule="exact"/>
        <w:rPr>
          <w:sz w:val="20"/>
          <w:szCs w:val="20"/>
          <w:color w:val="auto"/>
        </w:rPr>
      </w:pPr>
    </w:p>
    <w:p>
      <w:pPr>
        <w:ind w:right="80"/>
        <w:spacing w:after="0" w:line="298" w:lineRule="auto"/>
        <w:rPr>
          <w:sz w:val="20"/>
          <w:szCs w:val="20"/>
          <w:color w:val="auto"/>
        </w:rPr>
      </w:pPr>
      <w:r>
        <w:rPr>
          <w:rFonts w:ascii="Arial" w:cs="Arial" w:eastAsia="Arial" w:hAnsi="Arial"/>
          <w:sz w:val="11"/>
          <w:szCs w:val="11"/>
          <w:u w:val="single" w:color="auto"/>
          <w:color w:val="auto"/>
        </w:rPr>
        <w:t>Subsequent Events</w:t>
      </w:r>
      <w:r>
        <w:rPr>
          <w:rFonts w:ascii="Arial" w:cs="Arial" w:eastAsia="Arial" w:hAnsi="Arial"/>
          <w:sz w:val="11"/>
          <w:szCs w:val="11"/>
          <w:color w:val="auto"/>
        </w:rPr>
        <w:t>—The accompanying financial statements of the Consumer CLEC Business are derived from the consolidated financial statements of Windstream, which issued its audited consolidated financial statements as of and for the year ended December 31, 2015 on February 25, 2016. Accordingly, management has evaluated transactions for consideration as recognized subsequent events in the accompanying financial statement through the date of February 25, 2016. In addition, management has evaluated transactions that occurred as of the issuance of these financial statements on March 7, 2016 for purposes of disclosure of unrecognized subsequent events.</w:t>
      </w:r>
    </w:p>
    <w:p>
      <w:pPr>
        <w:spacing w:after="0" w:line="22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4. Allocations</w:t>
      </w:r>
    </w:p>
    <w:p>
      <w:pPr>
        <w:spacing w:after="0" w:line="82" w:lineRule="exact"/>
        <w:rPr>
          <w:sz w:val="20"/>
          <w:szCs w:val="20"/>
          <w:color w:val="auto"/>
        </w:rPr>
      </w:pPr>
    </w:p>
    <w:p>
      <w:pPr>
        <w:spacing w:after="0" w:line="263" w:lineRule="auto"/>
        <w:rPr>
          <w:sz w:val="20"/>
          <w:szCs w:val="20"/>
          <w:color w:val="auto"/>
        </w:rPr>
      </w:pPr>
      <w:r>
        <w:rPr>
          <w:rFonts w:ascii="Arial" w:cs="Arial" w:eastAsia="Arial" w:hAnsi="Arial"/>
          <w:sz w:val="12"/>
          <w:szCs w:val="12"/>
          <w:color w:val="auto"/>
        </w:rPr>
        <w:t>As described in Note 2, the accompanying Statement of Revenues and Direct Expenses of the Consumer CLEC Business includes all direct costs incurred in connection with the operation of the Consumer CLEC Business for which specific identification was practicable. In addition, certain costs incurred by Windstream to operate the Consumer CLEC Business for which specific identification was not practicable have been allocated based on revenues and sales. These allocated expenses are included in “Cost of revenues” and “Selling, general and administrative.”</w:t>
      </w:r>
    </w:p>
    <w:p>
      <w:pPr>
        <w:spacing w:after="0" w:line="123" w:lineRule="exact"/>
        <w:rPr>
          <w:sz w:val="20"/>
          <w:szCs w:val="20"/>
          <w:color w:val="auto"/>
        </w:rPr>
      </w:pPr>
    </w:p>
    <w:p>
      <w:pPr>
        <w:ind w:right="40"/>
        <w:spacing w:after="0" w:line="276" w:lineRule="auto"/>
        <w:rPr>
          <w:sz w:val="20"/>
          <w:szCs w:val="20"/>
          <w:color w:val="auto"/>
        </w:rPr>
      </w:pPr>
      <w:r>
        <w:rPr>
          <w:rFonts w:ascii="Arial" w:cs="Arial" w:eastAsia="Arial" w:hAnsi="Arial"/>
          <w:sz w:val="12"/>
          <w:szCs w:val="12"/>
          <w:color w:val="auto"/>
        </w:rPr>
        <w:t>General and administrative costs incurred by Windstream not directly related to the Consumer CLEC Business have not been allocated to these operations. Costs not allocated include amounts related to executive management, accounting, treasury and cash management, data processing, legal, human resources and certain occupancy costs.</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6">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131" w:right="219" w:bottom="1440" w:gutter="0" w:footer="0" w:header="0"/>
        </w:sectPr>
      </w:pPr>
    </w:p>
    <w:bookmarkStart w:id="98" w:name="page99"/>
    <w:bookmarkEnd w:id="98"/>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7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9. Changes in and Disagreements With Accountants on Accounting and Financial Disclosure.</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color w:val="auto"/>
        </w:rPr>
        <w:t>None</w:t>
      </w:r>
    </w:p>
    <w:p>
      <w:pPr>
        <w:spacing w:after="0" w:line="2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9A. Controls and Procedures.</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Evaluation of Disclosure Controls and Procedures</w:t>
      </w:r>
    </w:p>
    <w:p>
      <w:pPr>
        <w:spacing w:after="0" w:line="150" w:lineRule="exact"/>
        <w:rPr>
          <w:sz w:val="20"/>
          <w:szCs w:val="20"/>
          <w:color w:val="auto"/>
        </w:rPr>
      </w:pPr>
    </w:p>
    <w:p>
      <w:pPr>
        <w:ind w:right="140"/>
        <w:spacing w:after="0" w:line="259" w:lineRule="auto"/>
        <w:rPr>
          <w:sz w:val="20"/>
          <w:szCs w:val="20"/>
          <w:color w:val="auto"/>
        </w:rPr>
      </w:pPr>
      <w:r>
        <w:rPr>
          <w:rFonts w:ascii="Arial" w:cs="Arial" w:eastAsia="Arial" w:hAnsi="Arial"/>
          <w:sz w:val="12"/>
          <w:szCs w:val="12"/>
          <w:color w:val="auto"/>
        </w:rPr>
        <w:t>We have established disclosure controls and procedures, as such term is defined in Rule 13a-15(e) under the Exchange Act, that are designed to ensure that information required to be disclosed by us in the reports that we file or submit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that we file or submit under the Exchange Act is accumulated and communicated to management, including our principal executive and principal financial officers as appropriate, to allow timely decisions regarding required disclosure.</w:t>
      </w:r>
    </w:p>
    <w:p>
      <w:pPr>
        <w:spacing w:after="0" w:line="125" w:lineRule="exact"/>
        <w:rPr>
          <w:sz w:val="20"/>
          <w:szCs w:val="20"/>
          <w:color w:val="auto"/>
        </w:rPr>
      </w:pPr>
    </w:p>
    <w:p>
      <w:pPr>
        <w:ind w:right="500"/>
        <w:spacing w:after="0" w:line="276" w:lineRule="auto"/>
        <w:rPr>
          <w:sz w:val="20"/>
          <w:szCs w:val="20"/>
          <w:color w:val="auto"/>
        </w:rPr>
      </w:pPr>
      <w:r>
        <w:rPr>
          <w:rFonts w:ascii="Arial" w:cs="Arial" w:eastAsia="Arial" w:hAnsi="Arial"/>
          <w:sz w:val="12"/>
          <w:szCs w:val="12"/>
          <w:color w:val="auto"/>
        </w:rPr>
        <w:t>Our management, with the participation of our principal executive officer and principal financial officer, evaluated the effectiveness of our disclosure controls and procedures as of December 31, 2017. Based on this evaluation, our principal executive officer and principal financial officer concluded that our disclosure controls and procedures were effective as of December 31, 2017.</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Management’s Annual Report on Internal Control Over Financial Reporting</w:t>
      </w:r>
    </w:p>
    <w:p>
      <w:pPr>
        <w:spacing w:after="0" w:line="150" w:lineRule="exact"/>
        <w:rPr>
          <w:sz w:val="20"/>
          <w:szCs w:val="20"/>
          <w:color w:val="auto"/>
        </w:rPr>
      </w:pPr>
    </w:p>
    <w:p>
      <w:pPr>
        <w:ind w:right="360"/>
        <w:spacing w:after="0" w:line="263" w:lineRule="auto"/>
        <w:rPr>
          <w:sz w:val="20"/>
          <w:szCs w:val="20"/>
          <w:color w:val="auto"/>
        </w:rPr>
      </w:pPr>
      <w:r>
        <w:rPr>
          <w:rFonts w:ascii="Arial" w:cs="Arial" w:eastAsia="Arial" w:hAnsi="Arial"/>
          <w:sz w:val="12"/>
          <w:szCs w:val="12"/>
          <w:color w:val="auto"/>
        </w:rPr>
        <w:t>Management is responsible for establishing and maintaining adequate internal control over financial reporting, as defined in Rule 13a-15(f) of the Exchange Act. The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123" w:lineRule="exact"/>
        <w:rPr>
          <w:sz w:val="20"/>
          <w:szCs w:val="20"/>
          <w:color w:val="auto"/>
        </w:rPr>
      </w:pPr>
    </w:p>
    <w:p>
      <w:pPr>
        <w:ind w:left="880" w:hanging="447"/>
        <w:spacing w:after="0"/>
        <w:tabs>
          <w:tab w:leader="none" w:pos="880" w:val="left"/>
        </w:tabs>
        <w:numPr>
          <w:ilvl w:val="0"/>
          <w:numId w:val="16"/>
        </w:numPr>
        <w:rPr>
          <w:rFonts w:ascii="Arial" w:cs="Arial" w:eastAsia="Arial" w:hAnsi="Arial"/>
          <w:sz w:val="12"/>
          <w:szCs w:val="12"/>
          <w:color w:val="auto"/>
        </w:rPr>
      </w:pPr>
      <w:r>
        <w:rPr>
          <w:rFonts w:ascii="Arial" w:cs="Arial" w:eastAsia="Arial" w:hAnsi="Arial"/>
          <w:sz w:val="12"/>
          <w:szCs w:val="12"/>
          <w:color w:val="auto"/>
        </w:rPr>
        <w:t>Pertain to the maintenance of records that in reasonable detail accurately and fairly reflect the transactions and dispositions of the assets of the Company;</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0"/>
          <w:szCs w:val="10"/>
          <w:color w:val="auto"/>
        </w:rPr>
        <w:t>Provide reasonable assurance that transactions are recorded as necessary to permit preparation of financial statements in accordance with generally accepted accounting principles, and that receipts and expenditures of the Company are being</w:t>
      </w:r>
    </w:p>
    <w:p>
      <w:pPr>
        <w:spacing w:after="0" w:line="29" w:lineRule="exact"/>
        <w:rPr>
          <w:sz w:val="20"/>
          <w:szCs w:val="20"/>
          <w:color w:val="auto"/>
        </w:rPr>
      </w:pPr>
    </w:p>
    <w:p>
      <w:pPr>
        <w:ind w:left="440"/>
        <w:spacing w:after="0"/>
        <w:rPr>
          <w:sz w:val="20"/>
          <w:szCs w:val="20"/>
          <w:color w:val="auto"/>
        </w:rPr>
      </w:pPr>
      <w:r>
        <w:rPr>
          <w:rFonts w:ascii="Arial" w:cs="Arial" w:eastAsia="Arial" w:hAnsi="Arial"/>
          <w:sz w:val="12"/>
          <w:szCs w:val="12"/>
          <w:color w:val="auto"/>
        </w:rPr>
        <w:t>•</w:t>
      </w:r>
    </w:p>
    <w:p>
      <w:pPr>
        <w:spacing w:after="0" w:line="6" w:lineRule="exact"/>
        <w:rPr>
          <w:sz w:val="20"/>
          <w:szCs w:val="20"/>
          <w:color w:val="auto"/>
        </w:rPr>
      </w:pPr>
    </w:p>
    <w:p>
      <w:pPr>
        <w:ind w:left="880" w:hanging="447"/>
        <w:spacing w:after="0"/>
        <w:tabs>
          <w:tab w:leader="none" w:pos="880" w:val="left"/>
        </w:tabs>
        <w:numPr>
          <w:ilvl w:val="0"/>
          <w:numId w:val="17"/>
        </w:numPr>
        <w:rPr>
          <w:rFonts w:ascii="Arial" w:cs="Arial" w:eastAsia="Arial" w:hAnsi="Arial"/>
          <w:sz w:val="11"/>
          <w:szCs w:val="11"/>
          <w:color w:val="auto"/>
        </w:rPr>
      </w:pPr>
      <w:r>
        <w:rPr>
          <w:rFonts w:ascii="Arial" w:cs="Arial" w:eastAsia="Arial" w:hAnsi="Arial"/>
          <w:sz w:val="11"/>
          <w:szCs w:val="11"/>
          <w:color w:val="auto"/>
        </w:rPr>
        <w:t>Provide reasonable assurance regarding prevention or timely detection of unauthorized acquisition, use or disposition of the Company’s assets that could have a material effect on the financial statements.</w:t>
      </w:r>
    </w:p>
    <w:p>
      <w:pPr>
        <w:spacing w:after="0" w:line="153" w:lineRule="exact"/>
        <w:rPr>
          <w:sz w:val="20"/>
          <w:szCs w:val="20"/>
          <w:color w:val="auto"/>
        </w:rPr>
      </w:pPr>
    </w:p>
    <w:p>
      <w:pPr>
        <w:ind w:right="300"/>
        <w:spacing w:after="0" w:line="276" w:lineRule="auto"/>
        <w:rPr>
          <w:sz w:val="20"/>
          <w:szCs w:val="20"/>
          <w:color w:val="auto"/>
        </w:rPr>
      </w:pPr>
      <w:r>
        <w:rPr>
          <w:rFonts w:ascii="Arial" w:cs="Arial" w:eastAsia="Arial" w:hAnsi="Arial"/>
          <w:sz w:val="12"/>
          <w:szCs w:val="12"/>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the degree of compliance with the policies or procedures may deteriorate.</w:t>
      </w:r>
    </w:p>
    <w:p>
      <w:pPr>
        <w:spacing w:after="0" w:line="115" w:lineRule="exact"/>
        <w:rPr>
          <w:sz w:val="20"/>
          <w:szCs w:val="20"/>
          <w:color w:val="auto"/>
        </w:rPr>
      </w:pPr>
    </w:p>
    <w:p>
      <w:pPr>
        <w:ind w:right="240"/>
        <w:spacing w:after="0" w:line="298" w:lineRule="auto"/>
        <w:rPr>
          <w:sz w:val="20"/>
          <w:szCs w:val="20"/>
          <w:color w:val="auto"/>
        </w:rPr>
      </w:pPr>
      <w:r>
        <w:rPr>
          <w:rFonts w:ascii="Arial" w:cs="Arial" w:eastAsia="Arial" w:hAnsi="Arial"/>
          <w:sz w:val="11"/>
          <w:szCs w:val="11"/>
          <w:color w:val="auto"/>
        </w:rPr>
        <w:t>On July 3, 2017, the Company completed the acquisitions of Southern Light, LLC and Hunt Telecommunications, LLC. Management excluded Southern Light, LLC and Hunt Telecommunications, LLC from its assessment of internal control over financial reporting as of December 31, 2017 because they were acquired by the Company in purchase business combinations in 2017. Southern Light, LLC and Hunt Telecommunications, LLC represent 11.0% and 3.5% of total assets, respectively and 5.0% and 1.8% of total revenue, respectively, of the related consolidated financial statement amounts as of and for the year ended December 31, 2017.</w:t>
      </w:r>
    </w:p>
    <w:p>
      <w:pPr>
        <w:spacing w:after="0" w:line="105" w:lineRule="exact"/>
        <w:rPr>
          <w:sz w:val="20"/>
          <w:szCs w:val="20"/>
          <w:color w:val="auto"/>
        </w:rPr>
      </w:pPr>
    </w:p>
    <w:p>
      <w:pPr>
        <w:ind w:right="380"/>
        <w:spacing w:after="0" w:line="276" w:lineRule="auto"/>
        <w:rPr>
          <w:sz w:val="20"/>
          <w:szCs w:val="20"/>
          <w:color w:val="auto"/>
        </w:rPr>
      </w:pPr>
      <w:r>
        <w:rPr>
          <w:rFonts w:ascii="Arial" w:cs="Arial" w:eastAsia="Arial" w:hAnsi="Arial"/>
          <w:sz w:val="12"/>
          <w:szCs w:val="12"/>
          <w:color w:val="auto"/>
        </w:rPr>
        <w:t xml:space="preserve">Our management, with the participation of our principal executive officer and principal financial officer, evaluated the effectiveness of our internal control over financial reporting as of December 31, 2017. In making this assessment, management used the criteria set forth by the Committee of Sponsoring Organizations of the Treadway Commission (COSO) in </w:t>
      </w:r>
      <w:r>
        <w:rPr>
          <w:rFonts w:ascii="Arial" w:cs="Arial" w:eastAsia="Arial" w:hAnsi="Arial"/>
          <w:sz w:val="12"/>
          <w:szCs w:val="12"/>
          <w:i w:val="1"/>
          <w:iCs w:val="1"/>
          <w:color w:val="auto"/>
        </w:rPr>
        <w:t>Internal Control - Integrated Framework (2013)</w:t>
      </w:r>
      <w:r>
        <w:rPr>
          <w:rFonts w:ascii="Arial" w:cs="Arial" w:eastAsia="Arial" w:hAnsi="Arial"/>
          <w:sz w:val="12"/>
          <w:szCs w:val="12"/>
          <w:color w:val="auto"/>
        </w:rPr>
        <w:t>.</w:t>
      </w:r>
    </w:p>
    <w:p>
      <w:pPr>
        <w:spacing w:after="0" w:line="115"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7">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540"/>
          </w:cols>
          <w:pgMar w:left="220" w:top="130" w:right="139" w:bottom="1440" w:gutter="0" w:footer="0" w:header="0"/>
        </w:sectPr>
      </w:pPr>
    </w:p>
    <w:bookmarkStart w:id="99" w:name="page100"/>
    <w:bookmarkEnd w:id="99"/>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10"/>
          <w:szCs w:val="10"/>
          <w:color w:val="auto"/>
        </w:rPr>
        <w:t xml:space="preserve">Based on this evaluation under the framework in </w:t>
      </w:r>
      <w:r>
        <w:rPr>
          <w:rFonts w:ascii="Arial" w:cs="Arial" w:eastAsia="Arial" w:hAnsi="Arial"/>
          <w:sz w:val="10"/>
          <w:szCs w:val="10"/>
          <w:i w:val="1"/>
          <w:iCs w:val="1"/>
          <w:color w:val="auto"/>
        </w:rPr>
        <w:t>Internal Control - Integrated Framework (2013)</w:t>
      </w:r>
      <w:r>
        <w:rPr>
          <w:rFonts w:ascii="Arial" w:cs="Arial" w:eastAsia="Arial" w:hAnsi="Arial"/>
          <w:sz w:val="10"/>
          <w:szCs w:val="10"/>
          <w:color w:val="auto"/>
        </w:rPr>
        <w:t xml:space="preserve"> issued by COSO, management concluded the Company’s internal control over financial reporting was effective as of December 31, 2017.</w:t>
      </w:r>
    </w:p>
    <w:p>
      <w:pPr>
        <w:spacing w:after="0" w:line="173"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The Company’s independent registered public accounting firm, PricewaterhouseCoopers LLP, who has audited the consolidated financial statements included in this Annual Report on Form 10-K, has also audited the effectiveness of the Company’s internal control over financial reporting as of December 31, 2017, as stated in their report which appears in Part II, Item 8 of this Annual Report on Form 10-K.</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Changes in Internal Control Over Financial Reporting</w:t>
      </w:r>
    </w:p>
    <w:p>
      <w:pPr>
        <w:spacing w:after="0" w:line="78" w:lineRule="exact"/>
        <w:rPr>
          <w:sz w:val="20"/>
          <w:szCs w:val="20"/>
          <w:color w:val="auto"/>
        </w:rPr>
      </w:pPr>
    </w:p>
    <w:p>
      <w:pPr>
        <w:ind w:right="60"/>
        <w:spacing w:after="0" w:line="276" w:lineRule="auto"/>
        <w:rPr>
          <w:sz w:val="20"/>
          <w:szCs w:val="20"/>
          <w:color w:val="auto"/>
        </w:rPr>
      </w:pPr>
      <w:r>
        <w:rPr>
          <w:rFonts w:ascii="Arial" w:cs="Arial" w:eastAsia="Arial" w:hAnsi="Arial"/>
          <w:sz w:val="12"/>
          <w:szCs w:val="12"/>
          <w:color w:val="auto"/>
        </w:rPr>
        <w:t>There were no changes in our internal control over financial reporting that occurred during the quarter ended December 31, 2017 that has materially affected, or is reasonably likely to materially affect, our internal control over financial reporting.</w:t>
      </w:r>
    </w:p>
    <w:p>
      <w:pPr>
        <w:spacing w:after="0" w:line="18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9B. Other Information.</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color w:val="auto"/>
        </w:rPr>
        <w:t>None</w:t>
      </w:r>
    </w:p>
    <w:p>
      <w:pPr>
        <w:spacing w:after="0" w:line="285" w:lineRule="exact"/>
        <w:rPr>
          <w:sz w:val="20"/>
          <w:szCs w:val="20"/>
          <w:color w:val="auto"/>
        </w:rPr>
      </w:pPr>
    </w:p>
    <w:p>
      <w:pPr>
        <w:jc w:val="center"/>
        <w:ind w:right="-139"/>
        <w:spacing w:after="0"/>
        <w:rPr>
          <w:sz w:val="20"/>
          <w:szCs w:val="20"/>
          <w:color w:val="auto"/>
        </w:rPr>
      </w:pPr>
      <w:r>
        <w:rPr>
          <w:rFonts w:ascii="Arial" w:cs="Arial" w:eastAsia="Arial" w:hAnsi="Arial"/>
          <w:sz w:val="12"/>
          <w:szCs w:val="12"/>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8">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320"/>
          </w:cols>
          <w:pgMar w:left="220" w:top="130" w:right="359" w:bottom="1440" w:gutter="0" w:footer="0" w:header="0"/>
        </w:sectPr>
      </w:pPr>
    </w:p>
    <w:bookmarkStart w:id="100" w:name="page101"/>
    <w:bookmarkEnd w:id="100"/>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74" w:lineRule="exact"/>
        <w:rPr>
          <w:sz w:val="20"/>
          <w:szCs w:val="20"/>
          <w:color w:val="auto"/>
        </w:rPr>
      </w:pPr>
    </w:p>
    <w:p>
      <w:pPr>
        <w:jc w:val="center"/>
        <w:ind w:right="-59"/>
        <w:spacing w:after="0"/>
        <w:rPr>
          <w:sz w:val="20"/>
          <w:szCs w:val="20"/>
          <w:color w:val="auto"/>
        </w:rPr>
      </w:pPr>
      <w:r>
        <w:rPr>
          <w:rFonts w:ascii="Arial" w:cs="Arial" w:eastAsia="Arial" w:hAnsi="Arial"/>
          <w:sz w:val="12"/>
          <w:szCs w:val="12"/>
          <w:b w:val="1"/>
          <w:bCs w:val="1"/>
          <w:color w:val="auto"/>
        </w:rPr>
        <w:t>PART III</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10. Directors, Executive Officers and Corporate Governance.</w:t>
      </w:r>
    </w:p>
    <w:p>
      <w:pPr>
        <w:spacing w:after="0" w:line="82" w:lineRule="exact"/>
        <w:rPr>
          <w:sz w:val="20"/>
          <w:szCs w:val="20"/>
          <w:color w:val="auto"/>
        </w:rPr>
      </w:pPr>
    </w:p>
    <w:p>
      <w:pPr>
        <w:ind w:right="40"/>
        <w:spacing w:after="0" w:line="276" w:lineRule="auto"/>
        <w:rPr>
          <w:sz w:val="20"/>
          <w:szCs w:val="20"/>
          <w:color w:val="auto"/>
        </w:rPr>
      </w:pPr>
      <w:r>
        <w:rPr>
          <w:rFonts w:ascii="Arial" w:cs="Arial" w:eastAsia="Arial" w:hAnsi="Arial"/>
          <w:sz w:val="12"/>
          <w:szCs w:val="12"/>
          <w:color w:val="auto"/>
        </w:rPr>
        <w:t>Except as set forth below, the information required by this item is incorporated by reference from the definitive proxy statement to be filed within 120 days after December 31, 2017, pursuant to Regulation 14A under the Exchange Act in connection with our 2018 annual meeting of stockholders.</w:t>
      </w:r>
    </w:p>
    <w:p>
      <w:pPr>
        <w:spacing w:after="0" w:line="115" w:lineRule="exact"/>
        <w:rPr>
          <w:sz w:val="20"/>
          <w:szCs w:val="20"/>
          <w:color w:val="auto"/>
        </w:rPr>
      </w:pPr>
    </w:p>
    <w:p>
      <w:pPr>
        <w:jc w:val="both"/>
        <w:ind w:right="100"/>
        <w:spacing w:after="0" w:line="298" w:lineRule="auto"/>
        <w:rPr>
          <w:sz w:val="20"/>
          <w:szCs w:val="20"/>
          <w:color w:val="auto"/>
        </w:rPr>
      </w:pPr>
      <w:r>
        <w:rPr>
          <w:rFonts w:ascii="Arial" w:cs="Arial" w:eastAsia="Arial" w:hAnsi="Arial"/>
          <w:sz w:val="11"/>
          <w:szCs w:val="11"/>
          <w:color w:val="auto"/>
        </w:rPr>
        <w:t xml:space="preserve">We have a code of ethics as defined in Item 406 of Regulation S-K, which code applies to all of our directors and employees, including our principal executive officer, principal financial officer, principal accounting officer or controller, and persons performing similar functions. A copy of this code of ethics, titled “Code of Business Conduct and Ethics &amp; Whistleblower Policy,” is available free of charge in the </w:t>
      </w:r>
      <w:r>
        <w:rPr>
          <w:rFonts w:ascii="Arial" w:cs="Arial" w:eastAsia="Arial" w:hAnsi="Arial"/>
          <w:sz w:val="11"/>
          <w:szCs w:val="11"/>
          <w:i w:val="1"/>
          <w:iCs w:val="1"/>
          <w:color w:val="auto"/>
        </w:rPr>
        <w:t>Corporate Goverance</w:t>
      </w:r>
      <w:r>
        <w:rPr>
          <w:rFonts w:ascii="Arial" w:cs="Arial" w:eastAsia="Arial" w:hAnsi="Arial"/>
          <w:sz w:val="11"/>
          <w:szCs w:val="11"/>
          <w:color w:val="auto"/>
        </w:rPr>
        <w:t xml:space="preserve"> section of the About Us page on our website at www.uniti.com. We intend to satisfy the disclosure requirements of Form 8-K regarding any amendment to, or a waiver from, any provision of our code of ethics by posting such amendment or waiver on our website.</w:t>
      </w:r>
    </w:p>
    <w:p>
      <w:pPr>
        <w:spacing w:after="0" w:line="17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11. Executive Compensation.</w:t>
      </w:r>
    </w:p>
    <w:p>
      <w:pPr>
        <w:spacing w:after="0" w:line="82"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The information required by this item is incorporated by reference from the definitive proxy statement to be filed within 120 days after December 31, 2017, pursuant to Regulation 14A under the Exchange Act in connection with our 2018 annual meeting of stockholders.</w:t>
      </w:r>
    </w:p>
    <w:p>
      <w:pPr>
        <w:spacing w:after="0" w:line="18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12. Security Ownership of Certain Beneficial Owners and Management and Related Stockholder Matters.</w:t>
      </w:r>
    </w:p>
    <w:p>
      <w:pPr>
        <w:spacing w:after="0" w:line="82" w:lineRule="exact"/>
        <w:rPr>
          <w:sz w:val="20"/>
          <w:szCs w:val="20"/>
          <w:color w:val="auto"/>
        </w:rPr>
      </w:pPr>
    </w:p>
    <w:p>
      <w:pPr>
        <w:ind w:right="40"/>
        <w:spacing w:after="0" w:line="276" w:lineRule="auto"/>
        <w:rPr>
          <w:sz w:val="20"/>
          <w:szCs w:val="20"/>
          <w:color w:val="auto"/>
        </w:rPr>
      </w:pPr>
      <w:r>
        <w:rPr>
          <w:rFonts w:ascii="Arial" w:cs="Arial" w:eastAsia="Arial" w:hAnsi="Arial"/>
          <w:sz w:val="12"/>
          <w:szCs w:val="12"/>
          <w:color w:val="auto"/>
        </w:rPr>
        <w:t>Except as set forth below, the information required by this item is incorporated by reference from the definitive proxy statement to be filed within 120 days after December 31, 2017, pursuant to Regulation 14A under the Exchange Act in connection with our 2018 annual meeting of stockholders.</w:t>
      </w:r>
    </w:p>
    <w:p>
      <w:pPr>
        <w:spacing w:after="0" w:line="18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Securities Authorized for Issuance Under Equity Compensation Plans</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contains information about our equity compensation plan as of December 31, 2017:</w:t>
      </w:r>
    </w:p>
    <w:p>
      <w:pPr>
        <w:spacing w:after="0" w:line="150" w:lineRule="exact"/>
        <w:rPr>
          <w:sz w:val="20"/>
          <w:szCs w:val="20"/>
          <w:color w:val="auto"/>
        </w:rPr>
      </w:pPr>
    </w:p>
    <w:p>
      <w:pPr>
        <w:jc w:val="center"/>
        <w:ind w:right="-59"/>
        <w:spacing w:after="0"/>
        <w:rPr>
          <w:sz w:val="20"/>
          <w:szCs w:val="20"/>
          <w:color w:val="auto"/>
        </w:rPr>
      </w:pPr>
      <w:r>
        <w:rPr>
          <w:rFonts w:ascii="Arial" w:cs="Arial" w:eastAsia="Arial" w:hAnsi="Arial"/>
          <w:sz w:val="11"/>
          <w:szCs w:val="11"/>
          <w:b w:val="1"/>
          <w:bCs w:val="1"/>
          <w:color w:val="auto"/>
        </w:rPr>
        <w:t>E</w:t>
      </w:r>
      <w:r>
        <w:rPr>
          <w:rFonts w:ascii="Arial" w:cs="Arial" w:eastAsia="Arial" w:hAnsi="Arial"/>
          <w:sz w:val="7"/>
          <w:szCs w:val="7"/>
          <w:b w:val="1"/>
          <w:bCs w:val="1"/>
          <w:color w:val="auto"/>
        </w:rPr>
        <w:t>QUITY</w:t>
      </w:r>
      <w:r>
        <w:rPr>
          <w:rFonts w:ascii="Arial" w:cs="Arial" w:eastAsia="Arial" w:hAnsi="Arial"/>
          <w:sz w:val="11"/>
          <w:szCs w:val="11"/>
          <w:b w:val="1"/>
          <w:bCs w:val="1"/>
          <w:color w:val="auto"/>
        </w:rPr>
        <w:t xml:space="preserve"> C</w:t>
      </w:r>
      <w:r>
        <w:rPr>
          <w:rFonts w:ascii="Arial" w:cs="Arial" w:eastAsia="Arial" w:hAnsi="Arial"/>
          <w:sz w:val="7"/>
          <w:szCs w:val="7"/>
          <w:b w:val="1"/>
          <w:bCs w:val="1"/>
          <w:color w:val="auto"/>
        </w:rPr>
        <w:t>OMPENSATION</w:t>
      </w:r>
      <w:r>
        <w:rPr>
          <w:rFonts w:ascii="Arial" w:cs="Arial" w:eastAsia="Arial" w:hAnsi="Arial"/>
          <w:sz w:val="11"/>
          <w:szCs w:val="11"/>
          <w:b w:val="1"/>
          <w:bCs w:val="1"/>
          <w:color w:val="auto"/>
        </w:rPr>
        <w:t xml:space="preserve"> P</w:t>
      </w:r>
      <w:r>
        <w:rPr>
          <w:rFonts w:ascii="Arial" w:cs="Arial" w:eastAsia="Arial" w:hAnsi="Arial"/>
          <w:sz w:val="7"/>
          <w:szCs w:val="7"/>
          <w:b w:val="1"/>
          <w:bCs w:val="1"/>
          <w:color w:val="auto"/>
        </w:rPr>
        <w:t>LAN</w:t>
      </w:r>
      <w:r>
        <w:rPr>
          <w:rFonts w:ascii="Arial" w:cs="Arial" w:eastAsia="Arial" w:hAnsi="Arial"/>
          <w:sz w:val="11"/>
          <w:szCs w:val="11"/>
          <w:b w:val="1"/>
          <w:bCs w:val="1"/>
          <w:color w:val="auto"/>
        </w:rPr>
        <w:t xml:space="preserve"> I</w:t>
      </w:r>
      <w:r>
        <w:rPr>
          <w:rFonts w:ascii="Arial" w:cs="Arial" w:eastAsia="Arial" w:hAnsi="Arial"/>
          <w:sz w:val="7"/>
          <w:szCs w:val="7"/>
          <w:b w:val="1"/>
          <w:bCs w:val="1"/>
          <w:color w:val="auto"/>
        </w:rPr>
        <w:t>NFORMATION</w:t>
      </w:r>
    </w:p>
    <w:p>
      <w:pPr>
        <w:sectPr>
          <w:pgSz w:w="11900" w:h="16838" w:orient="portrait"/>
          <w:cols w:equalWidth="0" w:num="1">
            <w:col w:w="11400"/>
          </w:cols>
          <w:pgMar w:left="220" w:top="131"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480"/>
        <w:spacing w:after="0"/>
        <w:rPr>
          <w:sz w:val="20"/>
          <w:szCs w:val="20"/>
          <w:color w:val="auto"/>
        </w:rPr>
      </w:pPr>
      <w:r>
        <w:rPr>
          <w:rFonts w:ascii="Arial" w:cs="Arial" w:eastAsia="Arial" w:hAnsi="Arial"/>
          <w:sz w:val="11"/>
          <w:szCs w:val="11"/>
          <w:b w:val="1"/>
          <w:bCs w:val="1"/>
          <w:color w:val="auto"/>
        </w:rPr>
        <w:t>Plan category</w:t>
      </w:r>
    </w:p>
    <w:p>
      <w:pPr>
        <w:spacing w:after="0" w:line="292" w:lineRule="exact"/>
        <w:rPr>
          <w:sz w:val="20"/>
          <w:szCs w:val="20"/>
          <w:color w:val="auto"/>
        </w:rPr>
      </w:pPr>
    </w:p>
    <w:p>
      <w:pPr>
        <w:jc w:val="center"/>
        <w:ind w:left="3200"/>
        <w:spacing w:after="0"/>
        <w:rPr>
          <w:sz w:val="20"/>
          <w:szCs w:val="20"/>
          <w:color w:val="auto"/>
        </w:rPr>
      </w:pPr>
      <w:r>
        <w:rPr>
          <w:rFonts w:ascii="Arial" w:cs="Arial" w:eastAsia="Arial" w:hAnsi="Arial"/>
          <w:sz w:val="9"/>
          <w:szCs w:val="9"/>
          <w:color w:val="auto"/>
        </w:rPr>
        <w:t>Equity compensation plans</w:t>
      </w:r>
    </w:p>
    <w:p>
      <w:pPr>
        <w:spacing w:after="0" w:line="33" w:lineRule="exact"/>
        <w:rPr>
          <w:sz w:val="20"/>
          <w:szCs w:val="20"/>
          <w:color w:val="auto"/>
        </w:rPr>
      </w:pPr>
    </w:p>
    <w:p>
      <w:pPr>
        <w:jc w:val="center"/>
        <w:ind w:left="3200"/>
        <w:spacing w:after="0"/>
        <w:rPr>
          <w:sz w:val="20"/>
          <w:szCs w:val="20"/>
          <w:color w:val="auto"/>
        </w:rPr>
      </w:pPr>
      <w:r>
        <w:rPr>
          <w:rFonts w:ascii="Arial" w:cs="Arial" w:eastAsia="Arial" w:hAnsi="Arial"/>
          <w:sz w:val="11"/>
          <w:szCs w:val="11"/>
          <w:color w:val="auto"/>
        </w:rPr>
        <w:t>approved by security</w:t>
      </w:r>
    </w:p>
    <w:p>
      <w:pPr>
        <w:spacing w:after="0" w:line="9" w:lineRule="exact"/>
        <w:rPr>
          <w:sz w:val="20"/>
          <w:szCs w:val="20"/>
          <w:color w:val="auto"/>
        </w:rPr>
      </w:pPr>
    </w:p>
    <w:p>
      <w:pPr>
        <w:jc w:val="center"/>
        <w:ind w:left="3200"/>
        <w:spacing w:after="0"/>
        <w:rPr>
          <w:sz w:val="20"/>
          <w:szCs w:val="20"/>
          <w:color w:val="auto"/>
        </w:rPr>
      </w:pPr>
      <w:r>
        <w:rPr>
          <w:rFonts w:ascii="Arial" w:cs="Arial" w:eastAsia="Arial" w:hAnsi="Arial"/>
          <w:sz w:val="11"/>
          <w:szCs w:val="11"/>
          <w:color w:val="auto"/>
        </w:rPr>
        <w:t>holders</w:t>
      </w:r>
    </w:p>
    <w:p>
      <w:pPr>
        <w:spacing w:after="0" w:line="143" w:lineRule="exact"/>
        <w:rPr>
          <w:sz w:val="20"/>
          <w:szCs w:val="20"/>
          <w:color w:val="auto"/>
        </w:rPr>
      </w:pPr>
    </w:p>
    <w:p>
      <w:pPr>
        <w:jc w:val="center"/>
        <w:ind w:left="3200"/>
        <w:spacing w:after="0"/>
        <w:rPr>
          <w:sz w:val="20"/>
          <w:szCs w:val="20"/>
          <w:color w:val="auto"/>
        </w:rPr>
      </w:pPr>
      <w:r>
        <w:rPr>
          <w:rFonts w:ascii="Arial" w:cs="Arial" w:eastAsia="Arial" w:hAnsi="Arial"/>
          <w:sz w:val="9"/>
          <w:szCs w:val="9"/>
          <w:color w:val="auto"/>
        </w:rPr>
        <w:t>Equity compensation plans</w:t>
      </w:r>
    </w:p>
    <w:p>
      <w:pPr>
        <w:spacing w:after="0" w:line="33" w:lineRule="exact"/>
        <w:rPr>
          <w:sz w:val="20"/>
          <w:szCs w:val="20"/>
          <w:color w:val="auto"/>
        </w:rPr>
      </w:pPr>
    </w:p>
    <w:p>
      <w:pPr>
        <w:jc w:val="center"/>
        <w:ind w:left="3200"/>
        <w:spacing w:after="0"/>
        <w:rPr>
          <w:sz w:val="20"/>
          <w:szCs w:val="20"/>
          <w:color w:val="auto"/>
        </w:rPr>
      </w:pPr>
      <w:r>
        <w:rPr>
          <w:rFonts w:ascii="Arial" w:cs="Arial" w:eastAsia="Arial" w:hAnsi="Arial"/>
          <w:sz w:val="10"/>
          <w:szCs w:val="10"/>
          <w:color w:val="auto"/>
        </w:rPr>
        <w:t>not approved by security</w:t>
      </w:r>
    </w:p>
    <w:p>
      <w:pPr>
        <w:spacing w:after="0" w:line="20" w:lineRule="exact"/>
        <w:rPr>
          <w:sz w:val="20"/>
          <w:szCs w:val="20"/>
          <w:color w:val="auto"/>
        </w:rPr>
      </w:pPr>
    </w:p>
    <w:p>
      <w:pPr>
        <w:jc w:val="center"/>
        <w:ind w:left="3200"/>
        <w:spacing w:after="0"/>
        <w:rPr>
          <w:sz w:val="20"/>
          <w:szCs w:val="20"/>
          <w:color w:val="auto"/>
        </w:rPr>
      </w:pPr>
      <w:r>
        <w:rPr>
          <w:rFonts w:ascii="Arial" w:cs="Arial" w:eastAsia="Arial" w:hAnsi="Arial"/>
          <w:sz w:val="11"/>
          <w:szCs w:val="11"/>
          <w:color w:val="auto"/>
        </w:rPr>
        <w:t>holders</w:t>
      </w:r>
    </w:p>
    <w:p>
      <w:pPr>
        <w:spacing w:after="0" w:line="287" w:lineRule="exact"/>
        <w:rPr>
          <w:sz w:val="20"/>
          <w:szCs w:val="20"/>
          <w:color w:val="auto"/>
        </w:rPr>
      </w:pPr>
    </w:p>
    <w:p>
      <w:pPr>
        <w:ind w:left="3680"/>
        <w:spacing w:after="0"/>
        <w:rPr>
          <w:sz w:val="20"/>
          <w:szCs w:val="20"/>
          <w:color w:val="auto"/>
        </w:rPr>
      </w:pPr>
      <w:r>
        <w:rPr>
          <w:rFonts w:ascii="Arial" w:cs="Arial" w:eastAsia="Arial" w:hAnsi="Arial"/>
          <w:sz w:val="11"/>
          <w:szCs w:val="11"/>
          <w:color w:val="auto"/>
        </w:rPr>
        <w:t>Total</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5"/>
        </w:trPr>
        <w:tc>
          <w:tcPr>
            <w:tcW w:w="1200" w:type="dxa"/>
            <w:vAlign w:val="bottom"/>
          </w:tcPr>
          <w:p>
            <w:pPr>
              <w:jc w:val="center"/>
              <w:spacing w:after="0"/>
              <w:rPr>
                <w:sz w:val="20"/>
                <w:szCs w:val="20"/>
                <w:color w:val="auto"/>
              </w:rPr>
            </w:pPr>
            <w:r>
              <w:rPr>
                <w:rFonts w:ascii="Arial" w:cs="Arial" w:eastAsia="Arial" w:hAnsi="Arial"/>
                <w:sz w:val="11"/>
                <w:szCs w:val="11"/>
                <w:b w:val="1"/>
                <w:bCs w:val="1"/>
                <w:color w:val="auto"/>
                <w:w w:val="87"/>
              </w:rPr>
              <w:t>Number of securities</w:t>
            </w:r>
          </w:p>
        </w:tc>
        <w:tc>
          <w:tcPr>
            <w:tcW w:w="1200" w:type="dxa"/>
            <w:vAlign w:val="bottom"/>
          </w:tcPr>
          <w:p>
            <w:pPr>
              <w:spacing w:after="0"/>
              <w:rPr>
                <w:sz w:val="11"/>
                <w:szCs w:val="11"/>
                <w:color w:val="auto"/>
              </w:rPr>
            </w:pPr>
          </w:p>
        </w:tc>
        <w:tc>
          <w:tcPr>
            <w:tcW w:w="1500" w:type="dxa"/>
            <w:vAlign w:val="bottom"/>
          </w:tcPr>
          <w:p>
            <w:pPr>
              <w:jc w:val="center"/>
              <w:ind w:left="6"/>
              <w:spacing w:after="0"/>
              <w:rPr>
                <w:sz w:val="20"/>
                <w:szCs w:val="20"/>
                <w:color w:val="auto"/>
              </w:rPr>
            </w:pPr>
            <w:r>
              <w:rPr>
                <w:rFonts w:ascii="Arial" w:cs="Arial" w:eastAsia="Arial" w:hAnsi="Arial"/>
                <w:sz w:val="11"/>
                <w:szCs w:val="11"/>
                <w:b w:val="1"/>
                <w:bCs w:val="1"/>
                <w:color w:val="auto"/>
                <w:w w:val="87"/>
              </w:rPr>
              <w:t>Number of securities</w:t>
            </w:r>
          </w:p>
        </w:tc>
        <w:tc>
          <w:tcPr>
            <w:tcW w:w="0" w:type="dxa"/>
            <w:vAlign w:val="bottom"/>
          </w:tcPr>
          <w:p>
            <w:pPr>
              <w:spacing w:after="0"/>
              <w:rPr>
                <w:sz w:val="1"/>
                <w:szCs w:val="1"/>
                <w:color w:val="auto"/>
              </w:rPr>
            </w:pPr>
          </w:p>
        </w:tc>
      </w:tr>
      <w:tr>
        <w:trPr>
          <w:trHeight w:val="135"/>
        </w:trPr>
        <w:tc>
          <w:tcPr>
            <w:tcW w:w="1200" w:type="dxa"/>
            <w:vAlign w:val="bottom"/>
          </w:tcPr>
          <w:p>
            <w:pPr>
              <w:jc w:val="center"/>
              <w:spacing w:after="0"/>
              <w:rPr>
                <w:sz w:val="20"/>
                <w:szCs w:val="20"/>
                <w:color w:val="auto"/>
              </w:rPr>
            </w:pPr>
            <w:r>
              <w:rPr>
                <w:rFonts w:ascii="Arial" w:cs="Arial" w:eastAsia="Arial" w:hAnsi="Arial"/>
                <w:sz w:val="11"/>
                <w:szCs w:val="11"/>
                <w:b w:val="1"/>
                <w:bCs w:val="1"/>
                <w:color w:val="auto"/>
                <w:w w:val="84"/>
              </w:rPr>
              <w:t>to be issued upon</w:t>
            </w:r>
          </w:p>
        </w:tc>
        <w:tc>
          <w:tcPr>
            <w:tcW w:w="1200" w:type="dxa"/>
            <w:vAlign w:val="bottom"/>
          </w:tcPr>
          <w:p>
            <w:pPr>
              <w:jc w:val="center"/>
              <w:spacing w:after="0"/>
              <w:rPr>
                <w:sz w:val="20"/>
                <w:szCs w:val="20"/>
                <w:color w:val="auto"/>
              </w:rPr>
            </w:pPr>
            <w:r>
              <w:rPr>
                <w:rFonts w:ascii="Arial" w:cs="Arial" w:eastAsia="Arial" w:hAnsi="Arial"/>
                <w:sz w:val="11"/>
                <w:szCs w:val="11"/>
                <w:b w:val="1"/>
                <w:bCs w:val="1"/>
                <w:color w:val="auto"/>
                <w:w w:val="88"/>
              </w:rPr>
              <w:t>Weighted-average</w:t>
            </w:r>
          </w:p>
        </w:tc>
        <w:tc>
          <w:tcPr>
            <w:tcW w:w="1500" w:type="dxa"/>
            <w:vAlign w:val="bottom"/>
          </w:tcPr>
          <w:p>
            <w:pPr>
              <w:jc w:val="center"/>
              <w:spacing w:after="0"/>
              <w:rPr>
                <w:sz w:val="20"/>
                <w:szCs w:val="20"/>
                <w:color w:val="auto"/>
              </w:rPr>
            </w:pPr>
            <w:r>
              <w:rPr>
                <w:rFonts w:ascii="Arial" w:cs="Arial" w:eastAsia="Arial" w:hAnsi="Arial"/>
                <w:sz w:val="11"/>
                <w:szCs w:val="11"/>
                <w:b w:val="1"/>
                <w:bCs w:val="1"/>
                <w:color w:val="auto"/>
                <w:w w:val="87"/>
              </w:rPr>
              <w:t>available for future issuance</w:t>
            </w:r>
          </w:p>
        </w:tc>
        <w:tc>
          <w:tcPr>
            <w:tcW w:w="0" w:type="dxa"/>
            <w:vAlign w:val="bottom"/>
          </w:tcPr>
          <w:p>
            <w:pPr>
              <w:spacing w:after="0"/>
              <w:rPr>
                <w:sz w:val="1"/>
                <w:szCs w:val="1"/>
                <w:color w:val="auto"/>
              </w:rPr>
            </w:pPr>
          </w:p>
        </w:tc>
      </w:tr>
      <w:tr>
        <w:trPr>
          <w:trHeight w:val="135"/>
        </w:trPr>
        <w:tc>
          <w:tcPr>
            <w:tcW w:w="1200" w:type="dxa"/>
            <w:vAlign w:val="bottom"/>
          </w:tcPr>
          <w:p>
            <w:pPr>
              <w:jc w:val="center"/>
              <w:spacing w:after="0"/>
              <w:rPr>
                <w:sz w:val="20"/>
                <w:szCs w:val="20"/>
                <w:color w:val="auto"/>
              </w:rPr>
            </w:pPr>
            <w:r>
              <w:rPr>
                <w:rFonts w:ascii="Arial" w:cs="Arial" w:eastAsia="Arial" w:hAnsi="Arial"/>
                <w:sz w:val="11"/>
                <w:szCs w:val="11"/>
                <w:b w:val="1"/>
                <w:bCs w:val="1"/>
                <w:color w:val="auto"/>
                <w:w w:val="83"/>
              </w:rPr>
              <w:t>exercise of</w:t>
            </w:r>
          </w:p>
        </w:tc>
        <w:tc>
          <w:tcPr>
            <w:tcW w:w="1200" w:type="dxa"/>
            <w:vAlign w:val="bottom"/>
          </w:tcPr>
          <w:p>
            <w:pPr>
              <w:jc w:val="center"/>
              <w:spacing w:after="0"/>
              <w:rPr>
                <w:sz w:val="20"/>
                <w:szCs w:val="20"/>
                <w:color w:val="auto"/>
              </w:rPr>
            </w:pPr>
            <w:r>
              <w:rPr>
                <w:rFonts w:ascii="Arial" w:cs="Arial" w:eastAsia="Arial" w:hAnsi="Arial"/>
                <w:sz w:val="11"/>
                <w:szCs w:val="11"/>
                <w:b w:val="1"/>
                <w:bCs w:val="1"/>
                <w:color w:val="auto"/>
                <w:w w:val="85"/>
              </w:rPr>
              <w:t>exercise price of</w:t>
            </w:r>
          </w:p>
        </w:tc>
        <w:tc>
          <w:tcPr>
            <w:tcW w:w="1500" w:type="dxa"/>
            <w:vAlign w:val="bottom"/>
          </w:tcPr>
          <w:p>
            <w:pPr>
              <w:jc w:val="center"/>
              <w:spacing w:after="0"/>
              <w:rPr>
                <w:sz w:val="20"/>
                <w:szCs w:val="20"/>
                <w:color w:val="auto"/>
              </w:rPr>
            </w:pPr>
            <w:r>
              <w:rPr>
                <w:rFonts w:ascii="Arial" w:cs="Arial" w:eastAsia="Arial" w:hAnsi="Arial"/>
                <w:sz w:val="11"/>
                <w:szCs w:val="11"/>
                <w:b w:val="1"/>
                <w:bCs w:val="1"/>
                <w:color w:val="auto"/>
                <w:w w:val="87"/>
              </w:rPr>
              <w:t>under equity compensation</w:t>
            </w:r>
          </w:p>
        </w:tc>
        <w:tc>
          <w:tcPr>
            <w:tcW w:w="0" w:type="dxa"/>
            <w:vAlign w:val="bottom"/>
          </w:tcPr>
          <w:p>
            <w:pPr>
              <w:spacing w:after="0"/>
              <w:rPr>
                <w:sz w:val="1"/>
                <w:szCs w:val="1"/>
                <w:color w:val="auto"/>
              </w:rPr>
            </w:pPr>
          </w:p>
        </w:tc>
      </w:tr>
      <w:tr>
        <w:trPr>
          <w:trHeight w:val="135"/>
        </w:trPr>
        <w:tc>
          <w:tcPr>
            <w:tcW w:w="1200" w:type="dxa"/>
            <w:vAlign w:val="bottom"/>
          </w:tcPr>
          <w:p>
            <w:pPr>
              <w:jc w:val="center"/>
              <w:ind w:right="6"/>
              <w:spacing w:after="0"/>
              <w:rPr>
                <w:sz w:val="20"/>
                <w:szCs w:val="20"/>
                <w:color w:val="auto"/>
              </w:rPr>
            </w:pPr>
            <w:r>
              <w:rPr>
                <w:rFonts w:ascii="Arial" w:cs="Arial" w:eastAsia="Arial" w:hAnsi="Arial"/>
                <w:sz w:val="11"/>
                <w:szCs w:val="11"/>
                <w:b w:val="1"/>
                <w:bCs w:val="1"/>
                <w:color w:val="auto"/>
                <w:w w:val="86"/>
              </w:rPr>
              <w:t>outstanding options,</w:t>
            </w:r>
          </w:p>
        </w:tc>
        <w:tc>
          <w:tcPr>
            <w:tcW w:w="1200" w:type="dxa"/>
            <w:vAlign w:val="bottom"/>
          </w:tcPr>
          <w:p>
            <w:pPr>
              <w:jc w:val="center"/>
              <w:spacing w:after="0"/>
              <w:rPr>
                <w:sz w:val="20"/>
                <w:szCs w:val="20"/>
                <w:color w:val="auto"/>
              </w:rPr>
            </w:pPr>
            <w:r>
              <w:rPr>
                <w:rFonts w:ascii="Arial" w:cs="Arial" w:eastAsia="Arial" w:hAnsi="Arial"/>
                <w:sz w:val="11"/>
                <w:szCs w:val="11"/>
                <w:b w:val="1"/>
                <w:bCs w:val="1"/>
                <w:color w:val="auto"/>
                <w:w w:val="86"/>
              </w:rPr>
              <w:t>outstanding options,</w:t>
            </w:r>
          </w:p>
        </w:tc>
        <w:tc>
          <w:tcPr>
            <w:tcW w:w="1500" w:type="dxa"/>
            <w:vAlign w:val="bottom"/>
          </w:tcPr>
          <w:p>
            <w:pPr>
              <w:jc w:val="center"/>
              <w:spacing w:after="0"/>
              <w:rPr>
                <w:sz w:val="20"/>
                <w:szCs w:val="20"/>
                <w:color w:val="auto"/>
              </w:rPr>
            </w:pPr>
            <w:r>
              <w:rPr>
                <w:rFonts w:ascii="Arial" w:cs="Arial" w:eastAsia="Arial" w:hAnsi="Arial"/>
                <w:sz w:val="11"/>
                <w:szCs w:val="11"/>
                <w:b w:val="1"/>
                <w:bCs w:val="1"/>
                <w:color w:val="auto"/>
                <w:w w:val="86"/>
              </w:rPr>
              <w:t>plans (excluding securities</w:t>
            </w:r>
          </w:p>
        </w:tc>
        <w:tc>
          <w:tcPr>
            <w:tcW w:w="0" w:type="dxa"/>
            <w:vAlign w:val="bottom"/>
          </w:tcPr>
          <w:p>
            <w:pPr>
              <w:spacing w:after="0"/>
              <w:rPr>
                <w:sz w:val="1"/>
                <w:szCs w:val="1"/>
                <w:color w:val="auto"/>
              </w:rPr>
            </w:pPr>
          </w:p>
        </w:tc>
      </w:tr>
      <w:tr>
        <w:trPr>
          <w:trHeight w:val="142"/>
        </w:trPr>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0"/>
              </w:rPr>
              <w:t>warrants and rights</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0"/>
              </w:rPr>
              <w:t>warrants and rights</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7"/>
              </w:rPr>
              <w:t>reflected in column (a))</w:t>
            </w:r>
          </w:p>
        </w:tc>
        <w:tc>
          <w:tcPr>
            <w:tcW w:w="0" w:type="dxa"/>
            <w:vAlign w:val="bottom"/>
          </w:tcPr>
          <w:p>
            <w:pPr>
              <w:spacing w:after="0"/>
              <w:rPr>
                <w:sz w:val="1"/>
                <w:szCs w:val="1"/>
                <w:color w:val="auto"/>
              </w:rPr>
            </w:pPr>
          </w:p>
        </w:tc>
      </w:tr>
      <w:tr>
        <w:trPr>
          <w:trHeight w:val="131"/>
        </w:trPr>
        <w:tc>
          <w:tcPr>
            <w:tcW w:w="1200" w:type="dxa"/>
            <w:vAlign w:val="bottom"/>
          </w:tcPr>
          <w:p>
            <w:pPr>
              <w:jc w:val="center"/>
              <w:spacing w:after="0"/>
              <w:rPr>
                <w:sz w:val="20"/>
                <w:szCs w:val="20"/>
                <w:color w:val="auto"/>
              </w:rPr>
            </w:pPr>
            <w:r>
              <w:rPr>
                <w:rFonts w:ascii="Arial" w:cs="Arial" w:eastAsia="Arial" w:hAnsi="Arial"/>
                <w:sz w:val="11"/>
                <w:szCs w:val="11"/>
                <w:b w:val="1"/>
                <w:bCs w:val="1"/>
                <w:color w:val="auto"/>
                <w:w w:val="88"/>
              </w:rPr>
              <w:t>(a)</w:t>
            </w:r>
          </w:p>
        </w:tc>
        <w:tc>
          <w:tcPr>
            <w:tcW w:w="1200" w:type="dxa"/>
            <w:vAlign w:val="bottom"/>
          </w:tcPr>
          <w:p>
            <w:pPr>
              <w:jc w:val="center"/>
              <w:spacing w:after="0"/>
              <w:rPr>
                <w:sz w:val="20"/>
                <w:szCs w:val="20"/>
                <w:color w:val="auto"/>
              </w:rPr>
            </w:pPr>
            <w:r>
              <w:rPr>
                <w:rFonts w:ascii="Arial" w:cs="Arial" w:eastAsia="Arial" w:hAnsi="Arial"/>
                <w:sz w:val="11"/>
                <w:szCs w:val="11"/>
                <w:b w:val="1"/>
                <w:bCs w:val="1"/>
                <w:color w:val="auto"/>
                <w:w w:val="85"/>
              </w:rPr>
              <w:t>(b)</w:t>
            </w:r>
          </w:p>
        </w:tc>
        <w:tc>
          <w:tcPr>
            <w:tcW w:w="1500" w:type="dxa"/>
            <w:vAlign w:val="bottom"/>
          </w:tcPr>
          <w:p>
            <w:pPr>
              <w:jc w:val="center"/>
              <w:ind w:left="6"/>
              <w:spacing w:after="0"/>
              <w:rPr>
                <w:sz w:val="20"/>
                <w:szCs w:val="20"/>
                <w:color w:val="auto"/>
              </w:rPr>
            </w:pPr>
            <w:r>
              <w:rPr>
                <w:rFonts w:ascii="Arial" w:cs="Arial" w:eastAsia="Arial" w:hAnsi="Arial"/>
                <w:sz w:val="11"/>
                <w:szCs w:val="11"/>
                <w:b w:val="1"/>
                <w:bCs w:val="1"/>
                <w:color w:val="auto"/>
                <w:w w:val="88"/>
              </w:rPr>
              <w:t>(c)</w:t>
            </w:r>
          </w:p>
        </w:tc>
        <w:tc>
          <w:tcPr>
            <w:tcW w:w="0" w:type="dxa"/>
            <w:vAlign w:val="bottom"/>
          </w:tcPr>
          <w:p>
            <w:pPr>
              <w:spacing w:after="0"/>
              <w:rPr>
                <w:sz w:val="1"/>
                <w:szCs w:val="1"/>
                <w:color w:val="auto"/>
              </w:rPr>
            </w:pPr>
          </w:p>
        </w:tc>
      </w:tr>
      <w:tr>
        <w:trPr>
          <w:trHeight w:val="427"/>
        </w:trPr>
        <w:tc>
          <w:tcPr>
            <w:tcW w:w="1200" w:type="dxa"/>
            <w:vAlign w:val="bottom"/>
            <w:vMerge w:val="restart"/>
          </w:tcPr>
          <w:p>
            <w:pPr>
              <w:jc w:val="center"/>
              <w:ind w:right="6"/>
              <w:spacing w:after="0"/>
              <w:rPr>
                <w:sz w:val="20"/>
                <w:szCs w:val="20"/>
                <w:color w:val="auto"/>
              </w:rPr>
            </w:pPr>
            <w:r>
              <w:rPr>
                <w:rFonts w:ascii="Courier New" w:cs="Courier New" w:eastAsia="Courier New" w:hAnsi="Courier New"/>
                <w:sz w:val="11"/>
                <w:szCs w:val="11"/>
                <w:color w:val="auto"/>
                <w:w w:val="90"/>
              </w:rPr>
              <w:t>-</w:t>
            </w:r>
          </w:p>
        </w:tc>
        <w:tc>
          <w:tcPr>
            <w:tcW w:w="1200" w:type="dxa"/>
            <w:vAlign w:val="bottom"/>
            <w:vMerge w:val="restart"/>
          </w:tcPr>
          <w:p>
            <w:pPr>
              <w:jc w:val="center"/>
              <w:spacing w:after="0"/>
              <w:rPr>
                <w:sz w:val="20"/>
                <w:szCs w:val="20"/>
                <w:color w:val="auto"/>
              </w:rPr>
            </w:pPr>
            <w:r>
              <w:rPr>
                <w:rFonts w:ascii="Courier New" w:cs="Courier New" w:eastAsia="Courier New" w:hAnsi="Courier New"/>
                <w:sz w:val="11"/>
                <w:szCs w:val="11"/>
                <w:color w:val="auto"/>
                <w:w w:val="90"/>
              </w:rPr>
              <w:t>-</w:t>
            </w:r>
          </w:p>
        </w:tc>
        <w:tc>
          <w:tcPr>
            <w:tcW w:w="1500" w:type="dxa"/>
            <w:vAlign w:val="bottom"/>
          </w:tcPr>
          <w:p>
            <w:pPr>
              <w:jc w:val="center"/>
              <w:ind w:left="6"/>
              <w:spacing w:after="0"/>
              <w:rPr>
                <w:sz w:val="20"/>
                <w:szCs w:val="20"/>
                <w:color w:val="auto"/>
              </w:rPr>
            </w:pPr>
            <w:r>
              <w:rPr>
                <w:rFonts w:ascii="Arial" w:cs="Arial" w:eastAsia="Arial" w:hAnsi="Arial"/>
                <w:sz w:val="11"/>
                <w:szCs w:val="11"/>
                <w:color w:val="auto"/>
                <w:w w:val="86"/>
              </w:rPr>
              <w:t>4,992,583</w:t>
            </w:r>
            <w:r>
              <w:rPr>
                <w:rFonts w:ascii="Arial" w:cs="Arial" w:eastAsia="Arial" w:hAnsi="Arial"/>
                <w:sz w:val="18"/>
                <w:szCs w:val="18"/>
                <w:color w:val="auto"/>
                <w:w w:val="86"/>
                <w:vertAlign w:val="superscript"/>
              </w:rPr>
              <w:t>1</w:t>
            </w:r>
          </w:p>
        </w:tc>
        <w:tc>
          <w:tcPr>
            <w:tcW w:w="0" w:type="dxa"/>
            <w:vAlign w:val="bottom"/>
          </w:tcPr>
          <w:p>
            <w:pPr>
              <w:spacing w:after="0"/>
              <w:rPr>
                <w:sz w:val="1"/>
                <w:szCs w:val="1"/>
                <w:color w:val="auto"/>
              </w:rPr>
            </w:pPr>
          </w:p>
        </w:tc>
      </w:tr>
      <w:tr>
        <w:trPr>
          <w:trHeight w:val="32"/>
        </w:trPr>
        <w:tc>
          <w:tcPr>
            <w:tcW w:w="1200" w:type="dxa"/>
            <w:vAlign w:val="bottom"/>
            <w:vMerge w:val="continue"/>
          </w:tcPr>
          <w:p>
            <w:pPr>
              <w:spacing w:after="0"/>
              <w:rPr>
                <w:sz w:val="2"/>
                <w:szCs w:val="2"/>
                <w:color w:val="auto"/>
              </w:rPr>
            </w:pPr>
          </w:p>
        </w:tc>
        <w:tc>
          <w:tcPr>
            <w:tcW w:w="1200" w:type="dxa"/>
            <w:vAlign w:val="bottom"/>
            <w:vMerge w:val="continue"/>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68"/>
        </w:trPr>
        <w:tc>
          <w:tcPr>
            <w:tcW w:w="1200" w:type="dxa"/>
            <w:vAlign w:val="bottom"/>
          </w:tcPr>
          <w:p>
            <w:pPr>
              <w:jc w:val="center"/>
              <w:ind w:right="6"/>
              <w:spacing w:after="0"/>
              <w:rPr>
                <w:sz w:val="20"/>
                <w:szCs w:val="20"/>
                <w:color w:val="auto"/>
              </w:rPr>
            </w:pPr>
            <w:r>
              <w:rPr>
                <w:rFonts w:ascii="Courier New" w:cs="Courier New" w:eastAsia="Courier New" w:hAnsi="Courier New"/>
                <w:sz w:val="11"/>
                <w:szCs w:val="11"/>
                <w:color w:val="auto"/>
                <w:w w:val="90"/>
              </w:rPr>
              <w:t>-</w:t>
            </w:r>
          </w:p>
        </w:tc>
        <w:tc>
          <w:tcPr>
            <w:tcW w:w="1200" w:type="dxa"/>
            <w:vAlign w:val="bottom"/>
          </w:tcPr>
          <w:p>
            <w:pPr>
              <w:jc w:val="center"/>
              <w:spacing w:after="0"/>
              <w:rPr>
                <w:sz w:val="20"/>
                <w:szCs w:val="20"/>
                <w:color w:val="auto"/>
              </w:rPr>
            </w:pPr>
            <w:r>
              <w:rPr>
                <w:rFonts w:ascii="Courier New" w:cs="Courier New" w:eastAsia="Courier New" w:hAnsi="Courier New"/>
                <w:sz w:val="11"/>
                <w:szCs w:val="11"/>
                <w:color w:val="auto"/>
                <w:w w:val="90"/>
              </w:rPr>
              <w:t>-</w:t>
            </w:r>
          </w:p>
        </w:tc>
        <w:tc>
          <w:tcPr>
            <w:tcW w:w="1500" w:type="dxa"/>
            <w:vAlign w:val="bottom"/>
          </w:tcPr>
          <w:p>
            <w:pPr>
              <w:jc w:val="center"/>
              <w:spacing w:after="0"/>
              <w:rPr>
                <w:sz w:val="20"/>
                <w:szCs w:val="20"/>
                <w:color w:val="auto"/>
              </w:rPr>
            </w:pPr>
            <w:r>
              <w:rPr>
                <w:rFonts w:ascii="Courier New" w:cs="Courier New" w:eastAsia="Courier New" w:hAnsi="Courier New"/>
                <w:sz w:val="11"/>
                <w:szCs w:val="11"/>
                <w:color w:val="auto"/>
                <w:w w:val="90"/>
              </w:rPr>
              <w:t>-</w:t>
            </w:r>
          </w:p>
        </w:tc>
        <w:tc>
          <w:tcPr>
            <w:tcW w:w="0" w:type="dxa"/>
            <w:vAlign w:val="bottom"/>
          </w:tcPr>
          <w:p>
            <w:pPr>
              <w:spacing w:after="0"/>
              <w:rPr>
                <w:sz w:val="1"/>
                <w:szCs w:val="1"/>
                <w:color w:val="auto"/>
              </w:rPr>
            </w:pPr>
          </w:p>
        </w:tc>
      </w:tr>
      <w:tr>
        <w:trPr>
          <w:trHeight w:val="283"/>
        </w:trPr>
        <w:tc>
          <w:tcPr>
            <w:tcW w:w="12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1200" w:type="dxa"/>
            <w:vAlign w:val="bottom"/>
            <w:vMerge w:val="restart"/>
          </w:tcPr>
          <w:p>
            <w:pPr>
              <w:jc w:val="center"/>
              <w:ind w:right="6"/>
              <w:spacing w:after="0"/>
              <w:rPr>
                <w:sz w:val="20"/>
                <w:szCs w:val="20"/>
                <w:color w:val="auto"/>
              </w:rPr>
            </w:pPr>
            <w:r>
              <w:rPr>
                <w:rFonts w:ascii="Courier New" w:cs="Courier New" w:eastAsia="Courier New" w:hAnsi="Courier New"/>
                <w:sz w:val="11"/>
                <w:szCs w:val="11"/>
                <w:color w:val="auto"/>
                <w:w w:val="90"/>
              </w:rPr>
              <w:t>-</w:t>
            </w:r>
          </w:p>
        </w:tc>
        <w:tc>
          <w:tcPr>
            <w:tcW w:w="1200" w:type="dxa"/>
            <w:vAlign w:val="bottom"/>
            <w:vMerge w:val="restart"/>
          </w:tcPr>
          <w:p>
            <w:pPr>
              <w:jc w:val="center"/>
              <w:spacing w:after="0"/>
              <w:rPr>
                <w:sz w:val="20"/>
                <w:szCs w:val="20"/>
                <w:color w:val="auto"/>
              </w:rPr>
            </w:pPr>
            <w:r>
              <w:rPr>
                <w:rFonts w:ascii="Courier New" w:cs="Courier New" w:eastAsia="Courier New" w:hAnsi="Courier New"/>
                <w:sz w:val="11"/>
                <w:szCs w:val="11"/>
                <w:color w:val="auto"/>
                <w:w w:val="90"/>
              </w:rPr>
              <w:t>-</w:t>
            </w:r>
          </w:p>
        </w:tc>
        <w:tc>
          <w:tcPr>
            <w:tcW w:w="1500" w:type="dxa"/>
            <w:vAlign w:val="bottom"/>
          </w:tcPr>
          <w:p>
            <w:pPr>
              <w:jc w:val="center"/>
              <w:spacing w:after="0" w:line="125" w:lineRule="exact"/>
              <w:rPr>
                <w:sz w:val="20"/>
                <w:szCs w:val="20"/>
                <w:color w:val="auto"/>
              </w:rPr>
            </w:pPr>
            <w:r>
              <w:rPr>
                <w:rFonts w:ascii="Arial" w:cs="Arial" w:eastAsia="Arial" w:hAnsi="Arial"/>
                <w:sz w:val="11"/>
                <w:szCs w:val="11"/>
                <w:color w:val="auto"/>
                <w:w w:val="85"/>
              </w:rPr>
              <w:t>4,992,583</w:t>
            </w:r>
          </w:p>
        </w:tc>
        <w:tc>
          <w:tcPr>
            <w:tcW w:w="0" w:type="dxa"/>
            <w:vAlign w:val="bottom"/>
          </w:tcPr>
          <w:p>
            <w:pPr>
              <w:spacing w:after="0"/>
              <w:rPr>
                <w:sz w:val="1"/>
                <w:szCs w:val="1"/>
                <w:color w:val="auto"/>
              </w:rPr>
            </w:pPr>
          </w:p>
        </w:tc>
      </w:tr>
      <w:tr>
        <w:trPr>
          <w:trHeight w:val="58"/>
        </w:trPr>
        <w:tc>
          <w:tcPr>
            <w:tcW w:w="1200" w:type="dxa"/>
            <w:vAlign w:val="bottom"/>
            <w:vMerge w:val="continue"/>
          </w:tcPr>
          <w:p>
            <w:pPr>
              <w:spacing w:after="0"/>
              <w:rPr>
                <w:sz w:val="5"/>
                <w:szCs w:val="5"/>
                <w:color w:val="auto"/>
              </w:rPr>
            </w:pPr>
          </w:p>
        </w:tc>
        <w:tc>
          <w:tcPr>
            <w:tcW w:w="1200" w:type="dxa"/>
            <w:vAlign w:val="bottom"/>
            <w:vMerge w:val="continue"/>
          </w:tcPr>
          <w:p>
            <w:pPr>
              <w:spacing w:after="0"/>
              <w:rPr>
                <w:sz w:val="5"/>
                <w:szCs w:val="5"/>
                <w:color w:val="auto"/>
              </w:rPr>
            </w:pPr>
          </w:p>
        </w:tc>
        <w:tc>
          <w:tcPr>
            <w:tcW w:w="1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120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15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-773430</wp:posOffset>
            </wp:positionH>
            <wp:positionV relativeFrom="paragraph">
              <wp:posOffset>85725</wp:posOffset>
            </wp:positionV>
            <wp:extent cx="3254375" cy="971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9">
                      <a:extLst>
                        <a:ext uri="{28A0092B-C50C-407E-A947-70E740481C1C}"/>
                      </a:extLst>
                    </a:blip>
                    <a:srcRect/>
                    <a:stretch>
                      <a:fillRect/>
                    </a:stretch>
                  </pic:blipFill>
                  <pic:spPr bwMode="auto">
                    <a:xfrm>
                      <a:off x="0" y="0"/>
                      <a:ext cx="3254375" cy="97155"/>
                    </a:xfrm>
                    <a:prstGeom prst="rect">
                      <a:avLst/>
                    </a:prstGeom>
                    <a:noFill/>
                  </pic:spPr>
                </pic:pic>
              </a:graphicData>
            </a:graphic>
          </wp:anchor>
        </w:drawing>
      </w:r>
    </w:p>
    <w:p>
      <w:pPr>
        <w:spacing w:after="0" w:line="103" w:lineRule="exact"/>
        <w:rPr>
          <w:sz w:val="20"/>
          <w:szCs w:val="20"/>
          <w:color w:val="auto"/>
        </w:rPr>
      </w:pPr>
    </w:p>
    <w:p>
      <w:pPr>
        <w:sectPr>
          <w:pgSz w:w="11900" w:h="16838" w:orient="portrait"/>
          <w:cols w:equalWidth="0" w:num="2">
            <w:col w:w="4380" w:space="20"/>
            <w:col w:w="7000"/>
          </w:cols>
          <w:pgMar w:left="220" w:top="131" w:right="279" w:bottom="1440" w:gutter="0" w:footer="0" w:header="0"/>
          <w:type w:val="continuous"/>
        </w:sectPr>
      </w:pPr>
    </w:p>
    <w:p>
      <w:pPr>
        <w:ind w:left="3480" w:hanging="295"/>
        <w:spacing w:after="0"/>
        <w:tabs>
          <w:tab w:leader="none" w:pos="3480" w:val="left"/>
        </w:tabs>
        <w:numPr>
          <w:ilvl w:val="0"/>
          <w:numId w:val="18"/>
        </w:numPr>
        <w:rPr>
          <w:rFonts w:ascii="Arial" w:cs="Arial" w:eastAsia="Arial" w:hAnsi="Arial"/>
          <w:sz w:val="15"/>
          <w:szCs w:val="15"/>
          <w:color w:val="auto"/>
          <w:vertAlign w:val="superscript"/>
        </w:rPr>
      </w:pPr>
      <w:r>
        <w:rPr>
          <w:rFonts w:ascii="Arial" w:cs="Arial" w:eastAsia="Arial" w:hAnsi="Arial"/>
          <w:sz w:val="9"/>
          <w:szCs w:val="9"/>
          <w:color w:val="auto"/>
        </w:rPr>
        <w:t>Shares available for issuance under the Uniti Group Inc. 2015 Equity Incentive Plan.</w:t>
      </w:r>
    </w:p>
    <w:p>
      <w:pPr>
        <w:spacing w:after="0" w:line="292" w:lineRule="exact"/>
        <w:rPr>
          <w:rFonts w:ascii="Arial" w:cs="Arial" w:eastAsia="Arial" w:hAnsi="Arial"/>
          <w:sz w:val="15"/>
          <w:szCs w:val="15"/>
          <w:color w:val="auto"/>
          <w:vertAlign w:val="superscript"/>
        </w:rPr>
      </w:pPr>
    </w:p>
    <w:p>
      <w:pPr>
        <w:ind w:left="5640"/>
        <w:spacing w:after="0"/>
        <w:rPr>
          <w:rFonts w:ascii="Arial" w:cs="Arial" w:eastAsia="Arial" w:hAnsi="Arial"/>
          <w:sz w:val="15"/>
          <w:szCs w:val="15"/>
          <w:color w:val="auto"/>
          <w:vertAlign w:val="superscript"/>
        </w:rPr>
      </w:pPr>
      <w:r>
        <w:rPr>
          <w:rFonts w:ascii="Arial" w:cs="Arial" w:eastAsia="Arial" w:hAnsi="Arial"/>
          <w:sz w:val="12"/>
          <w:szCs w:val="12"/>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0">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00"/>
          </w:cols>
          <w:pgMar w:left="220" w:top="131" w:right="279" w:bottom="1440" w:gutter="0" w:footer="0" w:header="0"/>
          <w:type w:val="continuous"/>
        </w:sectPr>
      </w:pPr>
    </w:p>
    <w:bookmarkStart w:id="101" w:name="page102"/>
    <w:bookmarkEnd w:id="101"/>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13. Certain Relationships and Related Transactions, and Director Independence.</w:t>
      </w:r>
    </w:p>
    <w:p>
      <w:pPr>
        <w:spacing w:after="0" w:line="82"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The information required by this item is incorporated by reference from the definitive proxy statement to be filed within 120 days after December 31, 2017, pursuant to Regulation 14A under the Exchange Act in connection with our 2018 annual meeting of stockholders.</w:t>
      </w:r>
    </w:p>
    <w:p>
      <w:pPr>
        <w:spacing w:after="0" w:line="18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14. Principal Accounting Fees and Services.</w:t>
      </w:r>
    </w:p>
    <w:p>
      <w:pPr>
        <w:spacing w:after="0" w:line="82"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The information required by this item is incorporated by reference from the definitive proxy statement to be filed within 120 days after December 31, 2017, pursuant to Regulation 14A under the Exchange Act in connection with our 2018 annual meeting of stockholders.</w:t>
      </w:r>
    </w:p>
    <w:p>
      <w:pPr>
        <w:spacing w:after="0" w:line="115"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1">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00"/>
          </w:cols>
          <w:pgMar w:left="220" w:top="131" w:right="279" w:bottom="1440" w:gutter="0" w:footer="0" w:header="0"/>
        </w:sectPr>
      </w:pPr>
    </w:p>
    <w:bookmarkStart w:id="102" w:name="page103"/>
    <w:bookmarkEnd w:id="102"/>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74"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PART IV</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15. Exhibits, Financial Statement Schedules.</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Financial Statements</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color w:val="auto"/>
        </w:rPr>
        <w:t>See Index to Consolidated Financial Statements in “Financial Statements and Supplementary Data.”</w:t>
      </w:r>
    </w:p>
    <w:p>
      <w:pPr>
        <w:spacing w:after="0" w:line="2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Financial Statement Schedules</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color w:val="auto"/>
        </w:rPr>
        <w:t>Uniti Group Inc. Schedule I – Condensed Financial Information of the Registrant (Parent Company) on page S-1 of this report.</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color w:val="auto"/>
        </w:rPr>
        <w:t>Uniti Group Inc. Schedule II – Valuation and Qualifying Accounts on page S-5 of this report.</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color w:val="auto"/>
        </w:rPr>
        <w:t>Uniti Group Inc. Schedule III – Schedule of Real Estate Investments and Accumulated Depreciation on page S-6 of this report.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620" w:type="dxa"/>
            <w:vAlign w:val="bottom"/>
            <w:gridSpan w:val="2"/>
          </w:tcPr>
          <w:p>
            <w:pPr>
              <w:spacing w:after="0"/>
              <w:rPr>
                <w:sz w:val="20"/>
                <w:szCs w:val="20"/>
                <w:color w:val="auto"/>
              </w:rPr>
            </w:pPr>
            <w:r>
              <w:rPr>
                <w:rFonts w:ascii="Arial" w:cs="Arial" w:eastAsia="Arial" w:hAnsi="Arial"/>
                <w:sz w:val="12"/>
                <w:szCs w:val="12"/>
                <w:b w:val="1"/>
                <w:bCs w:val="1"/>
                <w:color w:val="auto"/>
              </w:rPr>
              <w:t>Index to Exhibits</w:t>
            </w:r>
          </w:p>
        </w:tc>
        <w:tc>
          <w:tcPr>
            <w:tcW w:w="1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302"/>
        </w:trPr>
        <w:tc>
          <w:tcPr>
            <w:tcW w:w="1620" w:type="dxa"/>
            <w:vAlign w:val="bottom"/>
            <w:gridSpan w:val="2"/>
          </w:tcPr>
          <w:p>
            <w:pPr>
              <w:ind w:left="320"/>
              <w:spacing w:after="0"/>
              <w:rPr>
                <w:sz w:val="20"/>
                <w:szCs w:val="20"/>
                <w:color w:val="auto"/>
              </w:rPr>
            </w:pPr>
            <w:r>
              <w:rPr>
                <w:rFonts w:ascii="Arial" w:cs="Arial" w:eastAsia="Arial" w:hAnsi="Arial"/>
                <w:sz w:val="12"/>
                <w:szCs w:val="12"/>
                <w:b w:val="1"/>
                <w:bCs w:val="1"/>
                <w:color w:val="auto"/>
              </w:rPr>
              <w:t>Exhibit No.</w:t>
            </w:r>
          </w:p>
        </w:tc>
        <w:tc>
          <w:tcPr>
            <w:tcW w:w="1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300" w:type="dxa"/>
            <w:vAlign w:val="bottom"/>
            <w:gridSpan w:val="15"/>
          </w:tcPr>
          <w:p>
            <w:pPr>
              <w:ind w:left="2060"/>
              <w:spacing w:after="0"/>
              <w:rPr>
                <w:sz w:val="20"/>
                <w:szCs w:val="20"/>
                <w:color w:val="auto"/>
              </w:rPr>
            </w:pPr>
            <w:r>
              <w:rPr>
                <w:rFonts w:ascii="Arial" w:cs="Arial" w:eastAsia="Arial" w:hAnsi="Arial"/>
                <w:sz w:val="12"/>
                <w:szCs w:val="12"/>
                <w:b w:val="1"/>
                <w:bCs w:val="1"/>
                <w:color w:val="auto"/>
              </w:rPr>
              <w:t>Description</w:t>
            </w:r>
          </w:p>
        </w:tc>
      </w:tr>
      <w:tr>
        <w:trPr>
          <w:trHeight w:val="120"/>
        </w:trPr>
        <w:tc>
          <w:tcPr>
            <w:tcW w:w="1260" w:type="dxa"/>
            <w:vAlign w:val="bottom"/>
            <w:tcBorders>
              <w:top w:val="single" w:sz="8" w:color="auto"/>
            </w:tcBorders>
          </w:tcPr>
          <w:p>
            <w:pPr>
              <w:spacing w:after="0" w:line="120" w:lineRule="exact"/>
              <w:rPr>
                <w:sz w:val="20"/>
                <w:szCs w:val="20"/>
                <w:color w:val="auto"/>
              </w:rPr>
            </w:pPr>
            <w:r>
              <w:rPr>
                <w:rFonts w:ascii="Arial" w:cs="Arial" w:eastAsia="Arial" w:hAnsi="Arial"/>
                <w:sz w:val="12"/>
                <w:szCs w:val="12"/>
                <w:color w:val="auto"/>
              </w:rPr>
              <w:t>2.1</w:t>
            </w:r>
          </w:p>
        </w:tc>
        <w:tc>
          <w:tcPr>
            <w:tcW w:w="360" w:type="dxa"/>
            <w:vAlign w:val="bottom"/>
          </w:tcPr>
          <w:p>
            <w:pPr>
              <w:spacing w:after="0"/>
              <w:rPr>
                <w:sz w:val="10"/>
                <w:szCs w:val="10"/>
                <w:color w:val="auto"/>
              </w:rPr>
            </w:pPr>
          </w:p>
        </w:tc>
        <w:tc>
          <w:tcPr>
            <w:tcW w:w="9640" w:type="dxa"/>
            <w:vAlign w:val="bottom"/>
            <w:tcBorders>
              <w:top w:val="single" w:sz="8" w:color="auto"/>
              <w:bottom w:val="single" w:sz="8" w:color="0000EE"/>
            </w:tcBorders>
            <w:gridSpan w:val="11"/>
          </w:tcPr>
          <w:p>
            <w:pPr>
              <w:spacing w:after="0" w:line="120" w:lineRule="exact"/>
              <w:rPr>
                <w:rFonts w:ascii="Arial" w:cs="Arial" w:eastAsia="Arial" w:hAnsi="Arial"/>
                <w:sz w:val="12"/>
                <w:szCs w:val="12"/>
                <w:color w:val="0000EE"/>
                <w:w w:val="91"/>
              </w:rPr>
            </w:pPr>
            <w:hyperlink r:id="rId132">
              <w:r>
                <w:rPr>
                  <w:rFonts w:ascii="Arial" w:cs="Arial" w:eastAsia="Arial" w:hAnsi="Arial"/>
                  <w:sz w:val="12"/>
                  <w:szCs w:val="12"/>
                  <w:color w:val="0000EE"/>
                  <w:w w:val="91"/>
                </w:rPr>
                <w:t>Separation and Distribution Agreement, dated as of March 26, 2015, by and among Windstream Holdings, Inc., Windstream Services, LLC and Communications Sales &amp; Leasing, Inc. (incorporated by</w:t>
              </w:r>
            </w:hyperlink>
          </w:p>
        </w:tc>
        <w:tc>
          <w:tcPr>
            <w:tcW w:w="240" w:type="dxa"/>
            <w:vAlign w:val="bottom"/>
            <w:tcBorders>
              <w:top w:val="single" w:sz="8" w:color="auto"/>
            </w:tcBorders>
            <w:gridSpan w:val="8"/>
          </w:tcPr>
          <w:p>
            <w:pPr>
              <w:spacing w:after="0"/>
              <w:rPr>
                <w:sz w:val="10"/>
                <w:szCs w:val="10"/>
                <w:color w:val="auto"/>
              </w:rPr>
            </w:pPr>
          </w:p>
        </w:tc>
      </w:tr>
      <w:tr>
        <w:trPr>
          <w:trHeight w:val="124"/>
        </w:trPr>
        <w:tc>
          <w:tcPr>
            <w:tcW w:w="1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880" w:type="dxa"/>
            <w:vAlign w:val="bottom"/>
            <w:gridSpan w:val="19"/>
          </w:tcPr>
          <w:p>
            <w:pPr>
              <w:spacing w:after="0" w:line="124" w:lineRule="exact"/>
              <w:rPr>
                <w:rFonts w:ascii="Arial" w:cs="Arial" w:eastAsia="Arial" w:hAnsi="Arial"/>
                <w:sz w:val="12"/>
                <w:szCs w:val="12"/>
                <w:color w:val="0000EE"/>
              </w:rPr>
            </w:pPr>
            <w:hyperlink r:id="rId132">
              <w:r>
                <w:rPr>
                  <w:rFonts w:ascii="Arial" w:cs="Arial" w:eastAsia="Arial" w:hAnsi="Arial"/>
                  <w:sz w:val="12"/>
                  <w:szCs w:val="12"/>
                  <w:color w:val="0000EE"/>
                </w:rPr>
                <w:t>reference to Exhibit 2.1 to the Company’s Current Report on Form 8-K dated and filed with the SEC as of March 26, 2015 (File No. 001-36708))</w:t>
              </w:r>
            </w:hyperlink>
          </w:p>
        </w:tc>
      </w:tr>
      <w:tr>
        <w:trPr>
          <w:trHeight w:val="20"/>
        </w:trPr>
        <w:tc>
          <w:tcPr>
            <w:tcW w:w="1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2"/>
        </w:trPr>
        <w:tc>
          <w:tcPr>
            <w:tcW w:w="1260" w:type="dxa"/>
            <w:vAlign w:val="bottom"/>
          </w:tcPr>
          <w:p>
            <w:pPr>
              <w:spacing w:after="0"/>
              <w:rPr>
                <w:sz w:val="20"/>
                <w:szCs w:val="20"/>
                <w:color w:val="auto"/>
              </w:rPr>
            </w:pPr>
            <w:r>
              <w:rPr>
                <w:rFonts w:ascii="Arial" w:cs="Arial" w:eastAsia="Arial" w:hAnsi="Arial"/>
                <w:sz w:val="12"/>
                <w:szCs w:val="12"/>
                <w:color w:val="auto"/>
              </w:rPr>
              <w:t>2.2</w:t>
            </w:r>
          </w:p>
        </w:tc>
        <w:tc>
          <w:tcPr>
            <w:tcW w:w="360" w:type="dxa"/>
            <w:vAlign w:val="bottom"/>
          </w:tcPr>
          <w:p>
            <w:pPr>
              <w:spacing w:after="0"/>
              <w:rPr>
                <w:sz w:val="12"/>
                <w:szCs w:val="12"/>
                <w:color w:val="auto"/>
              </w:rPr>
            </w:pPr>
          </w:p>
        </w:tc>
        <w:tc>
          <w:tcPr>
            <w:tcW w:w="9740" w:type="dxa"/>
            <w:vAlign w:val="bottom"/>
            <w:tcBorders>
              <w:bottom w:val="single" w:sz="8" w:color="0000EE"/>
            </w:tcBorders>
            <w:gridSpan w:val="14"/>
          </w:tcPr>
          <w:p>
            <w:pPr>
              <w:spacing w:after="0"/>
              <w:rPr>
                <w:rFonts w:ascii="Arial" w:cs="Arial" w:eastAsia="Arial" w:hAnsi="Arial"/>
                <w:sz w:val="12"/>
                <w:szCs w:val="12"/>
                <w:color w:val="0000EE"/>
                <w:w w:val="91"/>
              </w:rPr>
            </w:pPr>
            <w:hyperlink r:id="rId133">
              <w:r>
                <w:rPr>
                  <w:rFonts w:ascii="Arial" w:cs="Arial" w:eastAsia="Arial" w:hAnsi="Arial"/>
                  <w:sz w:val="12"/>
                  <w:szCs w:val="12"/>
                  <w:color w:val="0000EE"/>
                  <w:w w:val="91"/>
                </w:rPr>
                <w:t>Agreement and Plan of Merger, dated as of January 7, 2016, by and among Communications Sales &amp; Leasing, Inc., CSL Bandwidth Inc., Penn Merger Sub, LLC, PEG Bandwidth, LLC, PEG Bandwidth</w:t>
              </w:r>
            </w:hyperlink>
          </w:p>
        </w:tc>
        <w:tc>
          <w:tcPr>
            <w:tcW w:w="140" w:type="dxa"/>
            <w:vAlign w:val="bottom"/>
            <w:gridSpan w:val="5"/>
          </w:tcPr>
          <w:p>
            <w:pPr>
              <w:spacing w:after="0"/>
              <w:rPr>
                <w:sz w:val="12"/>
                <w:szCs w:val="12"/>
                <w:color w:val="auto"/>
              </w:rPr>
            </w:pPr>
          </w:p>
        </w:tc>
      </w:tr>
      <w:tr>
        <w:trPr>
          <w:trHeight w:val="124"/>
        </w:trPr>
        <w:tc>
          <w:tcPr>
            <w:tcW w:w="1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880" w:type="dxa"/>
            <w:vAlign w:val="bottom"/>
            <w:gridSpan w:val="19"/>
          </w:tcPr>
          <w:p>
            <w:pPr>
              <w:spacing w:after="0" w:line="124" w:lineRule="exact"/>
              <w:rPr>
                <w:rFonts w:ascii="Arial" w:cs="Arial" w:eastAsia="Arial" w:hAnsi="Arial"/>
                <w:sz w:val="12"/>
                <w:szCs w:val="12"/>
                <w:color w:val="0000EE"/>
                <w:w w:val="93"/>
              </w:rPr>
            </w:pPr>
            <w:hyperlink r:id="rId133">
              <w:r>
                <w:rPr>
                  <w:rFonts w:ascii="Arial" w:cs="Arial" w:eastAsia="Arial" w:hAnsi="Arial"/>
                  <w:sz w:val="12"/>
                  <w:szCs w:val="12"/>
                  <w:color w:val="0000EE"/>
                  <w:w w:val="93"/>
                </w:rPr>
                <w:t>Holdings, LLC, and PEG Bandwidth Holdings, LLC, as Unitholders’ Representative (incorporated by reference to Exhibit 2.1 to the Company’s Current Report on Form 8-K dated and filed with the SEC</w:t>
              </w:r>
            </w:hyperlink>
          </w:p>
        </w:tc>
      </w:tr>
      <w:tr>
        <w:trPr>
          <w:trHeight w:val="124"/>
        </w:trPr>
        <w:tc>
          <w:tcPr>
            <w:tcW w:w="1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180" w:type="dxa"/>
            <w:vAlign w:val="bottom"/>
            <w:tcBorders>
              <w:top w:val="single" w:sz="8" w:color="0000EE"/>
              <w:bottom w:val="single" w:sz="8" w:color="0000EE"/>
            </w:tcBorders>
            <w:gridSpan w:val="3"/>
          </w:tcPr>
          <w:p>
            <w:pPr>
              <w:spacing w:after="0" w:line="124" w:lineRule="exact"/>
              <w:rPr>
                <w:rFonts w:ascii="Arial" w:cs="Arial" w:eastAsia="Arial" w:hAnsi="Arial"/>
                <w:sz w:val="12"/>
                <w:szCs w:val="12"/>
                <w:color w:val="0000EE"/>
                <w:w w:val="90"/>
              </w:rPr>
            </w:pPr>
            <w:hyperlink r:id="rId133">
              <w:r>
                <w:rPr>
                  <w:rFonts w:ascii="Arial" w:cs="Arial" w:eastAsia="Arial" w:hAnsi="Arial"/>
                  <w:sz w:val="12"/>
                  <w:szCs w:val="12"/>
                  <w:color w:val="0000EE"/>
                  <w:w w:val="90"/>
                </w:rPr>
                <w:t>as of January 12, 2016 (File No. 001-36708))</w:t>
              </w:r>
            </w:hyperlink>
          </w:p>
        </w:tc>
        <w:tc>
          <w:tcPr>
            <w:tcW w:w="7580" w:type="dxa"/>
            <w:vAlign w:val="bottom"/>
            <w:tcBorders>
              <w:top w:val="single" w:sz="8" w:color="0000EE"/>
            </w:tcBorders>
            <w:gridSpan w:val="12"/>
          </w:tcPr>
          <w:p>
            <w:pPr>
              <w:spacing w:after="0"/>
              <w:rPr>
                <w:sz w:val="10"/>
                <w:szCs w:val="10"/>
                <w:color w:val="auto"/>
              </w:rPr>
            </w:pPr>
          </w:p>
        </w:tc>
        <w:tc>
          <w:tcPr>
            <w:tcW w:w="120" w:type="dxa"/>
            <w:vAlign w:val="bottom"/>
            <w:gridSpan w:val="4"/>
          </w:tcPr>
          <w:p>
            <w:pPr>
              <w:spacing w:after="0"/>
              <w:rPr>
                <w:sz w:val="10"/>
                <w:szCs w:val="10"/>
                <w:color w:val="auto"/>
              </w:rPr>
            </w:pPr>
          </w:p>
        </w:tc>
      </w:tr>
      <w:tr>
        <w:trPr>
          <w:trHeight w:val="142"/>
        </w:trPr>
        <w:tc>
          <w:tcPr>
            <w:tcW w:w="1260" w:type="dxa"/>
            <w:vAlign w:val="bottom"/>
          </w:tcPr>
          <w:p>
            <w:pPr>
              <w:spacing w:after="0"/>
              <w:rPr>
                <w:sz w:val="20"/>
                <w:szCs w:val="20"/>
                <w:color w:val="auto"/>
              </w:rPr>
            </w:pPr>
            <w:r>
              <w:rPr>
                <w:rFonts w:ascii="Arial" w:cs="Arial" w:eastAsia="Arial" w:hAnsi="Arial"/>
                <w:sz w:val="12"/>
                <w:szCs w:val="12"/>
                <w:color w:val="auto"/>
              </w:rPr>
              <w:t>2.3**</w:t>
            </w:r>
          </w:p>
        </w:tc>
        <w:tc>
          <w:tcPr>
            <w:tcW w:w="360" w:type="dxa"/>
            <w:vAlign w:val="bottom"/>
          </w:tcPr>
          <w:p>
            <w:pPr>
              <w:spacing w:after="0"/>
              <w:rPr>
                <w:sz w:val="12"/>
                <w:szCs w:val="12"/>
                <w:color w:val="auto"/>
              </w:rPr>
            </w:pPr>
          </w:p>
        </w:tc>
        <w:tc>
          <w:tcPr>
            <w:tcW w:w="9880" w:type="dxa"/>
            <w:vAlign w:val="bottom"/>
            <w:gridSpan w:val="19"/>
          </w:tcPr>
          <w:p>
            <w:pPr>
              <w:spacing w:after="0"/>
              <w:rPr>
                <w:rFonts w:ascii="Arial" w:cs="Arial" w:eastAsia="Arial" w:hAnsi="Arial"/>
                <w:sz w:val="12"/>
                <w:szCs w:val="12"/>
                <w:color w:val="0000EE"/>
                <w:w w:val="93"/>
              </w:rPr>
            </w:pPr>
            <w:hyperlink r:id="rId134">
              <w:r>
                <w:rPr>
                  <w:rFonts w:ascii="Arial" w:cs="Arial" w:eastAsia="Arial" w:hAnsi="Arial"/>
                  <w:sz w:val="12"/>
                  <w:szCs w:val="12"/>
                  <w:color w:val="0000EE"/>
                  <w:w w:val="93"/>
                </w:rPr>
                <w:t>Agreement and Plan of Merger, dated as of June 20, 2016, by and among Communications Sales &amp; Leasing, Inc., CSL Fiber Holdings LLC, Thor Merger Sub, Inc., Tower Cloud, Inc. and Shareholder</w:t>
              </w:r>
            </w:hyperlink>
          </w:p>
        </w:tc>
      </w:tr>
      <w:tr>
        <w:trPr>
          <w:trHeight w:val="20"/>
        </w:trPr>
        <w:tc>
          <w:tcPr>
            <w:tcW w:w="1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2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1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24"/>
        </w:trPr>
        <w:tc>
          <w:tcPr>
            <w:tcW w:w="1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720" w:type="dxa"/>
            <w:vAlign w:val="bottom"/>
            <w:tcBorders>
              <w:bottom w:val="single" w:sz="8" w:color="0000EE"/>
            </w:tcBorders>
            <w:gridSpan w:val="13"/>
          </w:tcPr>
          <w:p>
            <w:pPr>
              <w:spacing w:after="0" w:line="124" w:lineRule="exact"/>
              <w:rPr>
                <w:rFonts w:ascii="Arial" w:cs="Arial" w:eastAsia="Arial" w:hAnsi="Arial"/>
                <w:sz w:val="12"/>
                <w:szCs w:val="12"/>
                <w:color w:val="0000EE"/>
                <w:w w:val="91"/>
              </w:rPr>
            </w:pPr>
            <w:hyperlink r:id="rId134">
              <w:r>
                <w:rPr>
                  <w:rFonts w:ascii="Arial" w:cs="Arial" w:eastAsia="Arial" w:hAnsi="Arial"/>
                  <w:sz w:val="12"/>
                  <w:szCs w:val="12"/>
                  <w:color w:val="0000EE"/>
                  <w:w w:val="91"/>
                </w:rPr>
                <w:t>Representative Services LLC, as representative of the equityholders of Tower Cloud, Inc. (incorporated by reference to Exhibit 2.1 to the Company’s Quarterly Report on Form 10-Q dated and filed with</w:t>
              </w:r>
            </w:hyperlink>
          </w:p>
        </w:tc>
        <w:tc>
          <w:tcPr>
            <w:tcW w:w="160" w:type="dxa"/>
            <w:vAlign w:val="bottom"/>
            <w:gridSpan w:val="6"/>
          </w:tcPr>
          <w:p>
            <w:pPr>
              <w:spacing w:after="0"/>
              <w:rPr>
                <w:sz w:val="10"/>
                <w:szCs w:val="10"/>
                <w:color w:val="auto"/>
              </w:rPr>
            </w:pPr>
          </w:p>
        </w:tc>
      </w:tr>
      <w:tr>
        <w:trPr>
          <w:trHeight w:val="124"/>
        </w:trPr>
        <w:tc>
          <w:tcPr>
            <w:tcW w:w="1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580" w:type="dxa"/>
            <w:vAlign w:val="bottom"/>
            <w:tcBorders>
              <w:bottom w:val="single" w:sz="8" w:color="0000EE"/>
            </w:tcBorders>
            <w:gridSpan w:val="4"/>
          </w:tcPr>
          <w:p>
            <w:pPr>
              <w:spacing w:after="0" w:line="124" w:lineRule="exact"/>
              <w:rPr>
                <w:rFonts w:ascii="Arial" w:cs="Arial" w:eastAsia="Arial" w:hAnsi="Arial"/>
                <w:sz w:val="12"/>
                <w:szCs w:val="12"/>
                <w:color w:val="0000EE"/>
                <w:w w:val="90"/>
              </w:rPr>
            </w:pPr>
            <w:hyperlink r:id="rId134">
              <w:r>
                <w:rPr>
                  <w:rFonts w:ascii="Arial" w:cs="Arial" w:eastAsia="Arial" w:hAnsi="Arial"/>
                  <w:sz w:val="12"/>
                  <w:szCs w:val="12"/>
                  <w:color w:val="0000EE"/>
                  <w:w w:val="90"/>
                </w:rPr>
                <w:t>the SEC as of August 11, 2016 (File No. 001-36708))</w:t>
              </w:r>
            </w:hyperlink>
          </w:p>
        </w:tc>
        <w:tc>
          <w:tcPr>
            <w:tcW w:w="7300" w:type="dxa"/>
            <w:vAlign w:val="bottom"/>
            <w:gridSpan w:val="15"/>
          </w:tcPr>
          <w:p>
            <w:pPr>
              <w:spacing w:after="0"/>
              <w:rPr>
                <w:sz w:val="10"/>
                <w:szCs w:val="10"/>
                <w:color w:val="auto"/>
              </w:rPr>
            </w:pPr>
          </w:p>
        </w:tc>
      </w:tr>
      <w:tr>
        <w:trPr>
          <w:trHeight w:val="142"/>
        </w:trPr>
        <w:tc>
          <w:tcPr>
            <w:tcW w:w="1260" w:type="dxa"/>
            <w:vAlign w:val="bottom"/>
          </w:tcPr>
          <w:p>
            <w:pPr>
              <w:spacing w:after="0"/>
              <w:rPr>
                <w:sz w:val="20"/>
                <w:szCs w:val="20"/>
                <w:color w:val="auto"/>
              </w:rPr>
            </w:pPr>
            <w:r>
              <w:rPr>
                <w:rFonts w:ascii="Arial" w:cs="Arial" w:eastAsia="Arial" w:hAnsi="Arial"/>
                <w:sz w:val="12"/>
                <w:szCs w:val="12"/>
                <w:color w:val="auto"/>
              </w:rPr>
              <w:t>2.4</w:t>
            </w:r>
          </w:p>
        </w:tc>
        <w:tc>
          <w:tcPr>
            <w:tcW w:w="360" w:type="dxa"/>
            <w:vAlign w:val="bottom"/>
          </w:tcPr>
          <w:p>
            <w:pPr>
              <w:spacing w:after="0"/>
              <w:rPr>
                <w:sz w:val="12"/>
                <w:szCs w:val="12"/>
                <w:color w:val="auto"/>
              </w:rPr>
            </w:pPr>
          </w:p>
        </w:tc>
        <w:tc>
          <w:tcPr>
            <w:tcW w:w="9880" w:type="dxa"/>
            <w:vAlign w:val="bottom"/>
            <w:gridSpan w:val="19"/>
          </w:tcPr>
          <w:p>
            <w:pPr>
              <w:spacing w:after="0"/>
              <w:rPr>
                <w:rFonts w:ascii="Arial" w:cs="Arial" w:eastAsia="Arial" w:hAnsi="Arial"/>
                <w:sz w:val="12"/>
                <w:szCs w:val="12"/>
                <w:color w:val="0000EE"/>
                <w:w w:val="93"/>
              </w:rPr>
            </w:pPr>
            <w:hyperlink r:id="rId135">
              <w:r>
                <w:rPr>
                  <w:rFonts w:ascii="Arial" w:cs="Arial" w:eastAsia="Arial" w:hAnsi="Arial"/>
                  <w:sz w:val="12"/>
                  <w:szCs w:val="12"/>
                  <w:color w:val="0000EE"/>
                  <w:w w:val="93"/>
                </w:rPr>
                <w:t>First Amendment, dated as of August 11, 2016, to the Agreement and Plan of Merger, dated as of June 20, 2016, by and among Communications Sales &amp; Leasing, Inc., CSL Fiber Holdings LLC, Thor</w:t>
              </w:r>
            </w:hyperlink>
          </w:p>
        </w:tc>
      </w:tr>
      <w:tr>
        <w:trPr>
          <w:trHeight w:val="20"/>
        </w:trPr>
        <w:tc>
          <w:tcPr>
            <w:tcW w:w="1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86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140" w:type="dxa"/>
            <w:vAlign w:val="bottom"/>
            <w:gridSpan w:val="3"/>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24"/>
        </w:trPr>
        <w:tc>
          <w:tcPr>
            <w:tcW w:w="1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880" w:type="dxa"/>
            <w:vAlign w:val="bottom"/>
            <w:gridSpan w:val="19"/>
          </w:tcPr>
          <w:p>
            <w:pPr>
              <w:spacing w:after="0" w:line="124" w:lineRule="exact"/>
              <w:rPr>
                <w:rFonts w:ascii="Arial" w:cs="Arial" w:eastAsia="Arial" w:hAnsi="Arial"/>
                <w:sz w:val="12"/>
                <w:szCs w:val="12"/>
                <w:color w:val="0000EE"/>
                <w:w w:val="92"/>
              </w:rPr>
            </w:pPr>
            <w:hyperlink r:id="rId135">
              <w:r>
                <w:rPr>
                  <w:rFonts w:ascii="Arial" w:cs="Arial" w:eastAsia="Arial" w:hAnsi="Arial"/>
                  <w:sz w:val="12"/>
                  <w:szCs w:val="12"/>
                  <w:color w:val="0000EE"/>
                  <w:w w:val="92"/>
                </w:rPr>
                <w:t>Merger Sub, Inc., Tower Cloud, Inc. and Shareholder Representative Services LLC, as representative of the equityholders of Tower Cloud, Inc. (incorporated by reference to Exhibit 2.2 to the Company’s</w:t>
              </w:r>
            </w:hyperlink>
          </w:p>
        </w:tc>
      </w:tr>
      <w:tr>
        <w:trPr>
          <w:trHeight w:val="124"/>
        </w:trPr>
        <w:tc>
          <w:tcPr>
            <w:tcW w:w="1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740" w:type="dxa"/>
            <w:vAlign w:val="bottom"/>
            <w:tcBorders>
              <w:top w:val="single" w:sz="8" w:color="0000EE"/>
            </w:tcBorders>
            <w:gridSpan w:val="14"/>
          </w:tcPr>
          <w:p>
            <w:pPr>
              <w:spacing w:after="0" w:line="124" w:lineRule="exact"/>
              <w:rPr>
                <w:rFonts w:ascii="Arial" w:cs="Arial" w:eastAsia="Arial" w:hAnsi="Arial"/>
                <w:sz w:val="12"/>
                <w:szCs w:val="12"/>
                <w:color w:val="0000EE"/>
              </w:rPr>
            </w:pPr>
            <w:hyperlink r:id="rId135">
              <w:r>
                <w:rPr>
                  <w:rFonts w:ascii="Arial" w:cs="Arial" w:eastAsia="Arial" w:hAnsi="Arial"/>
                  <w:sz w:val="12"/>
                  <w:szCs w:val="12"/>
                  <w:color w:val="0000EE"/>
                </w:rPr>
                <w:t>Quarterly Report on Form 10-Q dated and filed with the SEC as of August 11, 2016 (File No. 001-36708))</w:t>
              </w:r>
            </w:hyperlink>
          </w:p>
        </w:tc>
        <w:tc>
          <w:tcPr>
            <w:tcW w:w="140" w:type="dxa"/>
            <w:vAlign w:val="bottom"/>
            <w:gridSpan w:val="5"/>
          </w:tcPr>
          <w:p>
            <w:pPr>
              <w:spacing w:after="0"/>
              <w:rPr>
                <w:sz w:val="10"/>
                <w:szCs w:val="10"/>
                <w:color w:val="auto"/>
              </w:rPr>
            </w:pPr>
          </w:p>
        </w:tc>
      </w:tr>
      <w:tr>
        <w:trPr>
          <w:trHeight w:val="20"/>
        </w:trPr>
        <w:tc>
          <w:tcPr>
            <w:tcW w:w="1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86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0" w:type="dxa"/>
            <w:vAlign w:val="bottom"/>
            <w:gridSpan w:val="5"/>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2"/>
        </w:trPr>
        <w:tc>
          <w:tcPr>
            <w:tcW w:w="1260" w:type="dxa"/>
            <w:vAlign w:val="bottom"/>
          </w:tcPr>
          <w:p>
            <w:pPr>
              <w:spacing w:after="0"/>
              <w:rPr>
                <w:sz w:val="20"/>
                <w:szCs w:val="20"/>
                <w:color w:val="auto"/>
              </w:rPr>
            </w:pPr>
            <w:r>
              <w:rPr>
                <w:rFonts w:ascii="Arial" w:cs="Arial" w:eastAsia="Arial" w:hAnsi="Arial"/>
                <w:sz w:val="12"/>
                <w:szCs w:val="12"/>
                <w:color w:val="auto"/>
              </w:rPr>
              <w:t>2.5</w:t>
            </w:r>
          </w:p>
        </w:tc>
        <w:tc>
          <w:tcPr>
            <w:tcW w:w="360" w:type="dxa"/>
            <w:vAlign w:val="bottom"/>
          </w:tcPr>
          <w:p>
            <w:pPr>
              <w:spacing w:after="0"/>
              <w:rPr>
                <w:sz w:val="12"/>
                <w:szCs w:val="12"/>
                <w:color w:val="auto"/>
              </w:rPr>
            </w:pPr>
          </w:p>
        </w:tc>
        <w:tc>
          <w:tcPr>
            <w:tcW w:w="9660" w:type="dxa"/>
            <w:vAlign w:val="bottom"/>
            <w:tcBorders>
              <w:bottom w:val="single" w:sz="8" w:color="0000EE"/>
            </w:tcBorders>
            <w:gridSpan w:val="12"/>
          </w:tcPr>
          <w:p>
            <w:pPr>
              <w:spacing w:after="0"/>
              <w:rPr>
                <w:rFonts w:ascii="Arial" w:cs="Arial" w:eastAsia="Arial" w:hAnsi="Arial"/>
                <w:sz w:val="12"/>
                <w:szCs w:val="12"/>
                <w:color w:val="0000EE"/>
                <w:w w:val="91"/>
              </w:rPr>
            </w:pPr>
            <w:hyperlink r:id="rId136">
              <w:r>
                <w:rPr>
                  <w:rFonts w:ascii="Arial" w:cs="Arial" w:eastAsia="Arial" w:hAnsi="Arial"/>
                  <w:sz w:val="12"/>
                  <w:szCs w:val="12"/>
                  <w:color w:val="0000EE"/>
                  <w:w w:val="91"/>
                </w:rPr>
                <w:t>Membership Interests Purchase Agreement, dated as of April 7, 2017, by and among Uniti Group Inc., Uniti Fiber Holdings Inc. and SLF Holdings, LLC (incorporated by reference to Exhibit 2.1 to the</w:t>
              </w:r>
            </w:hyperlink>
          </w:p>
        </w:tc>
        <w:tc>
          <w:tcPr>
            <w:tcW w:w="220" w:type="dxa"/>
            <w:vAlign w:val="bottom"/>
            <w:gridSpan w:val="7"/>
          </w:tcPr>
          <w:p>
            <w:pPr>
              <w:spacing w:after="0"/>
              <w:rPr>
                <w:sz w:val="12"/>
                <w:szCs w:val="12"/>
                <w:color w:val="auto"/>
              </w:rPr>
            </w:pPr>
          </w:p>
        </w:tc>
      </w:tr>
      <w:tr>
        <w:trPr>
          <w:trHeight w:val="124"/>
        </w:trPr>
        <w:tc>
          <w:tcPr>
            <w:tcW w:w="1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460" w:type="dxa"/>
            <w:vAlign w:val="bottom"/>
            <w:tcBorders>
              <w:bottom w:val="single" w:sz="8" w:color="0000EE"/>
            </w:tcBorders>
            <w:gridSpan w:val="7"/>
          </w:tcPr>
          <w:p>
            <w:pPr>
              <w:spacing w:after="0" w:line="124" w:lineRule="exact"/>
              <w:rPr>
                <w:rFonts w:ascii="Arial" w:cs="Arial" w:eastAsia="Arial" w:hAnsi="Arial"/>
                <w:sz w:val="12"/>
                <w:szCs w:val="12"/>
                <w:color w:val="0000EE"/>
                <w:w w:val="91"/>
              </w:rPr>
            </w:pPr>
            <w:hyperlink r:id="rId136">
              <w:r>
                <w:rPr>
                  <w:rFonts w:ascii="Arial" w:cs="Arial" w:eastAsia="Arial" w:hAnsi="Arial"/>
                  <w:sz w:val="12"/>
                  <w:szCs w:val="12"/>
                  <w:color w:val="0000EE"/>
                  <w:w w:val="91"/>
                </w:rPr>
                <w:t>Company’s Current Report on Form 8-K dated and filed with the SEC as of April 11, 2017 (File No. 001-36708))</w:t>
              </w:r>
            </w:hyperlink>
          </w:p>
        </w:tc>
        <w:tc>
          <w:tcPr>
            <w:tcW w:w="4420" w:type="dxa"/>
            <w:vAlign w:val="bottom"/>
            <w:gridSpan w:val="12"/>
          </w:tcPr>
          <w:p>
            <w:pPr>
              <w:spacing w:after="0"/>
              <w:rPr>
                <w:sz w:val="10"/>
                <w:szCs w:val="10"/>
                <w:color w:val="auto"/>
              </w:rPr>
            </w:pPr>
          </w:p>
        </w:tc>
      </w:tr>
      <w:tr>
        <w:trPr>
          <w:trHeight w:val="142"/>
        </w:trPr>
        <w:tc>
          <w:tcPr>
            <w:tcW w:w="1260" w:type="dxa"/>
            <w:vAlign w:val="bottom"/>
          </w:tcPr>
          <w:p>
            <w:pPr>
              <w:spacing w:after="0"/>
              <w:rPr>
                <w:sz w:val="20"/>
                <w:szCs w:val="20"/>
                <w:color w:val="auto"/>
              </w:rPr>
            </w:pPr>
            <w:r>
              <w:rPr>
                <w:rFonts w:ascii="Arial" w:cs="Arial" w:eastAsia="Arial" w:hAnsi="Arial"/>
                <w:sz w:val="12"/>
                <w:szCs w:val="12"/>
                <w:color w:val="auto"/>
              </w:rPr>
              <w:t>2.6</w:t>
            </w:r>
          </w:p>
        </w:tc>
        <w:tc>
          <w:tcPr>
            <w:tcW w:w="360" w:type="dxa"/>
            <w:vAlign w:val="bottom"/>
          </w:tcPr>
          <w:p>
            <w:pPr>
              <w:spacing w:after="0"/>
              <w:rPr>
                <w:sz w:val="12"/>
                <w:szCs w:val="12"/>
                <w:color w:val="auto"/>
              </w:rPr>
            </w:pPr>
          </w:p>
        </w:tc>
        <w:tc>
          <w:tcPr>
            <w:tcW w:w="9840" w:type="dxa"/>
            <w:vAlign w:val="bottom"/>
            <w:tcBorders>
              <w:bottom w:val="single" w:sz="8" w:color="0000EE"/>
            </w:tcBorders>
            <w:gridSpan w:val="18"/>
          </w:tcPr>
          <w:p>
            <w:pPr>
              <w:spacing w:after="0"/>
              <w:rPr>
                <w:rFonts w:ascii="Arial" w:cs="Arial" w:eastAsia="Arial" w:hAnsi="Arial"/>
                <w:sz w:val="12"/>
                <w:szCs w:val="12"/>
                <w:color w:val="0000EE"/>
                <w:w w:val="91"/>
              </w:rPr>
            </w:pPr>
            <w:hyperlink r:id="rId137">
              <w:r>
                <w:rPr>
                  <w:rFonts w:ascii="Arial" w:cs="Arial" w:eastAsia="Arial" w:hAnsi="Arial"/>
                  <w:sz w:val="12"/>
                  <w:szCs w:val="12"/>
                  <w:color w:val="0000EE"/>
                  <w:w w:val="91"/>
                </w:rPr>
                <w:t>Amended and Restated Agreement of Limited Partnership of Uniti Group LP, dated July 3, 2017, by and between Uniti and Uniti Group LP LLC (incorporated by reference to Exhibit 2.1 to the Company’s</w:t>
              </w:r>
            </w:hyperlink>
          </w:p>
        </w:tc>
        <w:tc>
          <w:tcPr>
            <w:tcW w:w="40" w:type="dxa"/>
            <w:vAlign w:val="bottom"/>
          </w:tcPr>
          <w:p>
            <w:pPr>
              <w:spacing w:after="0"/>
              <w:rPr>
                <w:sz w:val="12"/>
                <w:szCs w:val="12"/>
                <w:color w:val="auto"/>
              </w:rPr>
            </w:pPr>
          </w:p>
        </w:tc>
      </w:tr>
      <w:tr>
        <w:trPr>
          <w:trHeight w:val="124"/>
        </w:trPr>
        <w:tc>
          <w:tcPr>
            <w:tcW w:w="1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780" w:type="dxa"/>
            <w:vAlign w:val="bottom"/>
            <w:tcBorders>
              <w:bottom w:val="single" w:sz="8" w:color="0000EE"/>
            </w:tcBorders>
            <w:gridSpan w:val="5"/>
          </w:tcPr>
          <w:p>
            <w:pPr>
              <w:spacing w:after="0" w:line="124" w:lineRule="exact"/>
              <w:rPr>
                <w:rFonts w:ascii="Arial" w:cs="Arial" w:eastAsia="Arial" w:hAnsi="Arial"/>
                <w:sz w:val="12"/>
                <w:szCs w:val="12"/>
                <w:color w:val="0000EE"/>
                <w:w w:val="91"/>
              </w:rPr>
            </w:pPr>
            <w:hyperlink r:id="rId137">
              <w:r>
                <w:rPr>
                  <w:rFonts w:ascii="Arial" w:cs="Arial" w:eastAsia="Arial" w:hAnsi="Arial"/>
                  <w:sz w:val="12"/>
                  <w:szCs w:val="12"/>
                  <w:color w:val="0000EE"/>
                  <w:w w:val="91"/>
                </w:rPr>
                <w:t>Current Report on Form 8-K dated and filed with the SEC as of July 3, 2017 (File No. 001-36708))</w:t>
              </w:r>
            </w:hyperlink>
          </w:p>
        </w:tc>
        <w:tc>
          <w:tcPr>
            <w:tcW w:w="5100" w:type="dxa"/>
            <w:vAlign w:val="bottom"/>
            <w:gridSpan w:val="14"/>
          </w:tcPr>
          <w:p>
            <w:pPr>
              <w:spacing w:after="0"/>
              <w:rPr>
                <w:sz w:val="10"/>
                <w:szCs w:val="10"/>
                <w:color w:val="auto"/>
              </w:rPr>
            </w:pPr>
          </w:p>
        </w:tc>
      </w:tr>
      <w:tr>
        <w:trPr>
          <w:trHeight w:val="142"/>
        </w:trPr>
        <w:tc>
          <w:tcPr>
            <w:tcW w:w="1260" w:type="dxa"/>
            <w:vAlign w:val="bottom"/>
          </w:tcPr>
          <w:p>
            <w:pPr>
              <w:spacing w:after="0"/>
              <w:rPr>
                <w:sz w:val="20"/>
                <w:szCs w:val="20"/>
                <w:color w:val="auto"/>
              </w:rPr>
            </w:pPr>
            <w:r>
              <w:rPr>
                <w:rFonts w:ascii="Arial" w:cs="Arial" w:eastAsia="Arial" w:hAnsi="Arial"/>
                <w:sz w:val="12"/>
                <w:szCs w:val="12"/>
                <w:color w:val="auto"/>
              </w:rPr>
              <w:t>3.1</w:t>
            </w:r>
          </w:p>
        </w:tc>
        <w:tc>
          <w:tcPr>
            <w:tcW w:w="360" w:type="dxa"/>
            <w:vAlign w:val="bottom"/>
          </w:tcPr>
          <w:p>
            <w:pPr>
              <w:spacing w:after="0"/>
              <w:rPr>
                <w:sz w:val="12"/>
                <w:szCs w:val="12"/>
                <w:color w:val="auto"/>
              </w:rPr>
            </w:pPr>
          </w:p>
        </w:tc>
        <w:tc>
          <w:tcPr>
            <w:tcW w:w="9880" w:type="dxa"/>
            <w:vAlign w:val="bottom"/>
            <w:gridSpan w:val="19"/>
          </w:tcPr>
          <w:p>
            <w:pPr>
              <w:spacing w:after="0"/>
              <w:rPr>
                <w:rFonts w:ascii="Arial" w:cs="Arial" w:eastAsia="Arial" w:hAnsi="Arial"/>
                <w:sz w:val="12"/>
                <w:szCs w:val="12"/>
                <w:color w:val="0000EE"/>
                <w:w w:val="91"/>
              </w:rPr>
            </w:pPr>
            <w:hyperlink r:id="rId138">
              <w:r>
                <w:rPr>
                  <w:rFonts w:ascii="Arial" w:cs="Arial" w:eastAsia="Arial" w:hAnsi="Arial"/>
                  <w:sz w:val="12"/>
                  <w:szCs w:val="12"/>
                  <w:color w:val="0000EE"/>
                  <w:w w:val="91"/>
                </w:rPr>
                <w:t>Articles of Amendment and Restatement of Communications Sales &amp; Leasing, Inc. (incorporated by reference to Exhibit 3.1 to the Company’s Current Report on Form 8-K dated and filed with the SEC as</w:t>
              </w:r>
            </w:hyperlink>
          </w:p>
        </w:tc>
      </w:tr>
      <w:tr>
        <w:trPr>
          <w:trHeight w:val="124"/>
        </w:trPr>
        <w:tc>
          <w:tcPr>
            <w:tcW w:w="1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820" w:type="dxa"/>
            <w:vAlign w:val="bottom"/>
            <w:tcBorders>
              <w:top w:val="single" w:sz="8" w:color="0000EE"/>
            </w:tcBorders>
            <w:gridSpan w:val="17"/>
          </w:tcPr>
          <w:p>
            <w:pPr>
              <w:spacing w:after="0" w:line="124" w:lineRule="exact"/>
              <w:rPr>
                <w:rFonts w:ascii="Arial" w:cs="Arial" w:eastAsia="Arial" w:hAnsi="Arial"/>
                <w:sz w:val="12"/>
                <w:szCs w:val="12"/>
                <w:color w:val="0000EE"/>
              </w:rPr>
            </w:pPr>
            <w:hyperlink r:id="rId138">
              <w:r>
                <w:rPr>
                  <w:rFonts w:ascii="Arial" w:cs="Arial" w:eastAsia="Arial" w:hAnsi="Arial"/>
                  <w:sz w:val="12"/>
                  <w:szCs w:val="12"/>
                  <w:color w:val="0000EE"/>
                </w:rPr>
                <w:t>of April 10, 2015 (File No. 001-36708))</w:t>
              </w:r>
            </w:hyperlink>
          </w:p>
        </w:tc>
        <w:tc>
          <w:tcPr>
            <w:tcW w:w="60" w:type="dxa"/>
            <w:vAlign w:val="bottom"/>
            <w:gridSpan w:val="2"/>
          </w:tcPr>
          <w:p>
            <w:pPr>
              <w:spacing w:after="0"/>
              <w:rPr>
                <w:sz w:val="10"/>
                <w:szCs w:val="10"/>
                <w:color w:val="auto"/>
              </w:rPr>
            </w:pPr>
          </w:p>
        </w:tc>
      </w:tr>
      <w:tr>
        <w:trPr>
          <w:trHeight w:val="20"/>
        </w:trPr>
        <w:tc>
          <w:tcPr>
            <w:tcW w:w="1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860" w:type="dxa"/>
            <w:vAlign w:val="bottom"/>
            <w:gridSpan w:val="1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142"/>
        </w:trPr>
        <w:tc>
          <w:tcPr>
            <w:tcW w:w="1260" w:type="dxa"/>
            <w:vAlign w:val="bottom"/>
          </w:tcPr>
          <w:p>
            <w:pPr>
              <w:spacing w:after="0"/>
              <w:rPr>
                <w:sz w:val="20"/>
                <w:szCs w:val="20"/>
                <w:color w:val="auto"/>
              </w:rPr>
            </w:pPr>
            <w:r>
              <w:rPr>
                <w:rFonts w:ascii="Arial" w:cs="Arial" w:eastAsia="Arial" w:hAnsi="Arial"/>
                <w:sz w:val="12"/>
                <w:szCs w:val="12"/>
                <w:color w:val="auto"/>
              </w:rPr>
              <w:t>3.2</w:t>
            </w:r>
          </w:p>
        </w:tc>
        <w:tc>
          <w:tcPr>
            <w:tcW w:w="360" w:type="dxa"/>
            <w:vAlign w:val="bottom"/>
          </w:tcPr>
          <w:p>
            <w:pPr>
              <w:spacing w:after="0"/>
              <w:rPr>
                <w:sz w:val="12"/>
                <w:szCs w:val="12"/>
                <w:color w:val="auto"/>
              </w:rPr>
            </w:pPr>
          </w:p>
        </w:tc>
        <w:tc>
          <w:tcPr>
            <w:tcW w:w="9780" w:type="dxa"/>
            <w:vAlign w:val="bottom"/>
            <w:tcBorders>
              <w:bottom w:val="single" w:sz="8" w:color="0000EE"/>
            </w:tcBorders>
            <w:gridSpan w:val="16"/>
          </w:tcPr>
          <w:p>
            <w:pPr>
              <w:spacing w:after="0"/>
              <w:rPr>
                <w:rFonts w:ascii="Arial" w:cs="Arial" w:eastAsia="Arial" w:hAnsi="Arial"/>
                <w:sz w:val="12"/>
                <w:szCs w:val="12"/>
                <w:color w:val="0000EE"/>
                <w:w w:val="91"/>
              </w:rPr>
            </w:pPr>
            <w:hyperlink r:id="rId139">
              <w:r>
                <w:rPr>
                  <w:rFonts w:ascii="Arial" w:cs="Arial" w:eastAsia="Arial" w:hAnsi="Arial"/>
                  <w:sz w:val="12"/>
                  <w:szCs w:val="12"/>
                  <w:color w:val="0000EE"/>
                  <w:w w:val="91"/>
                </w:rPr>
                <w:t>Articles of Amendment of Communications Sales &amp; Leasing, Inc. (incorporated by reference to Exhibit 3.1 to the Company’s Current Report on Form 8-K dated and filed with the SEC as of February 28,</w:t>
              </w:r>
            </w:hyperlink>
          </w:p>
        </w:tc>
        <w:tc>
          <w:tcPr>
            <w:tcW w:w="100" w:type="dxa"/>
            <w:vAlign w:val="bottom"/>
            <w:gridSpan w:val="3"/>
          </w:tcPr>
          <w:p>
            <w:pPr>
              <w:spacing w:after="0"/>
              <w:rPr>
                <w:sz w:val="12"/>
                <w:szCs w:val="12"/>
                <w:color w:val="auto"/>
              </w:rPr>
            </w:pPr>
          </w:p>
        </w:tc>
      </w:tr>
      <w:tr>
        <w:trPr>
          <w:trHeight w:val="124"/>
        </w:trPr>
        <w:tc>
          <w:tcPr>
            <w:tcW w:w="1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340" w:type="dxa"/>
            <w:vAlign w:val="bottom"/>
            <w:tcBorders>
              <w:bottom w:val="single" w:sz="8" w:color="0000EE"/>
            </w:tcBorders>
          </w:tcPr>
          <w:p>
            <w:pPr>
              <w:spacing w:after="0" w:line="124" w:lineRule="exact"/>
              <w:rPr>
                <w:rFonts w:ascii="Arial" w:cs="Arial" w:eastAsia="Arial" w:hAnsi="Arial"/>
                <w:sz w:val="12"/>
                <w:szCs w:val="12"/>
                <w:color w:val="0000EE"/>
                <w:w w:val="91"/>
              </w:rPr>
            </w:pPr>
            <w:hyperlink r:id="rId139">
              <w:r>
                <w:rPr>
                  <w:rFonts w:ascii="Arial" w:cs="Arial" w:eastAsia="Arial" w:hAnsi="Arial"/>
                  <w:sz w:val="12"/>
                  <w:szCs w:val="12"/>
                  <w:color w:val="0000EE"/>
                  <w:w w:val="91"/>
                </w:rPr>
                <w:t>2017 (File No. 001-36708))</w:t>
              </w:r>
            </w:hyperlink>
          </w:p>
        </w:tc>
        <w:tc>
          <w:tcPr>
            <w:tcW w:w="8540" w:type="dxa"/>
            <w:vAlign w:val="bottom"/>
            <w:gridSpan w:val="18"/>
          </w:tcPr>
          <w:p>
            <w:pPr>
              <w:spacing w:after="0"/>
              <w:rPr>
                <w:sz w:val="10"/>
                <w:szCs w:val="10"/>
                <w:color w:val="auto"/>
              </w:rPr>
            </w:pPr>
          </w:p>
        </w:tc>
      </w:tr>
      <w:tr>
        <w:trPr>
          <w:trHeight w:val="304"/>
        </w:trPr>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780" w:type="dxa"/>
            <w:vAlign w:val="bottom"/>
            <w:gridSpan w:val="5"/>
          </w:tcPr>
          <w:p>
            <w:pPr>
              <w:ind w:left="4020"/>
              <w:spacing w:after="0"/>
              <w:rPr>
                <w:sz w:val="20"/>
                <w:szCs w:val="20"/>
                <w:color w:val="auto"/>
              </w:rPr>
            </w:pPr>
            <w:r>
              <w:rPr>
                <w:rFonts w:ascii="Arial" w:cs="Arial" w:eastAsia="Arial" w:hAnsi="Arial"/>
                <w:sz w:val="12"/>
                <w:szCs w:val="12"/>
                <w:color w:val="auto"/>
              </w:rPr>
              <w:t>103</w:t>
            </w: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72"/>
        </w:trPr>
        <w:tc>
          <w:tcPr>
            <w:tcW w:w="126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400" w:type="dxa"/>
            <w:vAlign w:val="bottom"/>
            <w:tcBorders>
              <w:bottom w:val="single" w:sz="8" w:color="9A9A9A"/>
            </w:tcBorders>
          </w:tcPr>
          <w:p>
            <w:pPr>
              <w:spacing w:after="0"/>
              <w:rPr>
                <w:sz w:val="6"/>
                <w:szCs w:val="6"/>
                <w:color w:val="auto"/>
              </w:rPr>
            </w:pPr>
          </w:p>
        </w:tc>
        <w:tc>
          <w:tcPr>
            <w:tcW w:w="220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1520" w:type="dxa"/>
            <w:vAlign w:val="bottom"/>
            <w:tcBorders>
              <w:bottom w:val="single" w:sz="8" w:color="9A9A9A"/>
            </w:tcBorders>
          </w:tcPr>
          <w:p>
            <w:pPr>
              <w:spacing w:after="0"/>
              <w:rPr>
                <w:sz w:val="6"/>
                <w:szCs w:val="6"/>
                <w:color w:val="auto"/>
              </w:rPr>
            </w:pPr>
          </w:p>
        </w:tc>
        <w:tc>
          <w:tcPr>
            <w:tcW w:w="260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7280275</wp:posOffset>
            </wp:positionH>
            <wp:positionV relativeFrom="paragraph">
              <wp:posOffset>-23495</wp:posOffset>
            </wp:positionV>
            <wp:extent cx="31115" cy="3683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0">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1">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0"/>
          </w:cols>
          <w:pgMar w:left="220" w:top="131" w:right="17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138"/>
        </w:trPr>
        <w:tc>
          <w:tcPr>
            <w:tcW w:w="1620" w:type="dxa"/>
            <w:vAlign w:val="bottom"/>
            <w:gridSpan w:val="3"/>
          </w:tcPr>
          <w:p>
            <w:pPr>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620" w:type="dxa"/>
            <w:vAlign w:val="bottom"/>
            <w:gridSpan w:val="3"/>
          </w:tcPr>
          <w:p>
            <w:pPr>
              <w:ind w:left="320"/>
              <w:spacing w:after="0"/>
              <w:rPr>
                <w:sz w:val="20"/>
                <w:szCs w:val="20"/>
                <w:color w:val="auto"/>
              </w:rPr>
            </w:pPr>
            <w:r>
              <w:rPr>
                <w:rFonts w:ascii="Arial" w:cs="Arial" w:eastAsia="Arial" w:hAnsi="Arial"/>
                <w:sz w:val="12"/>
                <w:szCs w:val="12"/>
                <w:b w:val="1"/>
                <w:bCs w:val="1"/>
                <w:color w:val="auto"/>
              </w:rPr>
              <w:t>Exhibit No.</w:t>
            </w: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6500" w:type="dxa"/>
            <w:vAlign w:val="bottom"/>
            <w:gridSpan w:val="14"/>
          </w:tcPr>
          <w:p>
            <w:pPr>
              <w:ind w:left="1260"/>
              <w:spacing w:after="0"/>
              <w:rPr>
                <w:sz w:val="20"/>
                <w:szCs w:val="20"/>
                <w:color w:val="auto"/>
              </w:rPr>
            </w:pPr>
            <w:r>
              <w:rPr>
                <w:rFonts w:ascii="Arial" w:cs="Arial" w:eastAsia="Arial" w:hAnsi="Arial"/>
                <w:sz w:val="12"/>
                <w:szCs w:val="12"/>
                <w:b w:val="1"/>
                <w:bCs w:val="1"/>
                <w:color w:val="auto"/>
              </w:rPr>
              <w:t>Description</w:t>
            </w:r>
          </w:p>
        </w:tc>
      </w:tr>
      <w:tr>
        <w:trPr>
          <w:trHeight w:val="120"/>
        </w:trPr>
        <w:tc>
          <w:tcPr>
            <w:tcW w:w="840" w:type="dxa"/>
            <w:vAlign w:val="bottom"/>
            <w:tcBorders>
              <w:top w:val="single" w:sz="8" w:color="auto"/>
            </w:tcBorders>
          </w:tcPr>
          <w:p>
            <w:pPr>
              <w:spacing w:after="0" w:line="120" w:lineRule="exact"/>
              <w:rPr>
                <w:sz w:val="20"/>
                <w:szCs w:val="20"/>
                <w:color w:val="auto"/>
              </w:rPr>
            </w:pPr>
            <w:r>
              <w:rPr>
                <w:rFonts w:ascii="Arial" w:cs="Arial" w:eastAsia="Arial" w:hAnsi="Arial"/>
                <w:sz w:val="12"/>
                <w:szCs w:val="12"/>
                <w:color w:val="auto"/>
              </w:rPr>
              <w:t>3.3</w:t>
            </w:r>
          </w:p>
        </w:tc>
        <w:tc>
          <w:tcPr>
            <w:tcW w:w="42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9880" w:type="dxa"/>
            <w:vAlign w:val="bottom"/>
            <w:tcBorders>
              <w:top w:val="single" w:sz="8" w:color="auto"/>
            </w:tcBorders>
            <w:gridSpan w:val="21"/>
          </w:tcPr>
          <w:p>
            <w:pPr>
              <w:spacing w:after="0" w:line="120" w:lineRule="exact"/>
              <w:rPr>
                <w:rFonts w:ascii="Arial" w:cs="Arial" w:eastAsia="Arial" w:hAnsi="Arial"/>
                <w:sz w:val="12"/>
                <w:szCs w:val="12"/>
                <w:color w:val="0000EE"/>
                <w:w w:val="93"/>
              </w:rPr>
            </w:pPr>
            <w:hyperlink r:id="rId142">
              <w:r>
                <w:rPr>
                  <w:rFonts w:ascii="Arial" w:cs="Arial" w:eastAsia="Arial" w:hAnsi="Arial"/>
                  <w:sz w:val="12"/>
                  <w:szCs w:val="12"/>
                  <w:color w:val="0000EE"/>
                  <w:w w:val="93"/>
                </w:rPr>
                <w:t>Amended and Restated Bylaws of Uniti Group Inc. (incorporated by reference to Exhibit 3.1 to the Company’s Current Report on Form 8-K dated as of May 1, 2017 and filed with the SEC as of May 2,</w:t>
              </w:r>
            </w:hyperlink>
          </w:p>
        </w:tc>
      </w:tr>
      <w:tr>
        <w:trPr>
          <w:trHeight w:val="124"/>
        </w:trPr>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340" w:type="dxa"/>
            <w:vAlign w:val="bottom"/>
            <w:tcBorders>
              <w:top w:val="single" w:sz="8" w:color="0000EE"/>
              <w:bottom w:val="single" w:sz="8" w:color="0000EE"/>
            </w:tcBorders>
            <w:gridSpan w:val="4"/>
          </w:tcPr>
          <w:p>
            <w:pPr>
              <w:spacing w:after="0" w:line="124" w:lineRule="exact"/>
              <w:rPr>
                <w:rFonts w:ascii="Arial" w:cs="Arial" w:eastAsia="Arial" w:hAnsi="Arial"/>
                <w:sz w:val="12"/>
                <w:szCs w:val="12"/>
                <w:color w:val="0000EE"/>
                <w:w w:val="91"/>
              </w:rPr>
            </w:pPr>
            <w:hyperlink r:id="rId142">
              <w:r>
                <w:rPr>
                  <w:rFonts w:ascii="Arial" w:cs="Arial" w:eastAsia="Arial" w:hAnsi="Arial"/>
                  <w:sz w:val="12"/>
                  <w:szCs w:val="12"/>
                  <w:color w:val="0000EE"/>
                  <w:w w:val="91"/>
                </w:rPr>
                <w:t>2017 (File No. 001-36708))</w:t>
              </w:r>
            </w:hyperlink>
          </w:p>
        </w:tc>
        <w:tc>
          <w:tcPr>
            <w:tcW w:w="8340" w:type="dxa"/>
            <w:vAlign w:val="bottom"/>
            <w:tcBorders>
              <w:top w:val="single" w:sz="8" w:color="0000EE"/>
            </w:tcBorders>
            <w:gridSpan w:val="9"/>
          </w:tcPr>
          <w:p>
            <w:pPr>
              <w:spacing w:after="0"/>
              <w:rPr>
                <w:sz w:val="10"/>
                <w:szCs w:val="10"/>
                <w:color w:val="auto"/>
              </w:rPr>
            </w:pPr>
          </w:p>
        </w:tc>
        <w:tc>
          <w:tcPr>
            <w:tcW w:w="200" w:type="dxa"/>
            <w:vAlign w:val="bottom"/>
            <w:gridSpan w:val="8"/>
          </w:tcPr>
          <w:p>
            <w:pPr>
              <w:spacing w:after="0"/>
              <w:rPr>
                <w:sz w:val="10"/>
                <w:szCs w:val="10"/>
                <w:color w:val="auto"/>
              </w:rPr>
            </w:pPr>
          </w:p>
        </w:tc>
      </w:tr>
      <w:tr>
        <w:trPr>
          <w:trHeight w:val="142"/>
        </w:trPr>
        <w:tc>
          <w:tcPr>
            <w:tcW w:w="840" w:type="dxa"/>
            <w:vAlign w:val="bottom"/>
          </w:tcPr>
          <w:p>
            <w:pPr>
              <w:spacing w:after="0"/>
              <w:rPr>
                <w:sz w:val="20"/>
                <w:szCs w:val="20"/>
                <w:color w:val="auto"/>
              </w:rPr>
            </w:pPr>
            <w:r>
              <w:rPr>
                <w:rFonts w:ascii="Arial" w:cs="Arial" w:eastAsia="Arial" w:hAnsi="Arial"/>
                <w:sz w:val="12"/>
                <w:szCs w:val="12"/>
                <w:color w:val="auto"/>
              </w:rPr>
              <w:t>4.1</w:t>
            </w: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80" w:type="dxa"/>
            <w:vAlign w:val="bottom"/>
            <w:gridSpan w:val="21"/>
          </w:tcPr>
          <w:p>
            <w:pPr>
              <w:spacing w:after="0"/>
              <w:rPr>
                <w:rFonts w:ascii="Arial" w:cs="Arial" w:eastAsia="Arial" w:hAnsi="Arial"/>
                <w:sz w:val="12"/>
                <w:szCs w:val="12"/>
                <w:color w:val="0000EE"/>
                <w:w w:val="93"/>
              </w:rPr>
            </w:pPr>
            <w:hyperlink r:id="rId143">
              <w:r>
                <w:rPr>
                  <w:rFonts w:ascii="Arial" w:cs="Arial" w:eastAsia="Arial" w:hAnsi="Arial"/>
                  <w:sz w:val="12"/>
                  <w:szCs w:val="12"/>
                  <w:color w:val="0000EE"/>
                  <w:w w:val="93"/>
                </w:rPr>
                <w:t>Indenture, dated as of April 24, 2015, among Communications Sales &amp; Leasing, Inc. and CSL Capital, LLC, as Issuers, the guarantors named therein, and Wells Fargo Bank, National Association, as</w:t>
              </w:r>
            </w:hyperlink>
          </w:p>
        </w:tc>
      </w:tr>
      <w:tr>
        <w:trPr>
          <w:trHeight w:val="20"/>
        </w:trPr>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47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4"/>
        </w:trPr>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880" w:type="dxa"/>
            <w:vAlign w:val="bottom"/>
            <w:gridSpan w:val="21"/>
          </w:tcPr>
          <w:p>
            <w:pPr>
              <w:spacing w:after="0" w:line="124" w:lineRule="exact"/>
              <w:rPr>
                <w:rFonts w:ascii="Arial" w:cs="Arial" w:eastAsia="Arial" w:hAnsi="Arial"/>
                <w:sz w:val="12"/>
                <w:szCs w:val="12"/>
                <w:color w:val="0000EE"/>
                <w:w w:val="93"/>
              </w:rPr>
            </w:pPr>
            <w:hyperlink r:id="rId143">
              <w:r>
                <w:rPr>
                  <w:rFonts w:ascii="Arial" w:cs="Arial" w:eastAsia="Arial" w:hAnsi="Arial"/>
                  <w:sz w:val="12"/>
                  <w:szCs w:val="12"/>
                  <w:color w:val="0000EE"/>
                  <w:w w:val="93"/>
                </w:rPr>
                <w:t>trustee, governing the 8.25% Senior Notes due 2023 (incorporated by reference to Exhibit 4.2 to the Company’s Current Report on Form 8-K dated and filed with the SEC as of April 27, 2015 (File No.</w:t>
              </w:r>
            </w:hyperlink>
          </w:p>
        </w:tc>
      </w:tr>
      <w:tr>
        <w:trPr>
          <w:trHeight w:val="124"/>
        </w:trPr>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0" w:type="dxa"/>
            <w:vAlign w:val="bottom"/>
            <w:tcBorders>
              <w:top w:val="single" w:sz="8" w:color="0000EE"/>
              <w:bottom w:val="single" w:sz="8" w:color="0000EE"/>
            </w:tcBorders>
            <w:gridSpan w:val="2"/>
          </w:tcPr>
          <w:p>
            <w:pPr>
              <w:spacing w:after="0" w:line="124" w:lineRule="exact"/>
              <w:rPr>
                <w:rFonts w:ascii="Arial" w:cs="Arial" w:eastAsia="Arial" w:hAnsi="Arial"/>
                <w:sz w:val="12"/>
                <w:szCs w:val="12"/>
                <w:color w:val="0000EE"/>
                <w:w w:val="88"/>
              </w:rPr>
            </w:pPr>
            <w:hyperlink r:id="rId143">
              <w:r>
                <w:rPr>
                  <w:rFonts w:ascii="Arial" w:cs="Arial" w:eastAsia="Arial" w:hAnsi="Arial"/>
                  <w:sz w:val="12"/>
                  <w:szCs w:val="12"/>
                  <w:color w:val="0000EE"/>
                  <w:w w:val="88"/>
                </w:rPr>
                <w:t>001-36708))</w:t>
              </w:r>
            </w:hyperlink>
          </w:p>
        </w:tc>
        <w:tc>
          <w:tcPr>
            <w:tcW w:w="200" w:type="dxa"/>
            <w:vAlign w:val="bottom"/>
            <w:tcBorders>
              <w:top w:val="single" w:sz="8" w:color="0000EE"/>
            </w:tcBorders>
          </w:tcPr>
          <w:p>
            <w:pPr>
              <w:spacing w:after="0"/>
              <w:rPr>
                <w:sz w:val="10"/>
                <w:szCs w:val="10"/>
                <w:color w:val="auto"/>
              </w:rPr>
            </w:pPr>
          </w:p>
        </w:tc>
        <w:tc>
          <w:tcPr>
            <w:tcW w:w="540" w:type="dxa"/>
            <w:vAlign w:val="bottom"/>
            <w:tcBorders>
              <w:top w:val="single" w:sz="8" w:color="0000EE"/>
            </w:tcBorders>
          </w:tcPr>
          <w:p>
            <w:pPr>
              <w:spacing w:after="0"/>
              <w:rPr>
                <w:sz w:val="10"/>
                <w:szCs w:val="10"/>
                <w:color w:val="auto"/>
              </w:rPr>
            </w:pPr>
          </w:p>
        </w:tc>
        <w:tc>
          <w:tcPr>
            <w:tcW w:w="460" w:type="dxa"/>
            <w:vAlign w:val="bottom"/>
            <w:tcBorders>
              <w:top w:val="single" w:sz="8" w:color="0000EE"/>
            </w:tcBorders>
          </w:tcPr>
          <w:p>
            <w:pPr>
              <w:spacing w:after="0"/>
              <w:rPr>
                <w:sz w:val="10"/>
                <w:szCs w:val="10"/>
                <w:color w:val="auto"/>
              </w:rPr>
            </w:pPr>
          </w:p>
        </w:tc>
        <w:tc>
          <w:tcPr>
            <w:tcW w:w="120" w:type="dxa"/>
            <w:vAlign w:val="bottom"/>
            <w:tcBorders>
              <w:top w:val="single" w:sz="8" w:color="0000EE"/>
            </w:tcBorders>
          </w:tcPr>
          <w:p>
            <w:pPr>
              <w:spacing w:after="0"/>
              <w:rPr>
                <w:sz w:val="10"/>
                <w:szCs w:val="10"/>
                <w:color w:val="auto"/>
              </w:rPr>
            </w:pPr>
          </w:p>
        </w:tc>
        <w:tc>
          <w:tcPr>
            <w:tcW w:w="1460" w:type="dxa"/>
            <w:vAlign w:val="bottom"/>
            <w:tcBorders>
              <w:top w:val="single" w:sz="8" w:color="0000EE"/>
            </w:tcBorders>
          </w:tcPr>
          <w:p>
            <w:pPr>
              <w:spacing w:after="0"/>
              <w:rPr>
                <w:sz w:val="10"/>
                <w:szCs w:val="10"/>
                <w:color w:val="auto"/>
              </w:rPr>
            </w:pPr>
          </w:p>
        </w:tc>
        <w:tc>
          <w:tcPr>
            <w:tcW w:w="1420" w:type="dxa"/>
            <w:vAlign w:val="bottom"/>
            <w:tcBorders>
              <w:top w:val="single" w:sz="8" w:color="0000EE"/>
            </w:tcBorders>
          </w:tcPr>
          <w:p>
            <w:pPr>
              <w:spacing w:after="0"/>
              <w:rPr>
                <w:sz w:val="10"/>
                <w:szCs w:val="10"/>
                <w:color w:val="auto"/>
              </w:rPr>
            </w:pPr>
          </w:p>
        </w:tc>
        <w:tc>
          <w:tcPr>
            <w:tcW w:w="472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100" w:type="dxa"/>
            <w:vAlign w:val="bottom"/>
            <w:tcBorders>
              <w:top w:val="single" w:sz="8" w:color="0000EE"/>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42"/>
        </w:trPr>
        <w:tc>
          <w:tcPr>
            <w:tcW w:w="840" w:type="dxa"/>
            <w:vAlign w:val="bottom"/>
          </w:tcPr>
          <w:p>
            <w:pPr>
              <w:spacing w:after="0"/>
              <w:rPr>
                <w:sz w:val="20"/>
                <w:szCs w:val="20"/>
                <w:color w:val="auto"/>
              </w:rPr>
            </w:pPr>
            <w:r>
              <w:rPr>
                <w:rFonts w:ascii="Arial" w:cs="Arial" w:eastAsia="Arial" w:hAnsi="Arial"/>
                <w:sz w:val="12"/>
                <w:szCs w:val="12"/>
                <w:color w:val="auto"/>
              </w:rPr>
              <w:t>4.2</w:t>
            </w: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760" w:type="dxa"/>
            <w:vAlign w:val="bottom"/>
            <w:tcBorders>
              <w:bottom w:val="single" w:sz="8" w:color="0000EE"/>
            </w:tcBorders>
            <w:gridSpan w:val="15"/>
          </w:tcPr>
          <w:p>
            <w:pPr>
              <w:spacing w:after="0"/>
              <w:rPr>
                <w:rFonts w:ascii="Arial" w:cs="Arial" w:eastAsia="Arial" w:hAnsi="Arial"/>
                <w:sz w:val="12"/>
                <w:szCs w:val="12"/>
                <w:color w:val="0000EE"/>
                <w:w w:val="91"/>
              </w:rPr>
            </w:pPr>
            <w:hyperlink r:id="rId143">
              <w:r>
                <w:rPr>
                  <w:rFonts w:ascii="Arial" w:cs="Arial" w:eastAsia="Arial" w:hAnsi="Arial"/>
                  <w:sz w:val="12"/>
                  <w:szCs w:val="12"/>
                  <w:color w:val="0000EE"/>
                  <w:w w:val="91"/>
                </w:rPr>
                <w:t>Form of 8.25% Senior Note due 2023 (included in Exhibit 4.1 above) (incorporated by reference to Exhibit 4.4 to the Company’s Current Report on Form 8-K dated and filed with the SEC as of April 27,</w:t>
              </w:r>
            </w:hyperlink>
          </w:p>
        </w:tc>
        <w:tc>
          <w:tcPr>
            <w:tcW w:w="120" w:type="dxa"/>
            <w:vAlign w:val="bottom"/>
            <w:gridSpan w:val="6"/>
          </w:tcPr>
          <w:p>
            <w:pPr>
              <w:spacing w:after="0"/>
              <w:rPr>
                <w:sz w:val="12"/>
                <w:szCs w:val="12"/>
                <w:color w:val="auto"/>
              </w:rPr>
            </w:pPr>
          </w:p>
        </w:tc>
      </w:tr>
      <w:tr>
        <w:trPr>
          <w:trHeight w:val="124"/>
        </w:trPr>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340" w:type="dxa"/>
            <w:vAlign w:val="bottom"/>
            <w:tcBorders>
              <w:bottom w:val="single" w:sz="8" w:color="0000EE"/>
            </w:tcBorders>
            <w:gridSpan w:val="4"/>
          </w:tcPr>
          <w:p>
            <w:pPr>
              <w:spacing w:after="0" w:line="124" w:lineRule="exact"/>
              <w:rPr>
                <w:rFonts w:ascii="Arial" w:cs="Arial" w:eastAsia="Arial" w:hAnsi="Arial"/>
                <w:sz w:val="12"/>
                <w:szCs w:val="12"/>
                <w:color w:val="0000EE"/>
                <w:w w:val="91"/>
              </w:rPr>
            </w:pPr>
            <w:hyperlink r:id="rId143">
              <w:r>
                <w:rPr>
                  <w:rFonts w:ascii="Arial" w:cs="Arial" w:eastAsia="Arial" w:hAnsi="Arial"/>
                  <w:sz w:val="12"/>
                  <w:szCs w:val="12"/>
                  <w:color w:val="0000EE"/>
                  <w:w w:val="91"/>
                </w:rPr>
                <w:t>2015 (File No. 001-36708))</w:t>
              </w:r>
            </w:hyperlink>
          </w:p>
        </w:tc>
        <w:tc>
          <w:tcPr>
            <w:tcW w:w="8540" w:type="dxa"/>
            <w:vAlign w:val="bottom"/>
            <w:gridSpan w:val="17"/>
          </w:tcPr>
          <w:p>
            <w:pPr>
              <w:spacing w:after="0"/>
              <w:rPr>
                <w:sz w:val="10"/>
                <w:szCs w:val="10"/>
                <w:color w:val="auto"/>
              </w:rPr>
            </w:pPr>
          </w:p>
        </w:tc>
      </w:tr>
      <w:tr>
        <w:trPr>
          <w:trHeight w:val="142"/>
        </w:trPr>
        <w:tc>
          <w:tcPr>
            <w:tcW w:w="840" w:type="dxa"/>
            <w:vAlign w:val="bottom"/>
          </w:tcPr>
          <w:p>
            <w:pPr>
              <w:spacing w:after="0"/>
              <w:rPr>
                <w:sz w:val="20"/>
                <w:szCs w:val="20"/>
                <w:color w:val="auto"/>
              </w:rPr>
            </w:pPr>
            <w:r>
              <w:rPr>
                <w:rFonts w:ascii="Arial" w:cs="Arial" w:eastAsia="Arial" w:hAnsi="Arial"/>
                <w:sz w:val="12"/>
                <w:szCs w:val="12"/>
                <w:color w:val="auto"/>
              </w:rPr>
              <w:t>4.3</w:t>
            </w: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780" w:type="dxa"/>
            <w:vAlign w:val="bottom"/>
            <w:tcBorders>
              <w:bottom w:val="single" w:sz="8" w:color="0000EE"/>
            </w:tcBorders>
            <w:gridSpan w:val="16"/>
          </w:tcPr>
          <w:p>
            <w:pPr>
              <w:spacing w:after="0"/>
              <w:rPr>
                <w:rFonts w:ascii="Arial" w:cs="Arial" w:eastAsia="Arial" w:hAnsi="Arial"/>
                <w:sz w:val="12"/>
                <w:szCs w:val="12"/>
                <w:color w:val="0000EE"/>
                <w:w w:val="89"/>
              </w:rPr>
            </w:pPr>
            <w:hyperlink r:id="rId144">
              <w:r>
                <w:rPr>
                  <w:rFonts w:ascii="Arial" w:cs="Arial" w:eastAsia="Arial" w:hAnsi="Arial"/>
                  <w:sz w:val="12"/>
                  <w:szCs w:val="12"/>
                  <w:color w:val="0000EE"/>
                  <w:w w:val="89"/>
                </w:rPr>
                <w:t>Second Supplemental Indenture (8.25% Senior Notes due 2023), dated as of October 19, 2016, among Communications Sales &amp; Leasing, Inc. and CSL Capital, LLC, as Issuers, the guarantors thereto and</w:t>
              </w:r>
            </w:hyperlink>
          </w:p>
        </w:tc>
        <w:tc>
          <w:tcPr>
            <w:tcW w:w="100" w:type="dxa"/>
            <w:vAlign w:val="bottom"/>
            <w:gridSpan w:val="5"/>
          </w:tcPr>
          <w:p>
            <w:pPr>
              <w:spacing w:after="0"/>
              <w:rPr>
                <w:sz w:val="12"/>
                <w:szCs w:val="12"/>
                <w:color w:val="auto"/>
              </w:rPr>
            </w:pPr>
          </w:p>
        </w:tc>
      </w:tr>
      <w:tr>
        <w:trPr>
          <w:trHeight w:val="124"/>
        </w:trPr>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880" w:type="dxa"/>
            <w:vAlign w:val="bottom"/>
            <w:gridSpan w:val="21"/>
          </w:tcPr>
          <w:p>
            <w:pPr>
              <w:spacing w:after="0" w:line="124" w:lineRule="exact"/>
              <w:rPr>
                <w:rFonts w:ascii="Arial" w:cs="Arial" w:eastAsia="Arial" w:hAnsi="Arial"/>
                <w:sz w:val="12"/>
                <w:szCs w:val="12"/>
                <w:color w:val="0000EE"/>
                <w:w w:val="94"/>
              </w:rPr>
            </w:pPr>
            <w:hyperlink r:id="rId144">
              <w:r>
                <w:rPr>
                  <w:rFonts w:ascii="Arial" w:cs="Arial" w:eastAsia="Arial" w:hAnsi="Arial"/>
                  <w:sz w:val="12"/>
                  <w:szCs w:val="12"/>
                  <w:color w:val="0000EE"/>
                  <w:w w:val="94"/>
                </w:rPr>
                <w:t>Wells Fargo Bank, National Association (incorporated by reference to Exhibit 4.3 to the Company’s Annual Report on Form 10-K dated and filed with the SEC as of February 23, 2017 (File No. 001-</w:t>
              </w:r>
            </w:hyperlink>
          </w:p>
        </w:tc>
      </w:tr>
      <w:tr>
        <w:trPr>
          <w:trHeight w:val="124"/>
        </w:trPr>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80" w:type="dxa"/>
            <w:vAlign w:val="bottom"/>
            <w:tcBorders>
              <w:top w:val="single" w:sz="8" w:color="0000EE"/>
              <w:bottom w:val="single" w:sz="8" w:color="0000EE"/>
            </w:tcBorders>
          </w:tcPr>
          <w:p>
            <w:pPr>
              <w:spacing w:after="0" w:line="124" w:lineRule="exact"/>
              <w:rPr>
                <w:rFonts w:ascii="Arial" w:cs="Arial" w:eastAsia="Arial" w:hAnsi="Arial"/>
                <w:sz w:val="12"/>
                <w:szCs w:val="12"/>
                <w:color w:val="0000EE"/>
                <w:w w:val="86"/>
              </w:rPr>
            </w:pPr>
            <w:hyperlink r:id="rId144">
              <w:r>
                <w:rPr>
                  <w:rFonts w:ascii="Arial" w:cs="Arial" w:eastAsia="Arial" w:hAnsi="Arial"/>
                  <w:sz w:val="12"/>
                  <w:szCs w:val="12"/>
                  <w:color w:val="0000EE"/>
                  <w:w w:val="86"/>
                </w:rPr>
                <w:t>36708)</w:t>
              </w:r>
              <w:r>
                <w:rPr>
                  <w:rFonts w:ascii="Arial" w:cs="Arial" w:eastAsia="Arial" w:hAnsi="Arial"/>
                  <w:sz w:val="12"/>
                  <w:szCs w:val="12"/>
                  <w:u w:val="single" w:color="auto"/>
                  <w:color w:val="0000EE"/>
                  <w:w w:val="86"/>
                </w:rPr>
                <w:t>)</w:t>
              </w:r>
            </w:hyperlink>
          </w:p>
        </w:tc>
        <w:tc>
          <w:tcPr>
            <w:tcW w:w="220" w:type="dxa"/>
            <w:vAlign w:val="bottom"/>
            <w:tcBorders>
              <w:top w:val="single" w:sz="8" w:color="0000EE"/>
            </w:tcBorders>
          </w:tcPr>
          <w:p>
            <w:pPr>
              <w:spacing w:after="0"/>
              <w:rPr>
                <w:sz w:val="10"/>
                <w:szCs w:val="10"/>
                <w:color w:val="auto"/>
              </w:rPr>
            </w:pPr>
          </w:p>
        </w:tc>
        <w:tc>
          <w:tcPr>
            <w:tcW w:w="200" w:type="dxa"/>
            <w:vAlign w:val="bottom"/>
            <w:tcBorders>
              <w:top w:val="single" w:sz="8" w:color="0000EE"/>
            </w:tcBorders>
          </w:tcPr>
          <w:p>
            <w:pPr>
              <w:spacing w:after="0"/>
              <w:rPr>
                <w:sz w:val="10"/>
                <w:szCs w:val="10"/>
                <w:color w:val="auto"/>
              </w:rPr>
            </w:pPr>
          </w:p>
        </w:tc>
        <w:tc>
          <w:tcPr>
            <w:tcW w:w="540" w:type="dxa"/>
            <w:vAlign w:val="bottom"/>
            <w:tcBorders>
              <w:top w:val="single" w:sz="8" w:color="0000EE"/>
            </w:tcBorders>
          </w:tcPr>
          <w:p>
            <w:pPr>
              <w:spacing w:after="0"/>
              <w:rPr>
                <w:sz w:val="10"/>
                <w:szCs w:val="10"/>
                <w:color w:val="auto"/>
              </w:rPr>
            </w:pPr>
          </w:p>
        </w:tc>
        <w:tc>
          <w:tcPr>
            <w:tcW w:w="460" w:type="dxa"/>
            <w:vAlign w:val="bottom"/>
            <w:tcBorders>
              <w:top w:val="single" w:sz="8" w:color="0000EE"/>
            </w:tcBorders>
          </w:tcPr>
          <w:p>
            <w:pPr>
              <w:spacing w:after="0"/>
              <w:rPr>
                <w:sz w:val="10"/>
                <w:szCs w:val="10"/>
                <w:color w:val="auto"/>
              </w:rPr>
            </w:pPr>
          </w:p>
        </w:tc>
        <w:tc>
          <w:tcPr>
            <w:tcW w:w="120" w:type="dxa"/>
            <w:vAlign w:val="bottom"/>
            <w:tcBorders>
              <w:top w:val="single" w:sz="8" w:color="0000EE"/>
            </w:tcBorders>
          </w:tcPr>
          <w:p>
            <w:pPr>
              <w:spacing w:after="0"/>
              <w:rPr>
                <w:sz w:val="10"/>
                <w:szCs w:val="10"/>
                <w:color w:val="auto"/>
              </w:rPr>
            </w:pPr>
          </w:p>
        </w:tc>
        <w:tc>
          <w:tcPr>
            <w:tcW w:w="1460" w:type="dxa"/>
            <w:vAlign w:val="bottom"/>
            <w:tcBorders>
              <w:top w:val="single" w:sz="8" w:color="0000EE"/>
            </w:tcBorders>
          </w:tcPr>
          <w:p>
            <w:pPr>
              <w:spacing w:after="0"/>
              <w:rPr>
                <w:sz w:val="10"/>
                <w:szCs w:val="10"/>
                <w:color w:val="auto"/>
              </w:rPr>
            </w:pPr>
          </w:p>
        </w:tc>
        <w:tc>
          <w:tcPr>
            <w:tcW w:w="1420" w:type="dxa"/>
            <w:vAlign w:val="bottom"/>
            <w:tcBorders>
              <w:top w:val="single" w:sz="8" w:color="0000EE"/>
            </w:tcBorders>
          </w:tcPr>
          <w:p>
            <w:pPr>
              <w:spacing w:after="0"/>
              <w:rPr>
                <w:sz w:val="10"/>
                <w:szCs w:val="10"/>
                <w:color w:val="auto"/>
              </w:rPr>
            </w:pPr>
          </w:p>
        </w:tc>
        <w:tc>
          <w:tcPr>
            <w:tcW w:w="472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42"/>
        </w:trPr>
        <w:tc>
          <w:tcPr>
            <w:tcW w:w="840" w:type="dxa"/>
            <w:vAlign w:val="bottom"/>
          </w:tcPr>
          <w:p>
            <w:pPr>
              <w:spacing w:after="0"/>
              <w:rPr>
                <w:sz w:val="20"/>
                <w:szCs w:val="20"/>
                <w:color w:val="auto"/>
              </w:rPr>
            </w:pPr>
            <w:r>
              <w:rPr>
                <w:rFonts w:ascii="Arial" w:cs="Arial" w:eastAsia="Arial" w:hAnsi="Arial"/>
                <w:sz w:val="12"/>
                <w:szCs w:val="12"/>
                <w:color w:val="auto"/>
              </w:rPr>
              <w:t>4.4</w:t>
            </w: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80" w:type="dxa"/>
            <w:vAlign w:val="bottom"/>
            <w:gridSpan w:val="21"/>
          </w:tcPr>
          <w:p>
            <w:pPr>
              <w:spacing w:after="0"/>
              <w:rPr>
                <w:rFonts w:ascii="Arial" w:cs="Arial" w:eastAsia="Arial" w:hAnsi="Arial"/>
                <w:sz w:val="12"/>
                <w:szCs w:val="12"/>
                <w:color w:val="0000EE"/>
                <w:w w:val="93"/>
              </w:rPr>
            </w:pPr>
            <w:hyperlink r:id="rId145">
              <w:r>
                <w:rPr>
                  <w:rFonts w:ascii="Arial" w:cs="Arial" w:eastAsia="Arial" w:hAnsi="Arial"/>
                  <w:sz w:val="12"/>
                  <w:szCs w:val="12"/>
                  <w:color w:val="0000EE"/>
                  <w:w w:val="93"/>
                </w:rPr>
                <w:t>Fifth Supplemental Indenture, dated as of May 9, 2017, to the indenture dated as of April 24, 2015, among Uniti Group LP, Uniti Group Finance Inc., CSL Capital, LLC, Uniti Group Inc., the guarantors</w:t>
              </w:r>
            </w:hyperlink>
          </w:p>
        </w:tc>
      </w:tr>
      <w:tr>
        <w:trPr>
          <w:trHeight w:val="20"/>
        </w:trPr>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474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4"/>
        </w:trPr>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840" w:type="dxa"/>
            <w:vAlign w:val="bottom"/>
            <w:tcBorders>
              <w:bottom w:val="single" w:sz="8" w:color="0000EE"/>
            </w:tcBorders>
            <w:gridSpan w:val="19"/>
          </w:tcPr>
          <w:p>
            <w:pPr>
              <w:spacing w:after="0" w:line="124" w:lineRule="exact"/>
              <w:rPr>
                <w:rFonts w:ascii="Arial" w:cs="Arial" w:eastAsia="Arial" w:hAnsi="Arial"/>
                <w:sz w:val="12"/>
                <w:szCs w:val="12"/>
                <w:color w:val="0000EE"/>
                <w:w w:val="90"/>
              </w:rPr>
            </w:pPr>
            <w:hyperlink r:id="rId145">
              <w:r>
                <w:rPr>
                  <w:rFonts w:ascii="Arial" w:cs="Arial" w:eastAsia="Arial" w:hAnsi="Arial"/>
                  <w:sz w:val="12"/>
                  <w:szCs w:val="12"/>
                  <w:color w:val="0000EE"/>
                  <w:w w:val="90"/>
                </w:rPr>
                <w:t>named therein and Wells Fargo Bank, National Association, as trustee, governing the 8.25% Senior Notes due 2023 (incorporated by reference to Exhibit 4.1 to the Company’s Current Report on Form 8-K</w:t>
              </w:r>
            </w:hyperlink>
          </w:p>
        </w:tc>
        <w:tc>
          <w:tcPr>
            <w:tcW w:w="40" w:type="dxa"/>
            <w:vAlign w:val="bottom"/>
            <w:gridSpan w:val="2"/>
          </w:tcPr>
          <w:p>
            <w:pPr>
              <w:spacing w:after="0"/>
              <w:rPr>
                <w:sz w:val="10"/>
                <w:szCs w:val="10"/>
                <w:color w:val="auto"/>
              </w:rPr>
            </w:pPr>
          </w:p>
        </w:tc>
      </w:tr>
      <w:tr>
        <w:trPr>
          <w:trHeight w:val="124"/>
        </w:trPr>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380" w:type="dxa"/>
            <w:vAlign w:val="bottom"/>
            <w:tcBorders>
              <w:bottom w:val="single" w:sz="8" w:color="0000EE"/>
            </w:tcBorders>
            <w:gridSpan w:val="7"/>
          </w:tcPr>
          <w:p>
            <w:pPr>
              <w:spacing w:after="0" w:line="124" w:lineRule="exact"/>
              <w:rPr>
                <w:rFonts w:ascii="Arial" w:cs="Arial" w:eastAsia="Arial" w:hAnsi="Arial"/>
                <w:sz w:val="12"/>
                <w:szCs w:val="12"/>
                <w:color w:val="0000EE"/>
                <w:w w:val="91"/>
              </w:rPr>
            </w:pPr>
            <w:hyperlink r:id="rId145">
              <w:r>
                <w:rPr>
                  <w:rFonts w:ascii="Arial" w:cs="Arial" w:eastAsia="Arial" w:hAnsi="Arial"/>
                  <w:sz w:val="12"/>
                  <w:szCs w:val="12"/>
                  <w:color w:val="0000EE"/>
                  <w:w w:val="91"/>
                </w:rPr>
                <w:t>dated and filed with the SEC as of May 9, 2017 (File No. 001-36708))</w:t>
              </w:r>
            </w:hyperlink>
          </w:p>
        </w:tc>
        <w:tc>
          <w:tcPr>
            <w:tcW w:w="6500" w:type="dxa"/>
            <w:vAlign w:val="bottom"/>
            <w:gridSpan w:val="14"/>
          </w:tcPr>
          <w:p>
            <w:pPr>
              <w:spacing w:after="0"/>
              <w:rPr>
                <w:sz w:val="10"/>
                <w:szCs w:val="10"/>
                <w:color w:val="auto"/>
              </w:rPr>
            </w:pPr>
          </w:p>
        </w:tc>
      </w:tr>
      <w:tr>
        <w:trPr>
          <w:trHeight w:val="142"/>
        </w:trPr>
        <w:tc>
          <w:tcPr>
            <w:tcW w:w="840" w:type="dxa"/>
            <w:vAlign w:val="bottom"/>
          </w:tcPr>
          <w:p>
            <w:pPr>
              <w:spacing w:after="0"/>
              <w:rPr>
                <w:sz w:val="20"/>
                <w:szCs w:val="20"/>
                <w:color w:val="auto"/>
              </w:rPr>
            </w:pPr>
            <w:r>
              <w:rPr>
                <w:rFonts w:ascii="Arial" w:cs="Arial" w:eastAsia="Arial" w:hAnsi="Arial"/>
                <w:sz w:val="12"/>
                <w:szCs w:val="12"/>
                <w:color w:val="auto"/>
              </w:rPr>
              <w:t>4.5</w:t>
            </w: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80" w:type="dxa"/>
            <w:vAlign w:val="bottom"/>
            <w:gridSpan w:val="21"/>
          </w:tcPr>
          <w:p>
            <w:pPr>
              <w:spacing w:after="0"/>
              <w:rPr>
                <w:rFonts w:ascii="Arial" w:cs="Arial" w:eastAsia="Arial" w:hAnsi="Arial"/>
                <w:sz w:val="12"/>
                <w:szCs w:val="12"/>
                <w:color w:val="0000EE"/>
                <w:w w:val="93"/>
              </w:rPr>
            </w:pPr>
            <w:hyperlink r:id="rId146">
              <w:r>
                <w:rPr>
                  <w:rFonts w:ascii="Arial" w:cs="Arial" w:eastAsia="Arial" w:hAnsi="Arial"/>
                  <w:sz w:val="12"/>
                  <w:szCs w:val="12"/>
                  <w:color w:val="0000EE"/>
                  <w:w w:val="93"/>
                </w:rPr>
                <w:t>Sixth Supplemental Indenture, dated as of May 9, 2017, to the indenture dated as of April 24, 2015, among Uniti Group LP, Uniti Group Finance Inc., CSL Capital, LLC, Uniti Group Inc., the guarantors</w:t>
              </w:r>
            </w:hyperlink>
          </w:p>
        </w:tc>
      </w:tr>
      <w:tr>
        <w:trPr>
          <w:trHeight w:val="20"/>
        </w:trPr>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80" w:type="dxa"/>
            <w:vAlign w:val="bottom"/>
            <w:gridSpan w:val="2"/>
            <w:shd w:val="clear" w:color="auto" w:fill="0000EE"/>
          </w:tcPr>
          <w:p>
            <w:pPr>
              <w:spacing w:after="0" w:line="20" w:lineRule="exact"/>
              <w:rPr>
                <w:sz w:val="1"/>
                <w:szCs w:val="1"/>
                <w:color w:val="auto"/>
              </w:rPr>
            </w:pPr>
          </w:p>
        </w:tc>
        <w:tc>
          <w:tcPr>
            <w:tcW w:w="474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4"/>
        </w:trPr>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840" w:type="dxa"/>
            <w:vAlign w:val="bottom"/>
            <w:tcBorders>
              <w:bottom w:val="single" w:sz="8" w:color="0000EE"/>
            </w:tcBorders>
            <w:gridSpan w:val="19"/>
          </w:tcPr>
          <w:p>
            <w:pPr>
              <w:spacing w:after="0" w:line="124" w:lineRule="exact"/>
              <w:rPr>
                <w:rFonts w:ascii="Arial" w:cs="Arial" w:eastAsia="Arial" w:hAnsi="Arial"/>
                <w:sz w:val="12"/>
                <w:szCs w:val="12"/>
                <w:color w:val="0000EE"/>
                <w:w w:val="90"/>
              </w:rPr>
            </w:pPr>
            <w:hyperlink r:id="rId146">
              <w:r>
                <w:rPr>
                  <w:rFonts w:ascii="Arial" w:cs="Arial" w:eastAsia="Arial" w:hAnsi="Arial"/>
                  <w:sz w:val="12"/>
                  <w:szCs w:val="12"/>
                  <w:color w:val="0000EE"/>
                  <w:w w:val="90"/>
                </w:rPr>
                <w:t>named therein and Wells Fargo Bank, National Association, as trustee, governing the 8.25% Senior Notes due 2023 (incorporated by reference to Exhibit 4.2 to the Company’s Current Report on Form 8-K</w:t>
              </w:r>
            </w:hyperlink>
          </w:p>
        </w:tc>
        <w:tc>
          <w:tcPr>
            <w:tcW w:w="40" w:type="dxa"/>
            <w:vAlign w:val="bottom"/>
            <w:gridSpan w:val="2"/>
          </w:tcPr>
          <w:p>
            <w:pPr>
              <w:spacing w:after="0"/>
              <w:rPr>
                <w:sz w:val="10"/>
                <w:szCs w:val="10"/>
                <w:color w:val="auto"/>
              </w:rPr>
            </w:pPr>
          </w:p>
        </w:tc>
      </w:tr>
      <w:tr>
        <w:trPr>
          <w:trHeight w:val="124"/>
        </w:trPr>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380" w:type="dxa"/>
            <w:vAlign w:val="bottom"/>
            <w:tcBorders>
              <w:bottom w:val="single" w:sz="8" w:color="0000EE"/>
            </w:tcBorders>
            <w:gridSpan w:val="7"/>
          </w:tcPr>
          <w:p>
            <w:pPr>
              <w:spacing w:after="0" w:line="124" w:lineRule="exact"/>
              <w:rPr>
                <w:rFonts w:ascii="Arial" w:cs="Arial" w:eastAsia="Arial" w:hAnsi="Arial"/>
                <w:sz w:val="12"/>
                <w:szCs w:val="12"/>
                <w:color w:val="0000EE"/>
                <w:w w:val="91"/>
              </w:rPr>
            </w:pPr>
            <w:hyperlink r:id="rId146">
              <w:r>
                <w:rPr>
                  <w:rFonts w:ascii="Arial" w:cs="Arial" w:eastAsia="Arial" w:hAnsi="Arial"/>
                  <w:sz w:val="12"/>
                  <w:szCs w:val="12"/>
                  <w:color w:val="0000EE"/>
                  <w:w w:val="91"/>
                </w:rPr>
                <w:t>dated and filed with the SEC as of May 9, 2017 (File No. 001-36708))</w:t>
              </w:r>
            </w:hyperlink>
          </w:p>
        </w:tc>
        <w:tc>
          <w:tcPr>
            <w:tcW w:w="6500" w:type="dxa"/>
            <w:vAlign w:val="bottom"/>
            <w:gridSpan w:val="14"/>
          </w:tcPr>
          <w:p>
            <w:pPr>
              <w:spacing w:after="0"/>
              <w:rPr>
                <w:sz w:val="10"/>
                <w:szCs w:val="10"/>
                <w:color w:val="auto"/>
              </w:rPr>
            </w:pPr>
          </w:p>
        </w:tc>
      </w:tr>
      <w:tr>
        <w:trPr>
          <w:trHeight w:val="142"/>
        </w:trPr>
        <w:tc>
          <w:tcPr>
            <w:tcW w:w="840" w:type="dxa"/>
            <w:vAlign w:val="bottom"/>
          </w:tcPr>
          <w:p>
            <w:pPr>
              <w:spacing w:after="0"/>
              <w:rPr>
                <w:sz w:val="20"/>
                <w:szCs w:val="20"/>
                <w:color w:val="auto"/>
              </w:rPr>
            </w:pPr>
            <w:r>
              <w:rPr>
                <w:rFonts w:ascii="Arial" w:cs="Arial" w:eastAsia="Arial" w:hAnsi="Arial"/>
                <w:sz w:val="12"/>
                <w:szCs w:val="12"/>
                <w:color w:val="auto"/>
              </w:rPr>
              <w:t>4.6</w:t>
            </w: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80" w:type="dxa"/>
            <w:vAlign w:val="bottom"/>
            <w:gridSpan w:val="21"/>
          </w:tcPr>
          <w:p>
            <w:pPr>
              <w:spacing w:after="0"/>
              <w:rPr>
                <w:rFonts w:ascii="Arial" w:cs="Arial" w:eastAsia="Arial" w:hAnsi="Arial"/>
                <w:sz w:val="12"/>
                <w:szCs w:val="12"/>
                <w:color w:val="0000EE"/>
                <w:w w:val="93"/>
              </w:rPr>
            </w:pPr>
            <w:hyperlink r:id="rId147">
              <w:r>
                <w:rPr>
                  <w:rFonts w:ascii="Arial" w:cs="Arial" w:eastAsia="Arial" w:hAnsi="Arial"/>
                  <w:sz w:val="12"/>
                  <w:szCs w:val="12"/>
                  <w:color w:val="0000EE"/>
                  <w:w w:val="93"/>
                </w:rPr>
                <w:t>Indenture, dated as of April 24, 2015, among Communications Sales &amp; Leasing, Inc. and CSL Capital, LLC, as Issuers, the guarantors named therein, and Wells Fargo Bank, National Association, as</w:t>
              </w:r>
            </w:hyperlink>
          </w:p>
        </w:tc>
      </w:tr>
      <w:tr>
        <w:trPr>
          <w:trHeight w:val="20"/>
        </w:trPr>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80" w:type="dxa"/>
            <w:vAlign w:val="bottom"/>
            <w:gridSpan w:val="2"/>
            <w:shd w:val="clear" w:color="auto" w:fill="0000EE"/>
          </w:tcPr>
          <w:p>
            <w:pPr>
              <w:spacing w:after="0" w:line="20" w:lineRule="exact"/>
              <w:rPr>
                <w:sz w:val="1"/>
                <w:szCs w:val="1"/>
                <w:color w:val="auto"/>
              </w:rPr>
            </w:pPr>
          </w:p>
        </w:tc>
        <w:tc>
          <w:tcPr>
            <w:tcW w:w="47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4"/>
        </w:trPr>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860" w:type="dxa"/>
            <w:vAlign w:val="bottom"/>
            <w:tcBorders>
              <w:bottom w:val="single" w:sz="8" w:color="0000EE"/>
            </w:tcBorders>
            <w:gridSpan w:val="20"/>
          </w:tcPr>
          <w:p>
            <w:pPr>
              <w:spacing w:after="0" w:line="124" w:lineRule="exact"/>
              <w:rPr>
                <w:rFonts w:ascii="Arial" w:cs="Arial" w:eastAsia="Arial" w:hAnsi="Arial"/>
                <w:sz w:val="12"/>
                <w:szCs w:val="12"/>
                <w:color w:val="0000EE"/>
                <w:w w:val="90"/>
              </w:rPr>
            </w:pPr>
            <w:hyperlink r:id="rId147">
              <w:r>
                <w:rPr>
                  <w:rFonts w:ascii="Arial" w:cs="Arial" w:eastAsia="Arial" w:hAnsi="Arial"/>
                  <w:sz w:val="12"/>
                  <w:szCs w:val="12"/>
                  <w:color w:val="0000EE"/>
                  <w:w w:val="90"/>
                </w:rPr>
                <w:t>trustee and as collateral agent, governing the 6.00% Senior Secured Notes due 2023 (incorporated by reference to Exhibit 4.1 to the Company’s Current Report on Form 8-K dated and filed with the SEC as</w:t>
              </w:r>
            </w:hyperlink>
          </w:p>
        </w:tc>
        <w:tc>
          <w:tcPr>
            <w:tcW w:w="20" w:type="dxa"/>
            <w:vAlign w:val="bottom"/>
          </w:tcPr>
          <w:p>
            <w:pPr>
              <w:spacing w:after="0"/>
              <w:rPr>
                <w:sz w:val="10"/>
                <w:szCs w:val="10"/>
                <w:color w:val="auto"/>
              </w:rPr>
            </w:pPr>
          </w:p>
        </w:tc>
      </w:tr>
      <w:tr>
        <w:trPr>
          <w:trHeight w:val="124"/>
        </w:trPr>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880" w:type="dxa"/>
            <w:vAlign w:val="bottom"/>
            <w:gridSpan w:val="21"/>
          </w:tcPr>
          <w:p>
            <w:pPr>
              <w:spacing w:after="0" w:line="124" w:lineRule="exact"/>
              <w:rPr>
                <w:rFonts w:ascii="Arial" w:cs="Arial" w:eastAsia="Arial" w:hAnsi="Arial"/>
                <w:sz w:val="12"/>
                <w:szCs w:val="12"/>
                <w:color w:val="0000EE"/>
              </w:rPr>
            </w:pPr>
            <w:hyperlink r:id="rId147">
              <w:r>
                <w:rPr>
                  <w:rFonts w:ascii="Arial" w:cs="Arial" w:eastAsia="Arial" w:hAnsi="Arial"/>
                  <w:sz w:val="12"/>
                  <w:szCs w:val="12"/>
                  <w:color w:val="0000EE"/>
                </w:rPr>
                <w:t>of April 27, 2015 (File No. 001-36708))</w:t>
              </w:r>
            </w:hyperlink>
          </w:p>
        </w:tc>
      </w:tr>
      <w:tr>
        <w:trPr>
          <w:trHeight w:val="20"/>
        </w:trPr>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47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42"/>
        </w:trPr>
        <w:tc>
          <w:tcPr>
            <w:tcW w:w="840" w:type="dxa"/>
            <w:vAlign w:val="bottom"/>
          </w:tcPr>
          <w:p>
            <w:pPr>
              <w:spacing w:after="0"/>
              <w:rPr>
                <w:sz w:val="20"/>
                <w:szCs w:val="20"/>
                <w:color w:val="auto"/>
              </w:rPr>
            </w:pPr>
            <w:r>
              <w:rPr>
                <w:rFonts w:ascii="Arial" w:cs="Arial" w:eastAsia="Arial" w:hAnsi="Arial"/>
                <w:sz w:val="12"/>
                <w:szCs w:val="12"/>
                <w:color w:val="auto"/>
              </w:rPr>
              <w:t>4.7</w:t>
            </w: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80" w:type="dxa"/>
            <w:vAlign w:val="bottom"/>
            <w:gridSpan w:val="21"/>
          </w:tcPr>
          <w:p>
            <w:pPr>
              <w:spacing w:after="0"/>
              <w:rPr>
                <w:rFonts w:ascii="Arial" w:cs="Arial" w:eastAsia="Arial" w:hAnsi="Arial"/>
                <w:sz w:val="12"/>
                <w:szCs w:val="12"/>
                <w:color w:val="0000EE"/>
                <w:w w:val="92"/>
              </w:rPr>
            </w:pPr>
            <w:hyperlink r:id="rId147">
              <w:r>
                <w:rPr>
                  <w:rFonts w:ascii="Arial" w:cs="Arial" w:eastAsia="Arial" w:hAnsi="Arial"/>
                  <w:sz w:val="12"/>
                  <w:szCs w:val="12"/>
                  <w:color w:val="0000EE"/>
                  <w:w w:val="92"/>
                </w:rPr>
                <w:t>Form of 6.00% Senior Secured Note due 2023 (included in Exhibit 4.6 above) (incorporated by reference to Exhibit 4.3 to the Company’s Current Report on Form 8-K dated and filed with the SEC as of</w:t>
              </w:r>
            </w:hyperlink>
          </w:p>
        </w:tc>
      </w:tr>
      <w:tr>
        <w:trPr>
          <w:trHeight w:val="124"/>
        </w:trPr>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0" w:type="dxa"/>
            <w:vAlign w:val="bottom"/>
            <w:tcBorders>
              <w:top w:val="single" w:sz="8" w:color="0000EE"/>
              <w:bottom w:val="single" w:sz="8" w:color="0000EE"/>
            </w:tcBorders>
            <w:gridSpan w:val="5"/>
          </w:tcPr>
          <w:p>
            <w:pPr>
              <w:spacing w:after="0" w:line="124" w:lineRule="exact"/>
              <w:rPr>
                <w:rFonts w:ascii="Arial" w:cs="Arial" w:eastAsia="Arial" w:hAnsi="Arial"/>
                <w:sz w:val="12"/>
                <w:szCs w:val="12"/>
                <w:color w:val="0000EE"/>
                <w:w w:val="92"/>
              </w:rPr>
            </w:pPr>
            <w:hyperlink r:id="rId147">
              <w:r>
                <w:rPr>
                  <w:rFonts w:ascii="Arial" w:cs="Arial" w:eastAsia="Arial" w:hAnsi="Arial"/>
                  <w:sz w:val="12"/>
                  <w:szCs w:val="12"/>
                  <w:color w:val="0000EE"/>
                  <w:w w:val="92"/>
                </w:rPr>
                <w:t>April 27, 2015 (File No. 001-36708))</w:t>
              </w:r>
            </w:hyperlink>
          </w:p>
        </w:tc>
        <w:tc>
          <w:tcPr>
            <w:tcW w:w="7900" w:type="dxa"/>
            <w:vAlign w:val="bottom"/>
            <w:tcBorders>
              <w:top w:val="single" w:sz="8" w:color="0000EE"/>
            </w:tcBorders>
            <w:gridSpan w:val="9"/>
          </w:tcPr>
          <w:p>
            <w:pPr>
              <w:spacing w:after="0"/>
              <w:rPr>
                <w:sz w:val="10"/>
                <w:szCs w:val="10"/>
                <w:color w:val="auto"/>
              </w:rPr>
            </w:pPr>
          </w:p>
        </w:tc>
        <w:tc>
          <w:tcPr>
            <w:tcW w:w="180" w:type="dxa"/>
            <w:vAlign w:val="bottom"/>
            <w:gridSpan w:val="7"/>
          </w:tcPr>
          <w:p>
            <w:pPr>
              <w:spacing w:after="0"/>
              <w:rPr>
                <w:sz w:val="10"/>
                <w:szCs w:val="10"/>
                <w:color w:val="auto"/>
              </w:rPr>
            </w:pPr>
          </w:p>
        </w:tc>
      </w:tr>
      <w:tr>
        <w:trPr>
          <w:trHeight w:val="142"/>
        </w:trPr>
        <w:tc>
          <w:tcPr>
            <w:tcW w:w="840" w:type="dxa"/>
            <w:vAlign w:val="bottom"/>
          </w:tcPr>
          <w:p>
            <w:pPr>
              <w:spacing w:after="0"/>
              <w:rPr>
                <w:sz w:val="20"/>
                <w:szCs w:val="20"/>
                <w:color w:val="auto"/>
              </w:rPr>
            </w:pPr>
            <w:r>
              <w:rPr>
                <w:rFonts w:ascii="Arial" w:cs="Arial" w:eastAsia="Arial" w:hAnsi="Arial"/>
                <w:sz w:val="12"/>
                <w:szCs w:val="12"/>
                <w:color w:val="auto"/>
              </w:rPr>
              <w:t>4.8</w:t>
            </w: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80" w:type="dxa"/>
            <w:vAlign w:val="bottom"/>
            <w:gridSpan w:val="21"/>
          </w:tcPr>
          <w:p>
            <w:pPr>
              <w:spacing w:after="0"/>
              <w:rPr>
                <w:rFonts w:ascii="Arial" w:cs="Arial" w:eastAsia="Arial" w:hAnsi="Arial"/>
                <w:sz w:val="12"/>
                <w:szCs w:val="12"/>
                <w:color w:val="0000EE"/>
                <w:w w:val="90"/>
              </w:rPr>
            </w:pPr>
            <w:hyperlink r:id="rId148">
              <w:r>
                <w:rPr>
                  <w:rFonts w:ascii="Arial" w:cs="Arial" w:eastAsia="Arial" w:hAnsi="Arial"/>
                  <w:sz w:val="12"/>
                  <w:szCs w:val="12"/>
                  <w:color w:val="0000EE"/>
                  <w:w w:val="90"/>
                </w:rPr>
                <w:t>Second Supplemental Indenture (6.00% Senior Secured Notes due 2023), dated as of June 14, 2016, among Communications Sales &amp; Leasing, Inc. and CSL Capital, LLC, as Issuers, the guarantors thereto</w:t>
              </w:r>
            </w:hyperlink>
          </w:p>
        </w:tc>
      </w:tr>
      <w:tr>
        <w:trPr>
          <w:trHeight w:val="124"/>
        </w:trPr>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820" w:type="dxa"/>
            <w:vAlign w:val="bottom"/>
            <w:tcBorders>
              <w:top w:val="single" w:sz="8" w:color="0000EE"/>
            </w:tcBorders>
            <w:gridSpan w:val="18"/>
          </w:tcPr>
          <w:p>
            <w:pPr>
              <w:spacing w:after="0" w:line="124" w:lineRule="exact"/>
              <w:rPr>
                <w:rFonts w:ascii="Arial" w:cs="Arial" w:eastAsia="Arial" w:hAnsi="Arial"/>
                <w:sz w:val="12"/>
                <w:szCs w:val="12"/>
                <w:color w:val="0000EE"/>
                <w:w w:val="92"/>
              </w:rPr>
            </w:pPr>
            <w:hyperlink r:id="rId148">
              <w:r>
                <w:rPr>
                  <w:rFonts w:ascii="Arial" w:cs="Arial" w:eastAsia="Arial" w:hAnsi="Arial"/>
                  <w:sz w:val="12"/>
                  <w:szCs w:val="12"/>
                  <w:color w:val="0000EE"/>
                  <w:w w:val="92"/>
                </w:rPr>
                <w:t>and Wells Fargo Bank, National Association (incorporated by reference to Exhibit 4.6 to the Company’s Annual Report on Form 10-K dated and filed with the SEC as of February 23, 2017 (File No. 001-</w:t>
              </w:r>
            </w:hyperlink>
          </w:p>
        </w:tc>
        <w:tc>
          <w:tcPr>
            <w:tcW w:w="60" w:type="dxa"/>
            <w:vAlign w:val="bottom"/>
            <w:gridSpan w:val="3"/>
          </w:tcPr>
          <w:p>
            <w:pPr>
              <w:spacing w:after="0"/>
              <w:rPr>
                <w:sz w:val="10"/>
                <w:szCs w:val="10"/>
                <w:color w:val="auto"/>
              </w:rPr>
            </w:pPr>
          </w:p>
        </w:tc>
      </w:tr>
      <w:tr>
        <w:trPr>
          <w:trHeight w:val="124"/>
        </w:trPr>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80" w:type="dxa"/>
            <w:vAlign w:val="bottom"/>
            <w:tcBorders>
              <w:top w:val="single" w:sz="8" w:color="0000EE"/>
              <w:bottom w:val="single" w:sz="8" w:color="0000EE"/>
            </w:tcBorders>
          </w:tcPr>
          <w:p>
            <w:pPr>
              <w:spacing w:after="0" w:line="124" w:lineRule="exact"/>
              <w:rPr>
                <w:rFonts w:ascii="Arial" w:cs="Arial" w:eastAsia="Arial" w:hAnsi="Arial"/>
                <w:sz w:val="12"/>
                <w:szCs w:val="12"/>
                <w:color w:val="0000EE"/>
                <w:w w:val="86"/>
              </w:rPr>
            </w:pPr>
            <w:hyperlink r:id="rId148">
              <w:r>
                <w:rPr>
                  <w:rFonts w:ascii="Arial" w:cs="Arial" w:eastAsia="Arial" w:hAnsi="Arial"/>
                  <w:sz w:val="12"/>
                  <w:szCs w:val="12"/>
                  <w:color w:val="0000EE"/>
                  <w:w w:val="86"/>
                </w:rPr>
                <w:t>36708)</w:t>
              </w:r>
              <w:r>
                <w:rPr>
                  <w:rFonts w:ascii="Arial" w:cs="Arial" w:eastAsia="Arial" w:hAnsi="Arial"/>
                  <w:sz w:val="12"/>
                  <w:szCs w:val="12"/>
                  <w:u w:val="single" w:color="auto"/>
                  <w:color w:val="0000EE"/>
                  <w:w w:val="86"/>
                </w:rPr>
                <w:t>)</w:t>
              </w:r>
            </w:hyperlink>
          </w:p>
        </w:tc>
        <w:tc>
          <w:tcPr>
            <w:tcW w:w="220" w:type="dxa"/>
            <w:vAlign w:val="bottom"/>
            <w:tcBorders>
              <w:top w:val="single" w:sz="8" w:color="0000EE"/>
            </w:tcBorders>
          </w:tcPr>
          <w:p>
            <w:pPr>
              <w:spacing w:after="0"/>
              <w:rPr>
                <w:sz w:val="10"/>
                <w:szCs w:val="10"/>
                <w:color w:val="auto"/>
              </w:rPr>
            </w:pPr>
          </w:p>
        </w:tc>
        <w:tc>
          <w:tcPr>
            <w:tcW w:w="200" w:type="dxa"/>
            <w:vAlign w:val="bottom"/>
            <w:tcBorders>
              <w:top w:val="single" w:sz="8" w:color="0000EE"/>
            </w:tcBorders>
          </w:tcPr>
          <w:p>
            <w:pPr>
              <w:spacing w:after="0"/>
              <w:rPr>
                <w:sz w:val="10"/>
                <w:szCs w:val="10"/>
                <w:color w:val="auto"/>
              </w:rPr>
            </w:pPr>
          </w:p>
        </w:tc>
        <w:tc>
          <w:tcPr>
            <w:tcW w:w="540" w:type="dxa"/>
            <w:vAlign w:val="bottom"/>
            <w:tcBorders>
              <w:top w:val="single" w:sz="8" w:color="0000EE"/>
            </w:tcBorders>
          </w:tcPr>
          <w:p>
            <w:pPr>
              <w:spacing w:after="0"/>
              <w:rPr>
                <w:sz w:val="10"/>
                <w:szCs w:val="10"/>
                <w:color w:val="auto"/>
              </w:rPr>
            </w:pPr>
          </w:p>
        </w:tc>
        <w:tc>
          <w:tcPr>
            <w:tcW w:w="460" w:type="dxa"/>
            <w:vAlign w:val="bottom"/>
            <w:tcBorders>
              <w:top w:val="single" w:sz="8" w:color="0000EE"/>
            </w:tcBorders>
          </w:tcPr>
          <w:p>
            <w:pPr>
              <w:spacing w:after="0"/>
              <w:rPr>
                <w:sz w:val="10"/>
                <w:szCs w:val="10"/>
                <w:color w:val="auto"/>
              </w:rPr>
            </w:pPr>
          </w:p>
        </w:tc>
        <w:tc>
          <w:tcPr>
            <w:tcW w:w="120" w:type="dxa"/>
            <w:vAlign w:val="bottom"/>
            <w:tcBorders>
              <w:top w:val="single" w:sz="8" w:color="0000EE"/>
            </w:tcBorders>
          </w:tcPr>
          <w:p>
            <w:pPr>
              <w:spacing w:after="0"/>
              <w:rPr>
                <w:sz w:val="10"/>
                <w:szCs w:val="10"/>
                <w:color w:val="auto"/>
              </w:rPr>
            </w:pPr>
          </w:p>
        </w:tc>
        <w:tc>
          <w:tcPr>
            <w:tcW w:w="1460" w:type="dxa"/>
            <w:vAlign w:val="bottom"/>
            <w:tcBorders>
              <w:top w:val="single" w:sz="8" w:color="0000EE"/>
            </w:tcBorders>
          </w:tcPr>
          <w:p>
            <w:pPr>
              <w:spacing w:after="0"/>
              <w:rPr>
                <w:sz w:val="10"/>
                <w:szCs w:val="10"/>
                <w:color w:val="auto"/>
              </w:rPr>
            </w:pPr>
          </w:p>
        </w:tc>
        <w:tc>
          <w:tcPr>
            <w:tcW w:w="1420" w:type="dxa"/>
            <w:vAlign w:val="bottom"/>
            <w:tcBorders>
              <w:top w:val="single" w:sz="8" w:color="0000EE"/>
            </w:tcBorders>
          </w:tcPr>
          <w:p>
            <w:pPr>
              <w:spacing w:after="0"/>
              <w:rPr>
                <w:sz w:val="10"/>
                <w:szCs w:val="10"/>
                <w:color w:val="auto"/>
              </w:rPr>
            </w:pPr>
          </w:p>
        </w:tc>
        <w:tc>
          <w:tcPr>
            <w:tcW w:w="472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10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60" w:type="dxa"/>
            <w:vAlign w:val="bottom"/>
            <w:tcBorders>
              <w:top w:val="single" w:sz="8" w:color="0000EE"/>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42"/>
        </w:trPr>
        <w:tc>
          <w:tcPr>
            <w:tcW w:w="840" w:type="dxa"/>
            <w:vAlign w:val="bottom"/>
          </w:tcPr>
          <w:p>
            <w:pPr>
              <w:spacing w:after="0"/>
              <w:rPr>
                <w:sz w:val="20"/>
                <w:szCs w:val="20"/>
                <w:color w:val="auto"/>
              </w:rPr>
            </w:pPr>
            <w:r>
              <w:rPr>
                <w:rFonts w:ascii="Arial" w:cs="Arial" w:eastAsia="Arial" w:hAnsi="Arial"/>
                <w:sz w:val="12"/>
                <w:szCs w:val="12"/>
                <w:color w:val="auto"/>
              </w:rPr>
              <w:t>4.9</w:t>
            </w: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80" w:type="dxa"/>
            <w:vAlign w:val="bottom"/>
            <w:gridSpan w:val="21"/>
          </w:tcPr>
          <w:p>
            <w:pPr>
              <w:spacing w:after="0"/>
              <w:rPr>
                <w:rFonts w:ascii="Arial" w:cs="Arial" w:eastAsia="Arial" w:hAnsi="Arial"/>
                <w:sz w:val="12"/>
                <w:szCs w:val="12"/>
                <w:color w:val="0000EE"/>
                <w:w w:val="93"/>
              </w:rPr>
            </w:pPr>
            <w:hyperlink r:id="rId149">
              <w:r>
                <w:rPr>
                  <w:rFonts w:ascii="Arial" w:cs="Arial" w:eastAsia="Arial" w:hAnsi="Arial"/>
                  <w:sz w:val="12"/>
                  <w:szCs w:val="12"/>
                  <w:color w:val="0000EE"/>
                  <w:w w:val="93"/>
                </w:rPr>
                <w:t>Third Supplemental Indenture (6.00% Senior Secured Notes due 2023), dated as of October 19, 2016, among Communications Sales &amp; Leasing, Inc. and CSL Capital, LLC, as Issuers, the guarantors</w:t>
              </w:r>
            </w:hyperlink>
          </w:p>
        </w:tc>
      </w:tr>
      <w:tr>
        <w:trPr>
          <w:trHeight w:val="20"/>
        </w:trPr>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4000" w:type="dxa"/>
            <w:vAlign w:val="bottom"/>
            <w:gridSpan w:val="5"/>
            <w:shd w:val="clear" w:color="auto" w:fill="0000EE"/>
          </w:tcPr>
          <w:p>
            <w:pPr>
              <w:spacing w:after="0" w:line="20" w:lineRule="exact"/>
              <w:rPr>
                <w:sz w:val="1"/>
                <w:szCs w:val="1"/>
                <w:color w:val="auto"/>
              </w:rPr>
            </w:pPr>
          </w:p>
        </w:tc>
        <w:tc>
          <w:tcPr>
            <w:tcW w:w="474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124"/>
        </w:trPr>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880" w:type="dxa"/>
            <w:vAlign w:val="bottom"/>
            <w:gridSpan w:val="21"/>
          </w:tcPr>
          <w:p>
            <w:pPr>
              <w:spacing w:after="0" w:line="124" w:lineRule="exact"/>
              <w:rPr>
                <w:rFonts w:ascii="Arial" w:cs="Arial" w:eastAsia="Arial" w:hAnsi="Arial"/>
                <w:sz w:val="12"/>
                <w:szCs w:val="12"/>
                <w:color w:val="0000EE"/>
                <w:w w:val="93"/>
              </w:rPr>
            </w:pPr>
            <w:hyperlink r:id="rId149">
              <w:r>
                <w:rPr>
                  <w:rFonts w:ascii="Arial" w:cs="Arial" w:eastAsia="Arial" w:hAnsi="Arial"/>
                  <w:sz w:val="12"/>
                  <w:szCs w:val="12"/>
                  <w:color w:val="0000EE"/>
                  <w:w w:val="93"/>
                </w:rPr>
                <w:t>thereto and Wells Fargo Bank, National Association (incorporated by reference to Exhibit 4.7 to the Company’s Annual Report on Form 10-K dated and filed with the SEC as of February 23, 2017 (File</w:t>
              </w:r>
            </w:hyperlink>
          </w:p>
        </w:tc>
      </w:tr>
      <w:tr>
        <w:trPr>
          <w:trHeight w:val="124"/>
        </w:trPr>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660" w:type="dxa"/>
            <w:vAlign w:val="bottom"/>
            <w:tcBorders>
              <w:top w:val="single" w:sz="8" w:color="0000EE"/>
            </w:tcBorders>
            <w:gridSpan w:val="12"/>
          </w:tcPr>
          <w:p>
            <w:pPr>
              <w:spacing w:after="0" w:line="124" w:lineRule="exact"/>
              <w:rPr>
                <w:rFonts w:ascii="Arial" w:cs="Arial" w:eastAsia="Arial" w:hAnsi="Arial"/>
                <w:sz w:val="12"/>
                <w:szCs w:val="12"/>
                <w:color w:val="0000EE"/>
              </w:rPr>
            </w:pPr>
            <w:hyperlink r:id="rId149">
              <w:r>
                <w:rPr>
                  <w:rFonts w:ascii="Arial" w:cs="Arial" w:eastAsia="Arial" w:hAnsi="Arial"/>
                  <w:sz w:val="12"/>
                  <w:szCs w:val="12"/>
                  <w:color w:val="0000EE"/>
                </w:rPr>
                <w:t>No. 001-36708))</w:t>
              </w:r>
            </w:hyperlink>
          </w:p>
        </w:tc>
        <w:tc>
          <w:tcPr>
            <w:tcW w:w="220" w:type="dxa"/>
            <w:vAlign w:val="bottom"/>
            <w:gridSpan w:val="9"/>
          </w:tcPr>
          <w:p>
            <w:pPr>
              <w:spacing w:after="0"/>
              <w:rPr>
                <w:sz w:val="10"/>
                <w:szCs w:val="10"/>
                <w:color w:val="auto"/>
              </w:rPr>
            </w:pPr>
          </w:p>
        </w:tc>
      </w:tr>
      <w:tr>
        <w:trPr>
          <w:trHeight w:val="20"/>
        </w:trPr>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4000" w:type="dxa"/>
            <w:vAlign w:val="bottom"/>
            <w:gridSpan w:val="5"/>
          </w:tcPr>
          <w:p>
            <w:pPr>
              <w:spacing w:after="0" w:line="20" w:lineRule="exact"/>
              <w:rPr>
                <w:sz w:val="1"/>
                <w:szCs w:val="1"/>
                <w:color w:val="auto"/>
              </w:rPr>
            </w:pPr>
          </w:p>
        </w:tc>
        <w:tc>
          <w:tcPr>
            <w:tcW w:w="5000" w:type="dxa"/>
            <w:vAlign w:val="bottom"/>
            <w:gridSpan w:val="9"/>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142"/>
        </w:trPr>
        <w:tc>
          <w:tcPr>
            <w:tcW w:w="840" w:type="dxa"/>
            <w:vAlign w:val="bottom"/>
          </w:tcPr>
          <w:p>
            <w:pPr>
              <w:spacing w:after="0"/>
              <w:rPr>
                <w:sz w:val="20"/>
                <w:szCs w:val="20"/>
                <w:color w:val="auto"/>
              </w:rPr>
            </w:pPr>
            <w:r>
              <w:rPr>
                <w:rFonts w:ascii="Arial" w:cs="Arial" w:eastAsia="Arial" w:hAnsi="Arial"/>
                <w:sz w:val="12"/>
                <w:szCs w:val="12"/>
                <w:color w:val="auto"/>
              </w:rPr>
              <w:t>4.10</w:t>
            </w: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80" w:type="dxa"/>
            <w:vAlign w:val="bottom"/>
            <w:gridSpan w:val="21"/>
          </w:tcPr>
          <w:p>
            <w:pPr>
              <w:spacing w:after="0"/>
              <w:rPr>
                <w:rFonts w:ascii="Arial" w:cs="Arial" w:eastAsia="Arial" w:hAnsi="Arial"/>
                <w:sz w:val="12"/>
                <w:szCs w:val="12"/>
                <w:color w:val="0000EE"/>
                <w:w w:val="93"/>
              </w:rPr>
            </w:pPr>
            <w:hyperlink r:id="rId150">
              <w:r>
                <w:rPr>
                  <w:rFonts w:ascii="Arial" w:cs="Arial" w:eastAsia="Arial" w:hAnsi="Arial"/>
                  <w:sz w:val="12"/>
                  <w:szCs w:val="12"/>
                  <w:color w:val="0000EE"/>
                  <w:w w:val="93"/>
                </w:rPr>
                <w:t>Sixth Supplemental Indenture, dated as of May 9, 2017, to the indenture dated as of April 24, 2015, among Uniti Group LP, Uniti Group Finance Inc., CSL Capital, LLC, Uniti Group Inc., the guarantors</w:t>
              </w:r>
            </w:hyperlink>
          </w:p>
        </w:tc>
      </w:tr>
      <w:tr>
        <w:trPr>
          <w:trHeight w:val="20"/>
        </w:trPr>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0" w:type="dxa"/>
            <w:vAlign w:val="bottom"/>
            <w:gridSpan w:val="8"/>
            <w:shd w:val="clear" w:color="auto" w:fill="0000EE"/>
          </w:tcPr>
          <w:p>
            <w:pPr>
              <w:spacing w:after="0" w:line="20" w:lineRule="exact"/>
              <w:rPr>
                <w:sz w:val="1"/>
                <w:szCs w:val="1"/>
                <w:color w:val="auto"/>
              </w:rPr>
            </w:pPr>
          </w:p>
        </w:tc>
        <w:tc>
          <w:tcPr>
            <w:tcW w:w="4900" w:type="dxa"/>
            <w:vAlign w:val="bottom"/>
            <w:gridSpan w:val="6"/>
            <w:shd w:val="clear" w:color="auto" w:fill="0000EE"/>
          </w:tcPr>
          <w:p>
            <w:pPr>
              <w:spacing w:after="0" w:line="20" w:lineRule="exact"/>
              <w:rPr>
                <w:sz w:val="1"/>
                <w:szCs w:val="1"/>
                <w:color w:val="auto"/>
              </w:rPr>
            </w:pPr>
          </w:p>
        </w:tc>
        <w:tc>
          <w:tcPr>
            <w:tcW w:w="100" w:type="dxa"/>
            <w:vAlign w:val="bottom"/>
            <w:tcBorders>
              <w:left w:val="single" w:sz="8" w:color="0000EE"/>
            </w:tcBorders>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124"/>
        </w:trPr>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880" w:type="dxa"/>
            <w:vAlign w:val="bottom"/>
            <w:gridSpan w:val="21"/>
          </w:tcPr>
          <w:p>
            <w:pPr>
              <w:spacing w:after="0" w:line="124" w:lineRule="exact"/>
              <w:rPr>
                <w:rFonts w:ascii="Arial" w:cs="Arial" w:eastAsia="Arial" w:hAnsi="Arial"/>
                <w:sz w:val="12"/>
                <w:szCs w:val="12"/>
                <w:color w:val="0000EE"/>
                <w:w w:val="90"/>
              </w:rPr>
            </w:pPr>
            <w:hyperlink r:id="rId150">
              <w:r>
                <w:rPr>
                  <w:rFonts w:ascii="Arial" w:cs="Arial" w:eastAsia="Arial" w:hAnsi="Arial"/>
                  <w:sz w:val="12"/>
                  <w:szCs w:val="12"/>
                  <w:color w:val="0000EE"/>
                  <w:w w:val="90"/>
                </w:rPr>
                <w:t>named therein and Wells Fargo Bank, National Association, as trustee and collateral agent, governing the 6.00% Senior Secured Notes due 2023 (incorporated by reference to Exhibit 4.3 to the Company’s</w:t>
              </w:r>
            </w:hyperlink>
          </w:p>
        </w:tc>
      </w:tr>
      <w:tr>
        <w:trPr>
          <w:trHeight w:val="124"/>
        </w:trPr>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800" w:type="dxa"/>
            <w:vAlign w:val="bottom"/>
            <w:tcBorders>
              <w:top w:val="single" w:sz="8" w:color="0000EE"/>
            </w:tcBorders>
            <w:gridSpan w:val="17"/>
          </w:tcPr>
          <w:p>
            <w:pPr>
              <w:spacing w:after="0" w:line="124" w:lineRule="exact"/>
              <w:rPr>
                <w:rFonts w:ascii="Arial" w:cs="Arial" w:eastAsia="Arial" w:hAnsi="Arial"/>
                <w:sz w:val="12"/>
                <w:szCs w:val="12"/>
                <w:color w:val="0000EE"/>
              </w:rPr>
            </w:pPr>
            <w:hyperlink r:id="rId150">
              <w:r>
                <w:rPr>
                  <w:rFonts w:ascii="Arial" w:cs="Arial" w:eastAsia="Arial" w:hAnsi="Arial"/>
                  <w:sz w:val="12"/>
                  <w:szCs w:val="12"/>
                  <w:color w:val="0000EE"/>
                </w:rPr>
                <w:t>Current Report on Form 8-K dated and filed with the SEC as of May 9, 2017 (File No. 001-36708))</w:t>
              </w:r>
            </w:hyperlink>
          </w:p>
        </w:tc>
        <w:tc>
          <w:tcPr>
            <w:tcW w:w="80" w:type="dxa"/>
            <w:vAlign w:val="bottom"/>
            <w:gridSpan w:val="4"/>
          </w:tcPr>
          <w:p>
            <w:pPr>
              <w:spacing w:after="0"/>
              <w:rPr>
                <w:sz w:val="10"/>
                <w:szCs w:val="10"/>
                <w:color w:val="auto"/>
              </w:rPr>
            </w:pPr>
          </w:p>
        </w:tc>
      </w:tr>
      <w:tr>
        <w:trPr>
          <w:trHeight w:val="304"/>
        </w:trPr>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0" w:type="dxa"/>
            <w:vAlign w:val="bottom"/>
            <w:tcBorders>
              <w:top w:val="single" w:sz="8" w:color="0000EE"/>
            </w:tcBorders>
            <w:gridSpan w:val="8"/>
          </w:tcPr>
          <w:p>
            <w:pPr>
              <w:ind w:left="4020"/>
              <w:spacing w:after="0"/>
              <w:rPr>
                <w:sz w:val="20"/>
                <w:szCs w:val="20"/>
                <w:color w:val="auto"/>
              </w:rPr>
            </w:pPr>
            <w:r>
              <w:rPr>
                <w:rFonts w:ascii="Arial" w:cs="Arial" w:eastAsia="Arial" w:hAnsi="Arial"/>
                <w:sz w:val="12"/>
                <w:szCs w:val="12"/>
                <w:color w:val="auto"/>
              </w:rPr>
              <w:t>104</w:t>
            </w:r>
          </w:p>
        </w:tc>
        <w:tc>
          <w:tcPr>
            <w:tcW w:w="4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2"/>
        </w:trPr>
        <w:tc>
          <w:tcPr>
            <w:tcW w:w="840" w:type="dxa"/>
            <w:vAlign w:val="bottom"/>
            <w:tcBorders>
              <w:bottom w:val="single" w:sz="8" w:color="9A9A9A"/>
            </w:tcBorders>
          </w:tcPr>
          <w:p>
            <w:pPr>
              <w:spacing w:after="0"/>
              <w:rPr>
                <w:sz w:val="6"/>
                <w:szCs w:val="6"/>
                <w:color w:val="auto"/>
              </w:rPr>
            </w:pPr>
          </w:p>
        </w:tc>
        <w:tc>
          <w:tcPr>
            <w:tcW w:w="42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38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c>
          <w:tcPr>
            <w:tcW w:w="46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460" w:type="dxa"/>
            <w:vAlign w:val="bottom"/>
            <w:tcBorders>
              <w:bottom w:val="single" w:sz="8" w:color="9A9A9A"/>
            </w:tcBorders>
          </w:tcPr>
          <w:p>
            <w:pPr>
              <w:spacing w:after="0"/>
              <w:rPr>
                <w:sz w:val="6"/>
                <w:szCs w:val="6"/>
                <w:color w:val="auto"/>
              </w:rPr>
            </w:pPr>
          </w:p>
        </w:tc>
        <w:tc>
          <w:tcPr>
            <w:tcW w:w="1420" w:type="dxa"/>
            <w:vAlign w:val="bottom"/>
            <w:tcBorders>
              <w:bottom w:val="single" w:sz="8" w:color="9A9A9A"/>
            </w:tcBorders>
          </w:tcPr>
          <w:p>
            <w:pPr>
              <w:spacing w:after="0"/>
              <w:rPr>
                <w:sz w:val="6"/>
                <w:szCs w:val="6"/>
                <w:color w:val="auto"/>
              </w:rPr>
            </w:pPr>
          </w:p>
        </w:tc>
        <w:tc>
          <w:tcPr>
            <w:tcW w:w="47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7280275</wp:posOffset>
            </wp:positionH>
            <wp:positionV relativeFrom="paragraph">
              <wp:posOffset>-23495</wp:posOffset>
            </wp:positionV>
            <wp:extent cx="31115" cy="3683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1">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2">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0"/>
          </w:cols>
          <w:pgMar w:left="220" w:top="119" w:right="17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138"/>
        </w:trPr>
        <w:tc>
          <w:tcPr>
            <w:tcW w:w="1620" w:type="dxa"/>
            <w:vAlign w:val="bottom"/>
            <w:gridSpan w:val="3"/>
          </w:tcPr>
          <w:p>
            <w:pPr>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620" w:type="dxa"/>
            <w:vAlign w:val="bottom"/>
            <w:gridSpan w:val="3"/>
          </w:tcPr>
          <w:p>
            <w:pPr>
              <w:ind w:left="320"/>
              <w:spacing w:after="0"/>
              <w:rPr>
                <w:sz w:val="20"/>
                <w:szCs w:val="20"/>
                <w:color w:val="auto"/>
              </w:rPr>
            </w:pPr>
            <w:r>
              <w:rPr>
                <w:rFonts w:ascii="Arial" w:cs="Arial" w:eastAsia="Arial" w:hAnsi="Arial"/>
                <w:sz w:val="12"/>
                <w:szCs w:val="12"/>
                <w:b w:val="1"/>
                <w:bCs w:val="1"/>
                <w:color w:val="auto"/>
              </w:rPr>
              <w:t>Exhibit No.</w:t>
            </w: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500" w:type="dxa"/>
            <w:vAlign w:val="bottom"/>
            <w:gridSpan w:val="14"/>
          </w:tcPr>
          <w:p>
            <w:pPr>
              <w:ind w:left="260"/>
              <w:spacing w:after="0"/>
              <w:rPr>
                <w:sz w:val="20"/>
                <w:szCs w:val="20"/>
                <w:color w:val="auto"/>
              </w:rPr>
            </w:pPr>
            <w:r>
              <w:rPr>
                <w:rFonts w:ascii="Arial" w:cs="Arial" w:eastAsia="Arial" w:hAnsi="Arial"/>
                <w:sz w:val="12"/>
                <w:szCs w:val="12"/>
                <w:b w:val="1"/>
                <w:bCs w:val="1"/>
                <w:color w:val="auto"/>
              </w:rPr>
              <w:t>Description</w:t>
            </w:r>
          </w:p>
        </w:tc>
      </w:tr>
      <w:tr>
        <w:trPr>
          <w:trHeight w:val="120"/>
        </w:trPr>
        <w:tc>
          <w:tcPr>
            <w:tcW w:w="840" w:type="dxa"/>
            <w:vAlign w:val="bottom"/>
            <w:tcBorders>
              <w:top w:val="single" w:sz="8" w:color="auto"/>
            </w:tcBorders>
          </w:tcPr>
          <w:p>
            <w:pPr>
              <w:spacing w:after="0" w:line="120" w:lineRule="exact"/>
              <w:rPr>
                <w:sz w:val="20"/>
                <w:szCs w:val="20"/>
                <w:color w:val="auto"/>
              </w:rPr>
            </w:pPr>
            <w:r>
              <w:rPr>
                <w:rFonts w:ascii="Arial" w:cs="Arial" w:eastAsia="Arial" w:hAnsi="Arial"/>
                <w:sz w:val="12"/>
                <w:szCs w:val="12"/>
                <w:color w:val="auto"/>
              </w:rPr>
              <w:t>4.11</w:t>
            </w:r>
          </w:p>
        </w:tc>
        <w:tc>
          <w:tcPr>
            <w:tcW w:w="42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9860" w:type="dxa"/>
            <w:vAlign w:val="bottom"/>
            <w:tcBorders>
              <w:top w:val="single" w:sz="8" w:color="auto"/>
              <w:bottom w:val="single" w:sz="8" w:color="0000EE"/>
            </w:tcBorders>
            <w:gridSpan w:val="22"/>
          </w:tcPr>
          <w:p>
            <w:pPr>
              <w:spacing w:after="0" w:line="120" w:lineRule="exact"/>
              <w:rPr>
                <w:rFonts w:ascii="Arial" w:cs="Arial" w:eastAsia="Arial" w:hAnsi="Arial"/>
                <w:sz w:val="12"/>
                <w:szCs w:val="12"/>
                <w:color w:val="0000EE"/>
                <w:w w:val="91"/>
              </w:rPr>
            </w:pPr>
            <w:hyperlink r:id="rId153">
              <w:r>
                <w:rPr>
                  <w:rFonts w:ascii="Arial" w:cs="Arial" w:eastAsia="Arial" w:hAnsi="Arial"/>
                  <w:sz w:val="12"/>
                  <w:szCs w:val="12"/>
                  <w:color w:val="0000EE"/>
                  <w:w w:val="91"/>
                </w:rPr>
                <w:t>Seventh Supplemental Indenture, dated as of May 9, 2017, to the indenture dated as of April 24, 2015, among Uniti Group LP, Uniti Group Finance Inc., CSL Capital, LLC, Uniti Group Inc., the guarantors</w:t>
              </w:r>
            </w:hyperlink>
          </w:p>
        </w:tc>
        <w:tc>
          <w:tcPr>
            <w:tcW w:w="20" w:type="dxa"/>
            <w:vAlign w:val="bottom"/>
            <w:tcBorders>
              <w:top w:val="single" w:sz="8" w:color="auto"/>
            </w:tcBorders>
          </w:tcPr>
          <w:p>
            <w:pPr>
              <w:spacing w:after="0"/>
              <w:rPr>
                <w:sz w:val="10"/>
                <w:szCs w:val="10"/>
                <w:color w:val="auto"/>
              </w:rPr>
            </w:pPr>
          </w:p>
        </w:tc>
      </w:tr>
      <w:tr>
        <w:trPr>
          <w:trHeight w:val="124"/>
        </w:trPr>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820" w:type="dxa"/>
            <w:vAlign w:val="bottom"/>
            <w:tcBorders>
              <w:bottom w:val="single" w:sz="8" w:color="0000EE"/>
            </w:tcBorders>
            <w:gridSpan w:val="20"/>
          </w:tcPr>
          <w:p>
            <w:pPr>
              <w:spacing w:after="0" w:line="124" w:lineRule="exact"/>
              <w:rPr>
                <w:rFonts w:ascii="Arial" w:cs="Arial" w:eastAsia="Arial" w:hAnsi="Arial"/>
                <w:sz w:val="12"/>
                <w:szCs w:val="12"/>
                <w:color w:val="0000EE"/>
                <w:w w:val="90"/>
              </w:rPr>
            </w:pPr>
            <w:hyperlink r:id="rId153">
              <w:r>
                <w:rPr>
                  <w:rFonts w:ascii="Arial" w:cs="Arial" w:eastAsia="Arial" w:hAnsi="Arial"/>
                  <w:sz w:val="12"/>
                  <w:szCs w:val="12"/>
                  <w:color w:val="0000EE"/>
                  <w:w w:val="90"/>
                </w:rPr>
                <w:t>named therein and Wells Fargo Bank, National Association, as trustee and collateral agent, governing the 6.00% Senior Secured Notes due 2023 (incorporated by reference to Exhibit 4.4 to the Company’s</w:t>
              </w:r>
            </w:hyperlink>
          </w:p>
        </w:tc>
        <w:tc>
          <w:tcPr>
            <w:tcW w:w="60" w:type="dxa"/>
            <w:vAlign w:val="bottom"/>
            <w:gridSpan w:val="3"/>
          </w:tcPr>
          <w:p>
            <w:pPr>
              <w:spacing w:after="0"/>
              <w:rPr>
                <w:sz w:val="10"/>
                <w:szCs w:val="10"/>
                <w:color w:val="auto"/>
              </w:rPr>
            </w:pPr>
          </w:p>
        </w:tc>
      </w:tr>
      <w:tr>
        <w:trPr>
          <w:trHeight w:val="124"/>
        </w:trPr>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800" w:type="dxa"/>
            <w:vAlign w:val="bottom"/>
            <w:tcBorders>
              <w:bottom w:val="single" w:sz="8" w:color="0000EE"/>
            </w:tcBorders>
            <w:gridSpan w:val="10"/>
          </w:tcPr>
          <w:p>
            <w:pPr>
              <w:spacing w:after="0" w:line="124" w:lineRule="exact"/>
              <w:rPr>
                <w:rFonts w:ascii="Arial" w:cs="Arial" w:eastAsia="Arial" w:hAnsi="Arial"/>
                <w:sz w:val="12"/>
                <w:szCs w:val="12"/>
                <w:color w:val="0000EE"/>
                <w:w w:val="91"/>
              </w:rPr>
            </w:pPr>
            <w:hyperlink r:id="rId153">
              <w:r>
                <w:rPr>
                  <w:rFonts w:ascii="Arial" w:cs="Arial" w:eastAsia="Arial" w:hAnsi="Arial"/>
                  <w:sz w:val="12"/>
                  <w:szCs w:val="12"/>
                  <w:color w:val="0000EE"/>
                  <w:w w:val="91"/>
                </w:rPr>
                <w:t>Current Report on Form 8-K dated and filed with the SEC as of May 9, 2017 (File No. 001-36708))</w:t>
              </w:r>
            </w:hyperlink>
          </w:p>
        </w:tc>
        <w:tc>
          <w:tcPr>
            <w:tcW w:w="5080" w:type="dxa"/>
            <w:vAlign w:val="bottom"/>
            <w:gridSpan w:val="13"/>
          </w:tcPr>
          <w:p>
            <w:pPr>
              <w:spacing w:after="0"/>
              <w:rPr>
                <w:sz w:val="10"/>
                <w:szCs w:val="10"/>
                <w:color w:val="auto"/>
              </w:rPr>
            </w:pPr>
          </w:p>
        </w:tc>
      </w:tr>
      <w:tr>
        <w:trPr>
          <w:trHeight w:val="142"/>
        </w:trPr>
        <w:tc>
          <w:tcPr>
            <w:tcW w:w="840" w:type="dxa"/>
            <w:vAlign w:val="bottom"/>
          </w:tcPr>
          <w:p>
            <w:pPr>
              <w:spacing w:after="0"/>
              <w:rPr>
                <w:sz w:val="20"/>
                <w:szCs w:val="20"/>
                <w:color w:val="auto"/>
              </w:rPr>
            </w:pPr>
            <w:r>
              <w:rPr>
                <w:rFonts w:ascii="Arial" w:cs="Arial" w:eastAsia="Arial" w:hAnsi="Arial"/>
                <w:sz w:val="12"/>
                <w:szCs w:val="12"/>
                <w:color w:val="auto"/>
              </w:rPr>
              <w:t>4.12</w:t>
            </w: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0" w:type="dxa"/>
            <w:vAlign w:val="bottom"/>
            <w:tcBorders>
              <w:bottom w:val="single" w:sz="8" w:color="0000EE"/>
            </w:tcBorders>
            <w:gridSpan w:val="19"/>
          </w:tcPr>
          <w:p>
            <w:pPr>
              <w:spacing w:after="0"/>
              <w:rPr>
                <w:rFonts w:ascii="Arial" w:cs="Arial" w:eastAsia="Arial" w:hAnsi="Arial"/>
                <w:sz w:val="12"/>
                <w:szCs w:val="12"/>
                <w:color w:val="0000EE"/>
                <w:w w:val="91"/>
              </w:rPr>
            </w:pPr>
            <w:hyperlink r:id="rId154">
              <w:r>
                <w:rPr>
                  <w:rFonts w:ascii="Arial" w:cs="Arial" w:eastAsia="Arial" w:hAnsi="Arial"/>
                  <w:sz w:val="12"/>
                  <w:szCs w:val="12"/>
                  <w:color w:val="0000EE"/>
                  <w:w w:val="91"/>
                </w:rPr>
                <w:t>Articles Supplementary for 3.00% Series A Convertible Preferred Stock (incorporated by reference to Exhibit 4.1 to the Company’s Current Report on Form 8-K dated and filed with the SEC as of May 4,</w:t>
              </w:r>
            </w:hyperlink>
          </w:p>
        </w:tc>
        <w:tc>
          <w:tcPr>
            <w:tcW w:w="80" w:type="dxa"/>
            <w:vAlign w:val="bottom"/>
            <w:gridSpan w:val="4"/>
          </w:tcPr>
          <w:p>
            <w:pPr>
              <w:spacing w:after="0"/>
              <w:rPr>
                <w:sz w:val="12"/>
                <w:szCs w:val="12"/>
                <w:color w:val="auto"/>
              </w:rPr>
            </w:pPr>
          </w:p>
        </w:tc>
      </w:tr>
      <w:tr>
        <w:trPr>
          <w:trHeight w:val="124"/>
        </w:trPr>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360" w:type="dxa"/>
            <w:vAlign w:val="bottom"/>
            <w:tcBorders>
              <w:bottom w:val="single" w:sz="8" w:color="0000EE"/>
            </w:tcBorders>
            <w:gridSpan w:val="4"/>
          </w:tcPr>
          <w:p>
            <w:pPr>
              <w:spacing w:after="0" w:line="124" w:lineRule="exact"/>
              <w:rPr>
                <w:rFonts w:ascii="Arial" w:cs="Arial" w:eastAsia="Arial" w:hAnsi="Arial"/>
                <w:sz w:val="12"/>
                <w:szCs w:val="12"/>
                <w:color w:val="0000EE"/>
                <w:w w:val="92"/>
              </w:rPr>
            </w:pPr>
            <w:hyperlink r:id="rId154">
              <w:r>
                <w:rPr>
                  <w:rFonts w:ascii="Arial" w:cs="Arial" w:eastAsia="Arial" w:hAnsi="Arial"/>
                  <w:sz w:val="12"/>
                  <w:szCs w:val="12"/>
                  <w:color w:val="0000EE"/>
                  <w:w w:val="92"/>
                </w:rPr>
                <w:t>2016 (File No. 001-36708))</w:t>
              </w:r>
            </w:hyperlink>
          </w:p>
        </w:tc>
        <w:tc>
          <w:tcPr>
            <w:tcW w:w="8520" w:type="dxa"/>
            <w:vAlign w:val="bottom"/>
            <w:gridSpan w:val="19"/>
          </w:tcPr>
          <w:p>
            <w:pPr>
              <w:spacing w:after="0"/>
              <w:rPr>
                <w:sz w:val="10"/>
                <w:szCs w:val="10"/>
                <w:color w:val="auto"/>
              </w:rPr>
            </w:pPr>
          </w:p>
        </w:tc>
      </w:tr>
      <w:tr>
        <w:trPr>
          <w:trHeight w:val="142"/>
        </w:trPr>
        <w:tc>
          <w:tcPr>
            <w:tcW w:w="840" w:type="dxa"/>
            <w:vAlign w:val="bottom"/>
          </w:tcPr>
          <w:p>
            <w:pPr>
              <w:spacing w:after="0"/>
              <w:rPr>
                <w:sz w:val="20"/>
                <w:szCs w:val="20"/>
                <w:color w:val="auto"/>
              </w:rPr>
            </w:pPr>
            <w:r>
              <w:rPr>
                <w:rFonts w:ascii="Arial" w:cs="Arial" w:eastAsia="Arial" w:hAnsi="Arial"/>
                <w:sz w:val="12"/>
                <w:szCs w:val="12"/>
                <w:color w:val="auto"/>
              </w:rPr>
              <w:t>4.13</w:t>
            </w: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780" w:type="dxa"/>
            <w:vAlign w:val="bottom"/>
            <w:tcBorders>
              <w:bottom w:val="single" w:sz="8" w:color="0000EE"/>
            </w:tcBorders>
            <w:gridSpan w:val="18"/>
          </w:tcPr>
          <w:p>
            <w:pPr>
              <w:spacing w:after="0"/>
              <w:rPr>
                <w:rFonts w:ascii="Arial" w:cs="Arial" w:eastAsia="Arial" w:hAnsi="Arial"/>
                <w:sz w:val="12"/>
                <w:szCs w:val="12"/>
                <w:color w:val="0000EE"/>
                <w:w w:val="91"/>
              </w:rPr>
            </w:pPr>
            <w:hyperlink r:id="rId155">
              <w:r>
                <w:rPr>
                  <w:rFonts w:ascii="Arial" w:cs="Arial" w:eastAsia="Arial" w:hAnsi="Arial"/>
                  <w:sz w:val="12"/>
                  <w:szCs w:val="12"/>
                  <w:color w:val="0000EE"/>
                  <w:w w:val="91"/>
                </w:rPr>
                <w:t>Articles of Amendment to Articles Supplementary for 3.00% Series A Convertible Preferred Stock (incorporated by reference to Exhibit 3.1 to the Company’s Current Report on Form 8-K dated and filed</w:t>
              </w:r>
            </w:hyperlink>
          </w:p>
        </w:tc>
        <w:tc>
          <w:tcPr>
            <w:tcW w:w="100" w:type="dxa"/>
            <w:vAlign w:val="bottom"/>
            <w:gridSpan w:val="5"/>
          </w:tcPr>
          <w:p>
            <w:pPr>
              <w:spacing w:after="0"/>
              <w:rPr>
                <w:sz w:val="12"/>
                <w:szCs w:val="12"/>
                <w:color w:val="auto"/>
              </w:rPr>
            </w:pPr>
          </w:p>
        </w:tc>
      </w:tr>
      <w:tr>
        <w:trPr>
          <w:trHeight w:val="124"/>
        </w:trPr>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640" w:type="dxa"/>
            <w:vAlign w:val="bottom"/>
            <w:tcBorders>
              <w:bottom w:val="single" w:sz="8" w:color="0000EE"/>
            </w:tcBorders>
            <w:gridSpan w:val="7"/>
          </w:tcPr>
          <w:p>
            <w:pPr>
              <w:spacing w:after="0" w:line="124" w:lineRule="exact"/>
              <w:rPr>
                <w:rFonts w:ascii="Arial" w:cs="Arial" w:eastAsia="Arial" w:hAnsi="Arial"/>
                <w:sz w:val="12"/>
                <w:szCs w:val="12"/>
                <w:color w:val="0000EE"/>
                <w:w w:val="91"/>
              </w:rPr>
            </w:pPr>
            <w:hyperlink r:id="rId155">
              <w:r>
                <w:rPr>
                  <w:rFonts w:ascii="Arial" w:cs="Arial" w:eastAsia="Arial" w:hAnsi="Arial"/>
                  <w:sz w:val="12"/>
                  <w:szCs w:val="12"/>
                  <w:color w:val="0000EE"/>
                  <w:w w:val="91"/>
                </w:rPr>
                <w:t>with the SEC as of May 9, 2017 (File No. 001-36708))</w:t>
              </w:r>
            </w:hyperlink>
          </w:p>
        </w:tc>
        <w:tc>
          <w:tcPr>
            <w:tcW w:w="7240" w:type="dxa"/>
            <w:vAlign w:val="bottom"/>
            <w:gridSpan w:val="16"/>
          </w:tcPr>
          <w:p>
            <w:pPr>
              <w:spacing w:after="0"/>
              <w:rPr>
                <w:sz w:val="10"/>
                <w:szCs w:val="10"/>
                <w:color w:val="auto"/>
              </w:rPr>
            </w:pPr>
          </w:p>
        </w:tc>
      </w:tr>
      <w:tr>
        <w:trPr>
          <w:trHeight w:val="142"/>
        </w:trPr>
        <w:tc>
          <w:tcPr>
            <w:tcW w:w="840" w:type="dxa"/>
            <w:vAlign w:val="bottom"/>
          </w:tcPr>
          <w:p>
            <w:pPr>
              <w:spacing w:after="0"/>
              <w:rPr>
                <w:sz w:val="20"/>
                <w:szCs w:val="20"/>
                <w:color w:val="auto"/>
              </w:rPr>
            </w:pPr>
            <w:r>
              <w:rPr>
                <w:rFonts w:ascii="Arial" w:cs="Arial" w:eastAsia="Arial" w:hAnsi="Arial"/>
                <w:sz w:val="12"/>
                <w:szCs w:val="12"/>
                <w:color w:val="auto"/>
              </w:rPr>
              <w:t>4.14</w:t>
            </w: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780" w:type="dxa"/>
            <w:vAlign w:val="bottom"/>
            <w:tcBorders>
              <w:bottom w:val="single" w:sz="8" w:color="0000EE"/>
            </w:tcBorders>
            <w:gridSpan w:val="18"/>
          </w:tcPr>
          <w:p>
            <w:pPr>
              <w:spacing w:after="0"/>
              <w:rPr>
                <w:rFonts w:ascii="Arial" w:cs="Arial" w:eastAsia="Arial" w:hAnsi="Arial"/>
                <w:sz w:val="12"/>
                <w:szCs w:val="12"/>
                <w:color w:val="0000EE"/>
                <w:w w:val="90"/>
              </w:rPr>
            </w:pPr>
            <w:hyperlink r:id="rId156">
              <w:r>
                <w:rPr>
                  <w:rFonts w:ascii="Arial" w:cs="Arial" w:eastAsia="Arial" w:hAnsi="Arial"/>
                  <w:sz w:val="12"/>
                  <w:szCs w:val="12"/>
                  <w:color w:val="0000EE"/>
                  <w:w w:val="90"/>
                </w:rPr>
                <w:t>Indenture, dated as of December 15, 2016, among Communications Sales &amp; Leasing, Inc. and CSL Capital, LLC, as Issuers, the guarantors named therein, and Wells Fargo Bank, National Association, as</w:t>
              </w:r>
            </w:hyperlink>
          </w:p>
        </w:tc>
        <w:tc>
          <w:tcPr>
            <w:tcW w:w="100" w:type="dxa"/>
            <w:vAlign w:val="bottom"/>
            <w:gridSpan w:val="5"/>
          </w:tcPr>
          <w:p>
            <w:pPr>
              <w:spacing w:after="0"/>
              <w:rPr>
                <w:sz w:val="12"/>
                <w:szCs w:val="12"/>
                <w:color w:val="auto"/>
              </w:rPr>
            </w:pPr>
          </w:p>
        </w:tc>
      </w:tr>
      <w:tr>
        <w:trPr>
          <w:trHeight w:val="124"/>
        </w:trPr>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780" w:type="dxa"/>
            <w:vAlign w:val="bottom"/>
            <w:tcBorders>
              <w:bottom w:val="single" w:sz="8" w:color="0000EE"/>
            </w:tcBorders>
            <w:gridSpan w:val="18"/>
          </w:tcPr>
          <w:p>
            <w:pPr>
              <w:spacing w:after="0" w:line="124" w:lineRule="exact"/>
              <w:rPr>
                <w:rFonts w:ascii="Arial" w:cs="Arial" w:eastAsia="Arial" w:hAnsi="Arial"/>
                <w:sz w:val="12"/>
                <w:szCs w:val="12"/>
                <w:color w:val="0000EE"/>
                <w:w w:val="91"/>
              </w:rPr>
            </w:pPr>
            <w:hyperlink r:id="rId156">
              <w:r>
                <w:rPr>
                  <w:rFonts w:ascii="Arial" w:cs="Arial" w:eastAsia="Arial" w:hAnsi="Arial"/>
                  <w:sz w:val="12"/>
                  <w:szCs w:val="12"/>
                  <w:color w:val="0000EE"/>
                  <w:w w:val="91"/>
                </w:rPr>
                <w:t>trustee, governing the 7.125% Senior Notes due 2024 (incorporated by reference to Exhibit 4.1 of the Company’s Current Report on Form 8-K dated and filed with the SEC as of December 15, 2016 (File</w:t>
              </w:r>
            </w:hyperlink>
          </w:p>
        </w:tc>
        <w:tc>
          <w:tcPr>
            <w:tcW w:w="100" w:type="dxa"/>
            <w:vAlign w:val="bottom"/>
            <w:gridSpan w:val="5"/>
          </w:tcPr>
          <w:p>
            <w:pPr>
              <w:spacing w:after="0"/>
              <w:rPr>
                <w:sz w:val="10"/>
                <w:szCs w:val="10"/>
                <w:color w:val="auto"/>
              </w:rPr>
            </w:pPr>
          </w:p>
        </w:tc>
      </w:tr>
      <w:tr>
        <w:trPr>
          <w:trHeight w:val="124"/>
        </w:trPr>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880" w:type="dxa"/>
            <w:vAlign w:val="bottom"/>
            <w:gridSpan w:val="23"/>
          </w:tcPr>
          <w:p>
            <w:pPr>
              <w:spacing w:after="0" w:line="124" w:lineRule="exact"/>
              <w:rPr>
                <w:rFonts w:ascii="Arial" w:cs="Arial" w:eastAsia="Arial" w:hAnsi="Arial"/>
                <w:sz w:val="12"/>
                <w:szCs w:val="12"/>
                <w:color w:val="0000EE"/>
              </w:rPr>
            </w:pPr>
            <w:hyperlink r:id="rId156">
              <w:r>
                <w:rPr>
                  <w:rFonts w:ascii="Arial" w:cs="Arial" w:eastAsia="Arial" w:hAnsi="Arial"/>
                  <w:sz w:val="12"/>
                  <w:szCs w:val="12"/>
                  <w:color w:val="0000EE"/>
                </w:rPr>
                <w:t>No. 001-36708))</w:t>
              </w:r>
            </w:hyperlink>
          </w:p>
        </w:tc>
      </w:tr>
      <w:tr>
        <w:trPr>
          <w:trHeight w:val="20"/>
        </w:trPr>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42"/>
        </w:trPr>
        <w:tc>
          <w:tcPr>
            <w:tcW w:w="840" w:type="dxa"/>
            <w:vAlign w:val="bottom"/>
          </w:tcPr>
          <w:p>
            <w:pPr>
              <w:spacing w:after="0"/>
              <w:rPr>
                <w:sz w:val="20"/>
                <w:szCs w:val="20"/>
                <w:color w:val="auto"/>
              </w:rPr>
            </w:pPr>
            <w:r>
              <w:rPr>
                <w:rFonts w:ascii="Arial" w:cs="Arial" w:eastAsia="Arial" w:hAnsi="Arial"/>
                <w:sz w:val="12"/>
                <w:szCs w:val="12"/>
                <w:color w:val="auto"/>
              </w:rPr>
              <w:t>4.15</w:t>
            </w: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40" w:type="dxa"/>
            <w:vAlign w:val="bottom"/>
            <w:tcBorders>
              <w:bottom w:val="single" w:sz="8" w:color="0000EE"/>
            </w:tcBorders>
            <w:gridSpan w:val="12"/>
          </w:tcPr>
          <w:p>
            <w:pPr>
              <w:spacing w:after="0"/>
              <w:rPr>
                <w:rFonts w:ascii="Arial" w:cs="Arial" w:eastAsia="Arial" w:hAnsi="Arial"/>
                <w:sz w:val="12"/>
                <w:szCs w:val="12"/>
                <w:color w:val="0000EE"/>
                <w:w w:val="91"/>
              </w:rPr>
            </w:pPr>
            <w:hyperlink r:id="rId156">
              <w:r>
                <w:rPr>
                  <w:rFonts w:ascii="Arial" w:cs="Arial" w:eastAsia="Arial" w:hAnsi="Arial"/>
                  <w:sz w:val="12"/>
                  <w:szCs w:val="12"/>
                  <w:color w:val="0000EE"/>
                  <w:w w:val="91"/>
                </w:rPr>
                <w:t>Form of 7.125% Senior Note due 2024 (included in Exhibit 4.14 above) (incorporated by reference to Exhibit 4.2 of the Company’s Current Report on Form 8-K dated and filed with the SEC as of</w:t>
              </w:r>
            </w:hyperlink>
          </w:p>
        </w:tc>
        <w:tc>
          <w:tcPr>
            <w:tcW w:w="440" w:type="dxa"/>
            <w:vAlign w:val="bottom"/>
            <w:gridSpan w:val="11"/>
          </w:tcPr>
          <w:p>
            <w:pPr>
              <w:spacing w:after="0"/>
              <w:rPr>
                <w:sz w:val="12"/>
                <w:szCs w:val="12"/>
                <w:color w:val="auto"/>
              </w:rPr>
            </w:pPr>
          </w:p>
        </w:tc>
      </w:tr>
      <w:tr>
        <w:trPr>
          <w:trHeight w:val="124"/>
        </w:trPr>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40" w:type="dxa"/>
            <w:vAlign w:val="bottom"/>
            <w:tcBorders>
              <w:bottom w:val="single" w:sz="8" w:color="0000EE"/>
            </w:tcBorders>
            <w:gridSpan w:val="5"/>
          </w:tcPr>
          <w:p>
            <w:pPr>
              <w:spacing w:after="0" w:line="124" w:lineRule="exact"/>
              <w:rPr>
                <w:rFonts w:ascii="Arial" w:cs="Arial" w:eastAsia="Arial" w:hAnsi="Arial"/>
                <w:sz w:val="12"/>
                <w:szCs w:val="12"/>
                <w:color w:val="0000EE"/>
                <w:w w:val="90"/>
              </w:rPr>
            </w:pPr>
            <w:hyperlink r:id="rId156">
              <w:r>
                <w:rPr>
                  <w:rFonts w:ascii="Arial" w:cs="Arial" w:eastAsia="Arial" w:hAnsi="Arial"/>
                  <w:sz w:val="12"/>
                  <w:szCs w:val="12"/>
                  <w:color w:val="0000EE"/>
                  <w:w w:val="90"/>
                </w:rPr>
                <w:t>December 15, 2016 (File No. 001-36708))</w:t>
              </w:r>
            </w:hyperlink>
          </w:p>
        </w:tc>
        <w:tc>
          <w:tcPr>
            <w:tcW w:w="7840" w:type="dxa"/>
            <w:vAlign w:val="bottom"/>
            <w:gridSpan w:val="18"/>
          </w:tcPr>
          <w:p>
            <w:pPr>
              <w:spacing w:after="0"/>
              <w:rPr>
                <w:sz w:val="10"/>
                <w:szCs w:val="10"/>
                <w:color w:val="auto"/>
              </w:rPr>
            </w:pPr>
          </w:p>
        </w:tc>
      </w:tr>
      <w:tr>
        <w:trPr>
          <w:trHeight w:val="142"/>
        </w:trPr>
        <w:tc>
          <w:tcPr>
            <w:tcW w:w="840" w:type="dxa"/>
            <w:vAlign w:val="bottom"/>
          </w:tcPr>
          <w:p>
            <w:pPr>
              <w:spacing w:after="0"/>
              <w:rPr>
                <w:sz w:val="20"/>
                <w:szCs w:val="20"/>
                <w:color w:val="auto"/>
              </w:rPr>
            </w:pPr>
            <w:r>
              <w:rPr>
                <w:rFonts w:ascii="Arial" w:cs="Arial" w:eastAsia="Arial" w:hAnsi="Arial"/>
                <w:sz w:val="12"/>
                <w:szCs w:val="12"/>
                <w:color w:val="auto"/>
              </w:rPr>
              <w:t>4.16</w:t>
            </w: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20" w:type="dxa"/>
            <w:vAlign w:val="bottom"/>
            <w:tcBorders>
              <w:bottom w:val="single" w:sz="8" w:color="0000EE"/>
            </w:tcBorders>
            <w:gridSpan w:val="11"/>
          </w:tcPr>
          <w:p>
            <w:pPr>
              <w:spacing w:after="0"/>
              <w:rPr>
                <w:rFonts w:ascii="Arial" w:cs="Arial" w:eastAsia="Arial" w:hAnsi="Arial"/>
                <w:sz w:val="12"/>
                <w:szCs w:val="12"/>
                <w:color w:val="0000EE"/>
                <w:w w:val="90"/>
              </w:rPr>
            </w:pPr>
            <w:hyperlink r:id="rId157">
              <w:r>
                <w:rPr>
                  <w:rFonts w:ascii="Arial" w:cs="Arial" w:eastAsia="Arial" w:hAnsi="Arial"/>
                  <w:sz w:val="12"/>
                  <w:szCs w:val="12"/>
                  <w:color w:val="0000EE"/>
                  <w:w w:val="90"/>
                </w:rPr>
                <w:t>First Supplemental Indenture, dated as of February 22, 2017, to the Indenture, dated as of December 15, 2016, among Communications Sales &amp; Leasing, Inc. and CSL Capital, LLC, as Issuers, the</w:t>
              </w:r>
            </w:hyperlink>
          </w:p>
        </w:tc>
        <w:tc>
          <w:tcPr>
            <w:tcW w:w="460" w:type="dxa"/>
            <w:vAlign w:val="bottom"/>
            <w:gridSpan w:val="12"/>
          </w:tcPr>
          <w:p>
            <w:pPr>
              <w:spacing w:after="0"/>
              <w:rPr>
                <w:sz w:val="12"/>
                <w:szCs w:val="12"/>
                <w:color w:val="auto"/>
              </w:rPr>
            </w:pPr>
          </w:p>
        </w:tc>
      </w:tr>
      <w:tr>
        <w:trPr>
          <w:trHeight w:val="124"/>
        </w:trPr>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880" w:type="dxa"/>
            <w:vAlign w:val="bottom"/>
            <w:gridSpan w:val="23"/>
          </w:tcPr>
          <w:p>
            <w:pPr>
              <w:spacing w:after="0" w:line="124" w:lineRule="exact"/>
              <w:rPr>
                <w:rFonts w:ascii="Arial" w:cs="Arial" w:eastAsia="Arial" w:hAnsi="Arial"/>
                <w:sz w:val="12"/>
                <w:szCs w:val="12"/>
                <w:color w:val="0000EE"/>
                <w:w w:val="90"/>
              </w:rPr>
            </w:pPr>
            <w:hyperlink r:id="rId157">
              <w:r>
                <w:rPr>
                  <w:rFonts w:ascii="Arial" w:cs="Arial" w:eastAsia="Arial" w:hAnsi="Arial"/>
                  <w:sz w:val="12"/>
                  <w:szCs w:val="12"/>
                  <w:color w:val="0000EE"/>
                  <w:w w:val="90"/>
                </w:rPr>
                <w:t>guarantors named therein, and Wells Fargo Bank, National Association, as trustee, governing the 7.125% Senior Notes due 2024 (incorporated by reference to Exhibit 4.11 to the Company’s Annual Report</w:t>
              </w:r>
            </w:hyperlink>
          </w:p>
        </w:tc>
      </w:tr>
      <w:tr>
        <w:trPr>
          <w:trHeight w:val="124"/>
        </w:trPr>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380" w:type="dxa"/>
            <w:vAlign w:val="bottom"/>
            <w:tcBorders>
              <w:top w:val="single" w:sz="8" w:color="0000EE"/>
              <w:bottom w:val="single" w:sz="8" w:color="0000EE"/>
            </w:tcBorders>
            <w:gridSpan w:val="9"/>
          </w:tcPr>
          <w:p>
            <w:pPr>
              <w:spacing w:after="0" w:line="124" w:lineRule="exact"/>
              <w:rPr>
                <w:rFonts w:ascii="Arial" w:cs="Arial" w:eastAsia="Arial" w:hAnsi="Arial"/>
                <w:sz w:val="12"/>
                <w:szCs w:val="12"/>
                <w:color w:val="0000EE"/>
                <w:w w:val="91"/>
              </w:rPr>
            </w:pPr>
            <w:hyperlink r:id="rId157">
              <w:r>
                <w:rPr>
                  <w:rFonts w:ascii="Arial" w:cs="Arial" w:eastAsia="Arial" w:hAnsi="Arial"/>
                  <w:sz w:val="12"/>
                  <w:szCs w:val="12"/>
                  <w:color w:val="0000EE"/>
                  <w:w w:val="91"/>
                </w:rPr>
                <w:t>on Form 10-K dated and filed with the SEC as of February 23, 2017 (File No. 001-36708))</w:t>
              </w:r>
            </w:hyperlink>
          </w:p>
        </w:tc>
        <w:tc>
          <w:tcPr>
            <w:tcW w:w="5460" w:type="dxa"/>
            <w:vAlign w:val="bottom"/>
            <w:tcBorders>
              <w:top w:val="single" w:sz="8" w:color="0000EE"/>
            </w:tcBorders>
            <w:gridSpan w:val="12"/>
          </w:tcPr>
          <w:p>
            <w:pPr>
              <w:spacing w:after="0"/>
              <w:rPr>
                <w:sz w:val="10"/>
                <w:szCs w:val="10"/>
                <w:color w:val="auto"/>
              </w:rPr>
            </w:pPr>
          </w:p>
        </w:tc>
        <w:tc>
          <w:tcPr>
            <w:tcW w:w="40" w:type="dxa"/>
            <w:vAlign w:val="bottom"/>
            <w:gridSpan w:val="2"/>
          </w:tcPr>
          <w:p>
            <w:pPr>
              <w:spacing w:after="0"/>
              <w:rPr>
                <w:sz w:val="10"/>
                <w:szCs w:val="10"/>
                <w:color w:val="auto"/>
              </w:rPr>
            </w:pPr>
          </w:p>
        </w:tc>
      </w:tr>
      <w:tr>
        <w:trPr>
          <w:trHeight w:val="142"/>
        </w:trPr>
        <w:tc>
          <w:tcPr>
            <w:tcW w:w="840" w:type="dxa"/>
            <w:vAlign w:val="bottom"/>
          </w:tcPr>
          <w:p>
            <w:pPr>
              <w:spacing w:after="0"/>
              <w:rPr>
                <w:sz w:val="20"/>
                <w:szCs w:val="20"/>
                <w:color w:val="auto"/>
              </w:rPr>
            </w:pPr>
            <w:r>
              <w:rPr>
                <w:rFonts w:ascii="Arial" w:cs="Arial" w:eastAsia="Arial" w:hAnsi="Arial"/>
                <w:sz w:val="12"/>
                <w:szCs w:val="12"/>
                <w:color w:val="auto"/>
              </w:rPr>
              <w:t>4.17</w:t>
            </w: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80" w:type="dxa"/>
            <w:vAlign w:val="bottom"/>
            <w:gridSpan w:val="23"/>
          </w:tcPr>
          <w:p>
            <w:pPr>
              <w:spacing w:after="0"/>
              <w:rPr>
                <w:rFonts w:ascii="Arial" w:cs="Arial" w:eastAsia="Arial" w:hAnsi="Arial"/>
                <w:sz w:val="12"/>
                <w:szCs w:val="12"/>
                <w:color w:val="0000EE"/>
                <w:w w:val="95"/>
              </w:rPr>
            </w:pPr>
            <w:hyperlink r:id="rId158">
              <w:r>
                <w:rPr>
                  <w:rFonts w:ascii="Arial" w:cs="Arial" w:eastAsia="Arial" w:hAnsi="Arial"/>
                  <w:sz w:val="12"/>
                  <w:szCs w:val="12"/>
                  <w:color w:val="0000EE"/>
                  <w:w w:val="95"/>
                </w:rPr>
                <w:t>Third Supplemental Indenture, dated as of May 9, 2017, to the indenture dated as of December 15, 2016, among Uniti Group LP, Uniti Fiber Holdings Inc., CSL Capital, LLC, Uniti Group Inc., the</w:t>
              </w:r>
            </w:hyperlink>
          </w:p>
        </w:tc>
      </w:tr>
      <w:tr>
        <w:trPr>
          <w:trHeight w:val="20"/>
        </w:trPr>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1920" w:type="dxa"/>
            <w:vAlign w:val="bottom"/>
            <w:gridSpan w:val="2"/>
            <w:shd w:val="clear" w:color="auto" w:fill="0000EE"/>
          </w:tcPr>
          <w:p>
            <w:pPr>
              <w:spacing w:after="0" w:line="20" w:lineRule="exact"/>
              <w:rPr>
                <w:sz w:val="1"/>
                <w:szCs w:val="1"/>
                <w:color w:val="auto"/>
              </w:rPr>
            </w:pPr>
          </w:p>
        </w:tc>
        <w:tc>
          <w:tcPr>
            <w:tcW w:w="540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124"/>
        </w:trPr>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780" w:type="dxa"/>
            <w:vAlign w:val="bottom"/>
            <w:tcBorders>
              <w:bottom w:val="single" w:sz="8" w:color="0000EE"/>
            </w:tcBorders>
            <w:gridSpan w:val="18"/>
          </w:tcPr>
          <w:p>
            <w:pPr>
              <w:spacing w:after="0" w:line="124" w:lineRule="exact"/>
              <w:rPr>
                <w:rFonts w:ascii="Arial" w:cs="Arial" w:eastAsia="Arial" w:hAnsi="Arial"/>
                <w:sz w:val="12"/>
                <w:szCs w:val="12"/>
                <w:color w:val="0000EE"/>
                <w:w w:val="90"/>
              </w:rPr>
            </w:pPr>
            <w:hyperlink r:id="rId158">
              <w:r>
                <w:rPr>
                  <w:rFonts w:ascii="Arial" w:cs="Arial" w:eastAsia="Arial" w:hAnsi="Arial"/>
                  <w:sz w:val="12"/>
                  <w:szCs w:val="12"/>
                  <w:color w:val="0000EE"/>
                  <w:w w:val="90"/>
                </w:rPr>
                <w:t>guarantors named therein and Wells Fargo Bank, National Association, as trustee, governing the 7.125% Senior Notes due 2024 (incorporated by reference to Exhibit 4.5 to the Company’s Current Report</w:t>
              </w:r>
            </w:hyperlink>
          </w:p>
        </w:tc>
        <w:tc>
          <w:tcPr>
            <w:tcW w:w="100" w:type="dxa"/>
            <w:vAlign w:val="bottom"/>
            <w:gridSpan w:val="5"/>
          </w:tcPr>
          <w:p>
            <w:pPr>
              <w:spacing w:after="0"/>
              <w:rPr>
                <w:sz w:val="10"/>
                <w:szCs w:val="10"/>
                <w:color w:val="auto"/>
              </w:rPr>
            </w:pPr>
          </w:p>
        </w:tc>
      </w:tr>
      <w:tr>
        <w:trPr>
          <w:trHeight w:val="124"/>
        </w:trPr>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40" w:type="dxa"/>
            <w:vAlign w:val="bottom"/>
            <w:tcBorders>
              <w:bottom w:val="single" w:sz="8" w:color="0000EE"/>
            </w:tcBorders>
            <w:gridSpan w:val="8"/>
          </w:tcPr>
          <w:p>
            <w:pPr>
              <w:spacing w:after="0" w:line="124" w:lineRule="exact"/>
              <w:rPr>
                <w:rFonts w:ascii="Arial" w:cs="Arial" w:eastAsia="Arial" w:hAnsi="Arial"/>
                <w:sz w:val="12"/>
                <w:szCs w:val="12"/>
                <w:color w:val="0000EE"/>
                <w:w w:val="91"/>
              </w:rPr>
            </w:pPr>
            <w:hyperlink r:id="rId158">
              <w:r>
                <w:rPr>
                  <w:rFonts w:ascii="Arial" w:cs="Arial" w:eastAsia="Arial" w:hAnsi="Arial"/>
                  <w:sz w:val="12"/>
                  <w:szCs w:val="12"/>
                  <w:color w:val="0000EE"/>
                  <w:w w:val="91"/>
                </w:rPr>
                <w:t>on Form 8-K dated and filed with the SEC as of May 9, 2017 (File No. 001-36708))</w:t>
              </w:r>
            </w:hyperlink>
          </w:p>
        </w:tc>
        <w:tc>
          <w:tcPr>
            <w:tcW w:w="5840" w:type="dxa"/>
            <w:vAlign w:val="bottom"/>
            <w:gridSpan w:val="15"/>
          </w:tcPr>
          <w:p>
            <w:pPr>
              <w:spacing w:after="0"/>
              <w:rPr>
                <w:sz w:val="10"/>
                <w:szCs w:val="10"/>
                <w:color w:val="auto"/>
              </w:rPr>
            </w:pPr>
          </w:p>
        </w:tc>
      </w:tr>
      <w:tr>
        <w:trPr>
          <w:trHeight w:val="142"/>
        </w:trPr>
        <w:tc>
          <w:tcPr>
            <w:tcW w:w="840" w:type="dxa"/>
            <w:vAlign w:val="bottom"/>
          </w:tcPr>
          <w:p>
            <w:pPr>
              <w:spacing w:after="0"/>
              <w:rPr>
                <w:sz w:val="20"/>
                <w:szCs w:val="20"/>
                <w:color w:val="auto"/>
              </w:rPr>
            </w:pPr>
            <w:r>
              <w:rPr>
                <w:rFonts w:ascii="Arial" w:cs="Arial" w:eastAsia="Arial" w:hAnsi="Arial"/>
                <w:sz w:val="12"/>
                <w:szCs w:val="12"/>
                <w:color w:val="auto"/>
              </w:rPr>
              <w:t>4.18</w:t>
            </w: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500" w:type="dxa"/>
            <w:vAlign w:val="bottom"/>
            <w:tcBorders>
              <w:bottom w:val="single" w:sz="8" w:color="0000EE"/>
            </w:tcBorders>
            <w:gridSpan w:val="13"/>
          </w:tcPr>
          <w:p>
            <w:pPr>
              <w:spacing w:after="0"/>
              <w:rPr>
                <w:rFonts w:ascii="Arial" w:cs="Arial" w:eastAsia="Arial" w:hAnsi="Arial"/>
                <w:sz w:val="12"/>
                <w:szCs w:val="12"/>
                <w:color w:val="0000EE"/>
                <w:w w:val="91"/>
              </w:rPr>
            </w:pPr>
            <w:hyperlink r:id="rId159">
              <w:r>
                <w:rPr>
                  <w:rFonts w:ascii="Arial" w:cs="Arial" w:eastAsia="Arial" w:hAnsi="Arial"/>
                  <w:sz w:val="12"/>
                  <w:szCs w:val="12"/>
                  <w:color w:val="0000EE"/>
                  <w:w w:val="91"/>
                </w:rPr>
                <w:t>Fourth Supplemental Indenture, dated as of May 9, 2017, to the indenture dated as of December 15, 2016, among Uniti Group LP, Uniti Fiber Holdings Inc., CSL Capital, LLC, Uniti Group Inc., the</w:t>
              </w:r>
            </w:hyperlink>
          </w:p>
        </w:tc>
        <w:tc>
          <w:tcPr>
            <w:tcW w:w="380" w:type="dxa"/>
            <w:vAlign w:val="bottom"/>
            <w:gridSpan w:val="10"/>
          </w:tcPr>
          <w:p>
            <w:pPr>
              <w:spacing w:after="0"/>
              <w:rPr>
                <w:sz w:val="12"/>
                <w:szCs w:val="12"/>
                <w:color w:val="auto"/>
              </w:rPr>
            </w:pPr>
          </w:p>
        </w:tc>
      </w:tr>
      <w:tr>
        <w:trPr>
          <w:trHeight w:val="124"/>
        </w:trPr>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780" w:type="dxa"/>
            <w:vAlign w:val="bottom"/>
            <w:tcBorders>
              <w:bottom w:val="single" w:sz="8" w:color="0000EE"/>
            </w:tcBorders>
            <w:gridSpan w:val="18"/>
          </w:tcPr>
          <w:p>
            <w:pPr>
              <w:spacing w:after="0" w:line="124" w:lineRule="exact"/>
              <w:rPr>
                <w:rFonts w:ascii="Arial" w:cs="Arial" w:eastAsia="Arial" w:hAnsi="Arial"/>
                <w:sz w:val="12"/>
                <w:szCs w:val="12"/>
                <w:color w:val="0000EE"/>
                <w:w w:val="90"/>
              </w:rPr>
            </w:pPr>
            <w:hyperlink r:id="rId159">
              <w:r>
                <w:rPr>
                  <w:rFonts w:ascii="Arial" w:cs="Arial" w:eastAsia="Arial" w:hAnsi="Arial"/>
                  <w:sz w:val="12"/>
                  <w:szCs w:val="12"/>
                  <w:color w:val="0000EE"/>
                  <w:w w:val="90"/>
                </w:rPr>
                <w:t>guarantors named therein and Wells Fargo Bank, National Association, as trustee, governing the 7.125% Senior Notes due 2024 (incorporated by reference to Exhibit 4.6 to the Company’s Current Report</w:t>
              </w:r>
            </w:hyperlink>
          </w:p>
        </w:tc>
        <w:tc>
          <w:tcPr>
            <w:tcW w:w="100" w:type="dxa"/>
            <w:vAlign w:val="bottom"/>
            <w:gridSpan w:val="5"/>
          </w:tcPr>
          <w:p>
            <w:pPr>
              <w:spacing w:after="0"/>
              <w:rPr>
                <w:sz w:val="10"/>
                <w:szCs w:val="10"/>
                <w:color w:val="auto"/>
              </w:rPr>
            </w:pPr>
          </w:p>
        </w:tc>
      </w:tr>
      <w:tr>
        <w:trPr>
          <w:trHeight w:val="124"/>
        </w:trPr>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40" w:type="dxa"/>
            <w:vAlign w:val="bottom"/>
            <w:tcBorders>
              <w:bottom w:val="single" w:sz="8" w:color="0000EE"/>
            </w:tcBorders>
            <w:gridSpan w:val="8"/>
          </w:tcPr>
          <w:p>
            <w:pPr>
              <w:spacing w:after="0" w:line="124" w:lineRule="exact"/>
              <w:rPr>
                <w:rFonts w:ascii="Arial" w:cs="Arial" w:eastAsia="Arial" w:hAnsi="Arial"/>
                <w:sz w:val="12"/>
                <w:szCs w:val="12"/>
                <w:color w:val="0000EE"/>
                <w:w w:val="91"/>
              </w:rPr>
            </w:pPr>
            <w:hyperlink r:id="rId159">
              <w:r>
                <w:rPr>
                  <w:rFonts w:ascii="Arial" w:cs="Arial" w:eastAsia="Arial" w:hAnsi="Arial"/>
                  <w:sz w:val="12"/>
                  <w:szCs w:val="12"/>
                  <w:color w:val="0000EE"/>
                  <w:w w:val="91"/>
                </w:rPr>
                <w:t>on Form 8-K dated and filed with the SEC as of May 9, 2017 (File No. 001-36708))</w:t>
              </w:r>
            </w:hyperlink>
          </w:p>
        </w:tc>
        <w:tc>
          <w:tcPr>
            <w:tcW w:w="5840" w:type="dxa"/>
            <w:vAlign w:val="bottom"/>
            <w:gridSpan w:val="15"/>
          </w:tcPr>
          <w:p>
            <w:pPr>
              <w:spacing w:after="0"/>
              <w:rPr>
                <w:sz w:val="10"/>
                <w:szCs w:val="10"/>
                <w:color w:val="auto"/>
              </w:rPr>
            </w:pPr>
          </w:p>
        </w:tc>
      </w:tr>
      <w:tr>
        <w:trPr>
          <w:trHeight w:val="142"/>
        </w:trPr>
        <w:tc>
          <w:tcPr>
            <w:tcW w:w="840" w:type="dxa"/>
            <w:vAlign w:val="bottom"/>
          </w:tcPr>
          <w:p>
            <w:pPr>
              <w:spacing w:after="0"/>
              <w:rPr>
                <w:sz w:val="20"/>
                <w:szCs w:val="20"/>
                <w:color w:val="auto"/>
              </w:rPr>
            </w:pPr>
            <w:r>
              <w:rPr>
                <w:rFonts w:ascii="Arial" w:cs="Arial" w:eastAsia="Arial" w:hAnsi="Arial"/>
                <w:sz w:val="12"/>
                <w:szCs w:val="12"/>
                <w:color w:val="auto"/>
              </w:rPr>
              <w:t>4.19</w:t>
            </w: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540" w:type="dxa"/>
            <w:vAlign w:val="bottom"/>
            <w:tcBorders>
              <w:bottom w:val="single" w:sz="8" w:color="0000EE"/>
            </w:tcBorders>
            <w:gridSpan w:val="14"/>
          </w:tcPr>
          <w:p>
            <w:pPr>
              <w:spacing w:after="0"/>
              <w:rPr>
                <w:rFonts w:ascii="Arial" w:cs="Arial" w:eastAsia="Arial" w:hAnsi="Arial"/>
                <w:sz w:val="12"/>
                <w:szCs w:val="12"/>
                <w:color w:val="0000EE"/>
                <w:w w:val="90"/>
              </w:rPr>
            </w:pPr>
            <w:hyperlink r:id="rId160">
              <w:r>
                <w:rPr>
                  <w:rFonts w:ascii="Arial" w:cs="Arial" w:eastAsia="Arial" w:hAnsi="Arial"/>
                  <w:sz w:val="12"/>
                  <w:szCs w:val="12"/>
                  <w:color w:val="0000EE"/>
                  <w:w w:val="90"/>
                </w:rPr>
                <w:t>Fifth Supplemental Indenture, dated as of August 11, 2017, among Uniti Group LP, Uniti Fiber Holdings Inc., and CSL Capital, LLC, as Issuers, the guarantors named therein, and Wells Fargo Bank,</w:t>
              </w:r>
            </w:hyperlink>
          </w:p>
        </w:tc>
        <w:tc>
          <w:tcPr>
            <w:tcW w:w="340" w:type="dxa"/>
            <w:vAlign w:val="bottom"/>
            <w:gridSpan w:val="9"/>
          </w:tcPr>
          <w:p>
            <w:pPr>
              <w:spacing w:after="0"/>
              <w:rPr>
                <w:sz w:val="12"/>
                <w:szCs w:val="12"/>
                <w:color w:val="auto"/>
              </w:rPr>
            </w:pPr>
          </w:p>
        </w:tc>
      </w:tr>
      <w:tr>
        <w:trPr>
          <w:trHeight w:val="124"/>
        </w:trPr>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760" w:type="dxa"/>
            <w:vAlign w:val="bottom"/>
            <w:tcBorders>
              <w:bottom w:val="single" w:sz="8" w:color="0000EE"/>
            </w:tcBorders>
            <w:gridSpan w:val="17"/>
          </w:tcPr>
          <w:p>
            <w:pPr>
              <w:spacing w:after="0" w:line="124" w:lineRule="exact"/>
              <w:rPr>
                <w:rFonts w:ascii="Arial" w:cs="Arial" w:eastAsia="Arial" w:hAnsi="Arial"/>
                <w:sz w:val="12"/>
                <w:szCs w:val="12"/>
                <w:color w:val="0000EE"/>
                <w:w w:val="90"/>
              </w:rPr>
            </w:pPr>
            <w:hyperlink r:id="rId160">
              <w:r>
                <w:rPr>
                  <w:rFonts w:ascii="Arial" w:cs="Arial" w:eastAsia="Arial" w:hAnsi="Arial"/>
                  <w:sz w:val="12"/>
                  <w:szCs w:val="12"/>
                  <w:color w:val="0000EE"/>
                  <w:w w:val="90"/>
                </w:rPr>
                <w:t>National Association, as trustee, relating to the 7.125% Senior Notes due 2024 (incorporated by reference to Exhibit 4.1 to the Company’s Quarterly Report on Form 10-Q dated and filed with the SEC as</w:t>
              </w:r>
            </w:hyperlink>
          </w:p>
        </w:tc>
        <w:tc>
          <w:tcPr>
            <w:tcW w:w="120" w:type="dxa"/>
            <w:vAlign w:val="bottom"/>
            <w:gridSpan w:val="6"/>
          </w:tcPr>
          <w:p>
            <w:pPr>
              <w:spacing w:after="0"/>
              <w:rPr>
                <w:sz w:val="10"/>
                <w:szCs w:val="10"/>
                <w:color w:val="auto"/>
              </w:rPr>
            </w:pPr>
          </w:p>
        </w:tc>
      </w:tr>
      <w:tr>
        <w:trPr>
          <w:trHeight w:val="124"/>
        </w:trPr>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880" w:type="dxa"/>
            <w:vAlign w:val="bottom"/>
            <w:gridSpan w:val="23"/>
          </w:tcPr>
          <w:p>
            <w:pPr>
              <w:spacing w:after="0" w:line="124" w:lineRule="exact"/>
              <w:rPr>
                <w:rFonts w:ascii="Arial" w:cs="Arial" w:eastAsia="Arial" w:hAnsi="Arial"/>
                <w:sz w:val="12"/>
                <w:szCs w:val="12"/>
                <w:color w:val="0000EE"/>
              </w:rPr>
            </w:pPr>
            <w:hyperlink r:id="rId160">
              <w:r>
                <w:rPr>
                  <w:rFonts w:ascii="Arial" w:cs="Arial" w:eastAsia="Arial" w:hAnsi="Arial"/>
                  <w:sz w:val="12"/>
                  <w:szCs w:val="12"/>
                  <w:color w:val="0000EE"/>
                </w:rPr>
                <w:t>of November 2, 2017 (File No. 001-36708))</w:t>
              </w:r>
            </w:hyperlink>
          </w:p>
        </w:tc>
      </w:tr>
      <w:tr>
        <w:trPr>
          <w:trHeight w:val="20"/>
        </w:trPr>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748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142"/>
        </w:trPr>
        <w:tc>
          <w:tcPr>
            <w:tcW w:w="840" w:type="dxa"/>
            <w:vAlign w:val="bottom"/>
          </w:tcPr>
          <w:p>
            <w:pPr>
              <w:spacing w:after="0"/>
              <w:rPr>
                <w:sz w:val="20"/>
                <w:szCs w:val="20"/>
                <w:color w:val="auto"/>
              </w:rPr>
            </w:pPr>
            <w:r>
              <w:rPr>
                <w:rFonts w:ascii="Arial" w:cs="Arial" w:eastAsia="Arial" w:hAnsi="Arial"/>
                <w:sz w:val="12"/>
                <w:szCs w:val="12"/>
                <w:color w:val="auto"/>
              </w:rPr>
              <w:t>4.20</w:t>
            </w: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600" w:type="dxa"/>
            <w:vAlign w:val="bottom"/>
            <w:tcBorders>
              <w:bottom w:val="single" w:sz="8" w:color="0000EE"/>
            </w:tcBorders>
            <w:gridSpan w:val="15"/>
          </w:tcPr>
          <w:p>
            <w:pPr>
              <w:spacing w:after="0"/>
              <w:rPr>
                <w:rFonts w:ascii="Arial" w:cs="Arial" w:eastAsia="Arial" w:hAnsi="Arial"/>
                <w:sz w:val="12"/>
                <w:szCs w:val="12"/>
                <w:color w:val="0000EE"/>
                <w:w w:val="91"/>
              </w:rPr>
            </w:pPr>
            <w:hyperlink r:id="rId161">
              <w:r>
                <w:rPr>
                  <w:rFonts w:ascii="Arial" w:cs="Arial" w:eastAsia="Arial" w:hAnsi="Arial"/>
                  <w:sz w:val="12"/>
                  <w:szCs w:val="12"/>
                  <w:color w:val="0000EE"/>
                  <w:w w:val="91"/>
                </w:rPr>
                <w:t>Indenture, dated as of May 8, 2017, among Uniti Fiber Holdings Inc, Uniti Group Inc. and CSL Capital, LLC, as Issuers, the guarantors named therein, and Wells Fargo Bank, National Association, as</w:t>
              </w:r>
            </w:hyperlink>
          </w:p>
        </w:tc>
        <w:tc>
          <w:tcPr>
            <w:tcW w:w="280" w:type="dxa"/>
            <w:vAlign w:val="bottom"/>
            <w:gridSpan w:val="8"/>
          </w:tcPr>
          <w:p>
            <w:pPr>
              <w:spacing w:after="0"/>
              <w:rPr>
                <w:sz w:val="12"/>
                <w:szCs w:val="12"/>
                <w:color w:val="auto"/>
              </w:rPr>
            </w:pPr>
          </w:p>
        </w:tc>
      </w:tr>
      <w:tr>
        <w:trPr>
          <w:trHeight w:val="124"/>
        </w:trPr>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880" w:type="dxa"/>
            <w:vAlign w:val="bottom"/>
            <w:gridSpan w:val="23"/>
          </w:tcPr>
          <w:p>
            <w:pPr>
              <w:spacing w:after="0" w:line="124" w:lineRule="exact"/>
              <w:rPr>
                <w:rFonts w:ascii="Arial" w:cs="Arial" w:eastAsia="Arial" w:hAnsi="Arial"/>
                <w:sz w:val="12"/>
                <w:szCs w:val="12"/>
                <w:color w:val="0000EE"/>
                <w:w w:val="93"/>
              </w:rPr>
            </w:pPr>
            <w:hyperlink r:id="rId161">
              <w:r>
                <w:rPr>
                  <w:rFonts w:ascii="Arial" w:cs="Arial" w:eastAsia="Arial" w:hAnsi="Arial"/>
                  <w:sz w:val="12"/>
                  <w:szCs w:val="12"/>
                  <w:color w:val="0000EE"/>
                  <w:w w:val="93"/>
                </w:rPr>
                <w:t>trustee, governing the 7.125% Senior Notes due 2024 (incorporated by reference to Exhibit 4.1 to the Company’s Current Report on Form 8-K dated and filed with the SEC as of May 8, 2017 (File No.</w:t>
              </w:r>
            </w:hyperlink>
          </w:p>
        </w:tc>
      </w:tr>
      <w:tr>
        <w:trPr>
          <w:trHeight w:val="124"/>
        </w:trPr>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0" w:type="dxa"/>
            <w:vAlign w:val="bottom"/>
            <w:tcBorders>
              <w:top w:val="single" w:sz="8" w:color="0000EE"/>
              <w:bottom w:val="single" w:sz="8" w:color="0000EE"/>
            </w:tcBorders>
          </w:tcPr>
          <w:p>
            <w:pPr>
              <w:spacing w:after="0" w:line="124" w:lineRule="exact"/>
              <w:rPr>
                <w:rFonts w:ascii="Arial" w:cs="Arial" w:eastAsia="Arial" w:hAnsi="Arial"/>
                <w:sz w:val="12"/>
                <w:szCs w:val="12"/>
                <w:color w:val="0000EE"/>
                <w:w w:val="88"/>
              </w:rPr>
            </w:pPr>
            <w:hyperlink r:id="rId161">
              <w:r>
                <w:rPr>
                  <w:rFonts w:ascii="Arial" w:cs="Arial" w:eastAsia="Arial" w:hAnsi="Arial"/>
                  <w:sz w:val="12"/>
                  <w:szCs w:val="12"/>
                  <w:color w:val="0000EE"/>
                  <w:w w:val="88"/>
                </w:rPr>
                <w:t>001-36708))</w:t>
              </w:r>
            </w:hyperlink>
          </w:p>
        </w:tc>
        <w:tc>
          <w:tcPr>
            <w:tcW w:w="200" w:type="dxa"/>
            <w:vAlign w:val="bottom"/>
            <w:tcBorders>
              <w:top w:val="single" w:sz="8" w:color="0000EE"/>
            </w:tcBorders>
          </w:tcPr>
          <w:p>
            <w:pPr>
              <w:spacing w:after="0"/>
              <w:rPr>
                <w:sz w:val="10"/>
                <w:szCs w:val="10"/>
                <w:color w:val="auto"/>
              </w:rPr>
            </w:pPr>
          </w:p>
        </w:tc>
        <w:tc>
          <w:tcPr>
            <w:tcW w:w="54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680" w:type="dxa"/>
            <w:vAlign w:val="bottom"/>
            <w:tcBorders>
              <w:top w:val="single" w:sz="8" w:color="0000EE"/>
            </w:tcBorders>
          </w:tcPr>
          <w:p>
            <w:pPr>
              <w:spacing w:after="0"/>
              <w:rPr>
                <w:sz w:val="10"/>
                <w:szCs w:val="10"/>
                <w:color w:val="auto"/>
              </w:rPr>
            </w:pPr>
          </w:p>
        </w:tc>
        <w:tc>
          <w:tcPr>
            <w:tcW w:w="80" w:type="dxa"/>
            <w:vAlign w:val="bottom"/>
            <w:tcBorders>
              <w:top w:val="single" w:sz="8" w:color="0000EE"/>
            </w:tcBorders>
          </w:tcPr>
          <w:p>
            <w:pPr>
              <w:spacing w:after="0"/>
              <w:rPr>
                <w:sz w:val="10"/>
                <w:szCs w:val="10"/>
                <w:color w:val="auto"/>
              </w:rPr>
            </w:pPr>
          </w:p>
        </w:tc>
        <w:tc>
          <w:tcPr>
            <w:tcW w:w="520" w:type="dxa"/>
            <w:vAlign w:val="bottom"/>
            <w:tcBorders>
              <w:top w:val="single" w:sz="8" w:color="0000EE"/>
            </w:tcBorders>
          </w:tcPr>
          <w:p>
            <w:pPr>
              <w:spacing w:after="0"/>
              <w:rPr>
                <w:sz w:val="10"/>
                <w:szCs w:val="10"/>
                <w:color w:val="auto"/>
              </w:rPr>
            </w:pPr>
          </w:p>
        </w:tc>
        <w:tc>
          <w:tcPr>
            <w:tcW w:w="1400" w:type="dxa"/>
            <w:vAlign w:val="bottom"/>
            <w:tcBorders>
              <w:top w:val="single" w:sz="8" w:color="0000EE"/>
            </w:tcBorders>
          </w:tcPr>
          <w:p>
            <w:pPr>
              <w:spacing w:after="0"/>
              <w:rPr>
                <w:sz w:val="10"/>
                <w:szCs w:val="10"/>
                <w:color w:val="auto"/>
              </w:rPr>
            </w:pPr>
          </w:p>
        </w:tc>
        <w:tc>
          <w:tcPr>
            <w:tcW w:w="340" w:type="dxa"/>
            <w:vAlign w:val="bottom"/>
            <w:tcBorders>
              <w:top w:val="single" w:sz="8" w:color="0000EE"/>
            </w:tcBorders>
          </w:tcPr>
          <w:p>
            <w:pPr>
              <w:spacing w:after="0"/>
              <w:rPr>
                <w:sz w:val="10"/>
                <w:szCs w:val="10"/>
                <w:color w:val="auto"/>
              </w:rPr>
            </w:pPr>
          </w:p>
        </w:tc>
        <w:tc>
          <w:tcPr>
            <w:tcW w:w="420" w:type="dxa"/>
            <w:vAlign w:val="bottom"/>
            <w:tcBorders>
              <w:top w:val="single" w:sz="8" w:color="0000EE"/>
            </w:tcBorders>
          </w:tcPr>
          <w:p>
            <w:pPr>
              <w:spacing w:after="0"/>
              <w:rPr>
                <w:sz w:val="10"/>
                <w:szCs w:val="10"/>
                <w:color w:val="auto"/>
              </w:rPr>
            </w:pPr>
          </w:p>
        </w:tc>
        <w:tc>
          <w:tcPr>
            <w:tcW w:w="462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60" w:type="dxa"/>
            <w:vAlign w:val="bottom"/>
            <w:tcBorders>
              <w:top w:val="single" w:sz="8" w:color="0000EE"/>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6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42"/>
        </w:trPr>
        <w:tc>
          <w:tcPr>
            <w:tcW w:w="840" w:type="dxa"/>
            <w:vAlign w:val="bottom"/>
          </w:tcPr>
          <w:p>
            <w:pPr>
              <w:spacing w:after="0"/>
              <w:rPr>
                <w:sz w:val="20"/>
                <w:szCs w:val="20"/>
                <w:color w:val="auto"/>
              </w:rPr>
            </w:pPr>
            <w:r>
              <w:rPr>
                <w:rFonts w:ascii="Arial" w:cs="Arial" w:eastAsia="Arial" w:hAnsi="Arial"/>
                <w:sz w:val="12"/>
                <w:szCs w:val="12"/>
                <w:color w:val="auto"/>
              </w:rPr>
              <w:t>4.21</w:t>
            </w: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80" w:type="dxa"/>
            <w:vAlign w:val="bottom"/>
            <w:gridSpan w:val="23"/>
          </w:tcPr>
          <w:p>
            <w:pPr>
              <w:spacing w:after="0"/>
              <w:rPr>
                <w:rFonts w:ascii="Arial" w:cs="Arial" w:eastAsia="Arial" w:hAnsi="Arial"/>
                <w:sz w:val="12"/>
                <w:szCs w:val="12"/>
                <w:color w:val="0000EE"/>
                <w:w w:val="92"/>
              </w:rPr>
            </w:pPr>
            <w:hyperlink r:id="rId161">
              <w:r>
                <w:rPr>
                  <w:rFonts w:ascii="Arial" w:cs="Arial" w:eastAsia="Arial" w:hAnsi="Arial"/>
                  <w:sz w:val="12"/>
                  <w:szCs w:val="12"/>
                  <w:color w:val="0000EE"/>
                  <w:w w:val="92"/>
                </w:rPr>
                <w:t>Form of 7.125% Senior Note due 2024 (included in Exhibit 4.20 above) (incorporated by reference to Exhibit 4.2 to the Company’s Current Report on Form 8-K dated and filed with the SEC as of May 8,</w:t>
              </w:r>
            </w:hyperlink>
          </w:p>
        </w:tc>
      </w:tr>
      <w:tr>
        <w:trPr>
          <w:trHeight w:val="124"/>
        </w:trPr>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340" w:type="dxa"/>
            <w:vAlign w:val="bottom"/>
            <w:tcBorders>
              <w:top w:val="single" w:sz="8" w:color="0000EE"/>
              <w:bottom w:val="single" w:sz="8" w:color="0000EE"/>
            </w:tcBorders>
            <w:gridSpan w:val="3"/>
          </w:tcPr>
          <w:p>
            <w:pPr>
              <w:spacing w:after="0" w:line="124" w:lineRule="exact"/>
              <w:rPr>
                <w:rFonts w:ascii="Arial" w:cs="Arial" w:eastAsia="Arial" w:hAnsi="Arial"/>
                <w:sz w:val="12"/>
                <w:szCs w:val="12"/>
                <w:color w:val="0000EE"/>
                <w:w w:val="91"/>
              </w:rPr>
            </w:pPr>
            <w:hyperlink r:id="rId161">
              <w:r>
                <w:rPr>
                  <w:rFonts w:ascii="Arial" w:cs="Arial" w:eastAsia="Arial" w:hAnsi="Arial"/>
                  <w:sz w:val="12"/>
                  <w:szCs w:val="12"/>
                  <w:color w:val="0000EE"/>
                  <w:w w:val="91"/>
                </w:rPr>
                <w:t>2017 (File No. 001-36708))</w:t>
              </w:r>
            </w:hyperlink>
          </w:p>
        </w:tc>
        <w:tc>
          <w:tcPr>
            <w:tcW w:w="8440" w:type="dxa"/>
            <w:vAlign w:val="bottom"/>
            <w:tcBorders>
              <w:top w:val="single" w:sz="8" w:color="0000EE"/>
            </w:tcBorders>
            <w:gridSpan w:val="15"/>
          </w:tcPr>
          <w:p>
            <w:pPr>
              <w:spacing w:after="0"/>
              <w:rPr>
                <w:sz w:val="10"/>
                <w:szCs w:val="10"/>
                <w:color w:val="auto"/>
              </w:rPr>
            </w:pPr>
          </w:p>
        </w:tc>
        <w:tc>
          <w:tcPr>
            <w:tcW w:w="100" w:type="dxa"/>
            <w:vAlign w:val="bottom"/>
            <w:gridSpan w:val="5"/>
          </w:tcPr>
          <w:p>
            <w:pPr>
              <w:spacing w:after="0"/>
              <w:rPr>
                <w:sz w:val="10"/>
                <w:szCs w:val="10"/>
                <w:color w:val="auto"/>
              </w:rPr>
            </w:pPr>
          </w:p>
        </w:tc>
      </w:tr>
      <w:tr>
        <w:trPr>
          <w:trHeight w:val="304"/>
        </w:trPr>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380" w:type="dxa"/>
            <w:vAlign w:val="bottom"/>
            <w:gridSpan w:val="9"/>
          </w:tcPr>
          <w:p>
            <w:pPr>
              <w:ind w:left="4020"/>
              <w:spacing w:after="0"/>
              <w:rPr>
                <w:sz w:val="20"/>
                <w:szCs w:val="20"/>
                <w:color w:val="auto"/>
              </w:rPr>
            </w:pPr>
            <w:r>
              <w:rPr>
                <w:rFonts w:ascii="Arial" w:cs="Arial" w:eastAsia="Arial" w:hAnsi="Arial"/>
                <w:sz w:val="12"/>
                <w:szCs w:val="12"/>
                <w:color w:val="auto"/>
              </w:rPr>
              <w:t>105</w:t>
            </w:r>
          </w:p>
        </w:tc>
        <w:tc>
          <w:tcPr>
            <w:tcW w:w="4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2"/>
        </w:trPr>
        <w:tc>
          <w:tcPr>
            <w:tcW w:w="840" w:type="dxa"/>
            <w:vAlign w:val="bottom"/>
            <w:tcBorders>
              <w:bottom w:val="single" w:sz="8" w:color="9A9A9A"/>
            </w:tcBorders>
          </w:tcPr>
          <w:p>
            <w:pPr>
              <w:spacing w:after="0"/>
              <w:rPr>
                <w:sz w:val="6"/>
                <w:szCs w:val="6"/>
                <w:color w:val="auto"/>
              </w:rPr>
            </w:pPr>
          </w:p>
        </w:tc>
        <w:tc>
          <w:tcPr>
            <w:tcW w:w="42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8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520" w:type="dxa"/>
            <w:vAlign w:val="bottom"/>
            <w:tcBorders>
              <w:bottom w:val="single" w:sz="8" w:color="9A9A9A"/>
            </w:tcBorders>
          </w:tcPr>
          <w:p>
            <w:pPr>
              <w:spacing w:after="0"/>
              <w:rPr>
                <w:sz w:val="6"/>
                <w:szCs w:val="6"/>
                <w:color w:val="auto"/>
              </w:rPr>
            </w:pPr>
          </w:p>
        </w:tc>
        <w:tc>
          <w:tcPr>
            <w:tcW w:w="140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420" w:type="dxa"/>
            <w:vAlign w:val="bottom"/>
            <w:tcBorders>
              <w:bottom w:val="single" w:sz="8" w:color="9A9A9A"/>
            </w:tcBorders>
          </w:tcPr>
          <w:p>
            <w:pPr>
              <w:spacing w:after="0"/>
              <w:rPr>
                <w:sz w:val="6"/>
                <w:szCs w:val="6"/>
                <w:color w:val="auto"/>
              </w:rPr>
            </w:pPr>
          </w:p>
        </w:tc>
        <w:tc>
          <w:tcPr>
            <w:tcW w:w="46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7280275</wp:posOffset>
            </wp:positionH>
            <wp:positionV relativeFrom="paragraph">
              <wp:posOffset>-23495</wp:posOffset>
            </wp:positionV>
            <wp:extent cx="31115" cy="368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2">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3">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0"/>
          </w:cols>
          <w:pgMar w:left="220" w:top="119" w:right="17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138"/>
        </w:trPr>
        <w:tc>
          <w:tcPr>
            <w:tcW w:w="1620" w:type="dxa"/>
            <w:vAlign w:val="bottom"/>
            <w:gridSpan w:val="3"/>
          </w:tcPr>
          <w:p>
            <w:pPr>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tc>
        <w:tc>
          <w:tcPr>
            <w:tcW w:w="13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620" w:type="dxa"/>
            <w:vAlign w:val="bottom"/>
            <w:gridSpan w:val="3"/>
          </w:tcPr>
          <w:p>
            <w:pPr>
              <w:ind w:left="320"/>
              <w:spacing w:after="0"/>
              <w:rPr>
                <w:sz w:val="20"/>
                <w:szCs w:val="20"/>
                <w:color w:val="auto"/>
              </w:rPr>
            </w:pPr>
            <w:r>
              <w:rPr>
                <w:rFonts w:ascii="Arial" w:cs="Arial" w:eastAsia="Arial" w:hAnsi="Arial"/>
                <w:sz w:val="12"/>
                <w:szCs w:val="12"/>
                <w:b w:val="1"/>
                <w:bCs w:val="1"/>
                <w:color w:val="auto"/>
              </w:rPr>
              <w:t>Exhibit No.</w:t>
            </w:r>
          </w:p>
        </w:tc>
        <w:tc>
          <w:tcPr>
            <w:tcW w:w="13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380" w:type="dxa"/>
            <w:vAlign w:val="bottom"/>
            <w:gridSpan w:val="18"/>
          </w:tcPr>
          <w:p>
            <w:pPr>
              <w:ind w:left="1140"/>
              <w:spacing w:after="0"/>
              <w:rPr>
                <w:sz w:val="20"/>
                <w:szCs w:val="20"/>
                <w:color w:val="auto"/>
              </w:rPr>
            </w:pPr>
            <w:r>
              <w:rPr>
                <w:rFonts w:ascii="Arial" w:cs="Arial" w:eastAsia="Arial" w:hAnsi="Arial"/>
                <w:sz w:val="12"/>
                <w:szCs w:val="12"/>
                <w:b w:val="1"/>
                <w:bCs w:val="1"/>
                <w:color w:val="auto"/>
              </w:rPr>
              <w:t>Description</w:t>
            </w:r>
          </w:p>
        </w:tc>
      </w:tr>
      <w:tr>
        <w:trPr>
          <w:trHeight w:val="120"/>
        </w:trPr>
        <w:tc>
          <w:tcPr>
            <w:tcW w:w="840" w:type="dxa"/>
            <w:vAlign w:val="bottom"/>
            <w:tcBorders>
              <w:top w:val="single" w:sz="8" w:color="auto"/>
            </w:tcBorders>
          </w:tcPr>
          <w:p>
            <w:pPr>
              <w:spacing w:after="0" w:line="120" w:lineRule="exact"/>
              <w:rPr>
                <w:sz w:val="20"/>
                <w:szCs w:val="20"/>
                <w:color w:val="auto"/>
              </w:rPr>
            </w:pPr>
            <w:r>
              <w:rPr>
                <w:rFonts w:ascii="Arial" w:cs="Arial" w:eastAsia="Arial" w:hAnsi="Arial"/>
                <w:sz w:val="12"/>
                <w:szCs w:val="12"/>
                <w:color w:val="auto"/>
              </w:rPr>
              <w:t>4.22</w:t>
            </w:r>
          </w:p>
        </w:tc>
        <w:tc>
          <w:tcPr>
            <w:tcW w:w="42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9880" w:type="dxa"/>
            <w:vAlign w:val="bottom"/>
            <w:tcBorders>
              <w:top w:val="single" w:sz="8" w:color="auto"/>
            </w:tcBorders>
            <w:gridSpan w:val="22"/>
          </w:tcPr>
          <w:p>
            <w:pPr>
              <w:spacing w:after="0" w:line="120" w:lineRule="exact"/>
              <w:rPr>
                <w:rFonts w:ascii="Arial" w:cs="Arial" w:eastAsia="Arial" w:hAnsi="Arial"/>
                <w:sz w:val="12"/>
                <w:szCs w:val="12"/>
                <w:color w:val="0000EE"/>
                <w:w w:val="94"/>
              </w:rPr>
            </w:pPr>
            <w:hyperlink r:id="rId164">
              <w:r>
                <w:rPr>
                  <w:rFonts w:ascii="Arial" w:cs="Arial" w:eastAsia="Arial" w:hAnsi="Arial"/>
                  <w:sz w:val="12"/>
                  <w:szCs w:val="12"/>
                  <w:color w:val="0000EE"/>
                  <w:w w:val="94"/>
                </w:rPr>
                <w:t>First Supplemental Indenture, dated as of May 9, 2017, to the indenture dated as of May 8, 2017, among Uniti Group LP, Uniti Fiber Holdings Inc., CSL Capital, LLC, Uniti Group Inc., the guarantors</w:t>
              </w:r>
            </w:hyperlink>
          </w:p>
        </w:tc>
      </w:tr>
      <w:tr>
        <w:trPr>
          <w:trHeight w:val="20"/>
        </w:trPr>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4"/>
        </w:trPr>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880" w:type="dxa"/>
            <w:vAlign w:val="bottom"/>
            <w:gridSpan w:val="22"/>
          </w:tcPr>
          <w:p>
            <w:pPr>
              <w:spacing w:after="0" w:line="124" w:lineRule="exact"/>
              <w:rPr>
                <w:rFonts w:ascii="Arial" w:cs="Arial" w:eastAsia="Arial" w:hAnsi="Arial"/>
                <w:sz w:val="12"/>
                <w:szCs w:val="12"/>
                <w:color w:val="0000EE"/>
                <w:w w:val="91"/>
              </w:rPr>
            </w:pPr>
            <w:hyperlink r:id="rId164">
              <w:r>
                <w:rPr>
                  <w:rFonts w:ascii="Arial" w:cs="Arial" w:eastAsia="Arial" w:hAnsi="Arial"/>
                  <w:sz w:val="12"/>
                  <w:szCs w:val="12"/>
                  <w:color w:val="0000EE"/>
                  <w:w w:val="91"/>
                </w:rPr>
                <w:t>named therein and Wells Fargo Bank, National Association, as trustee, governing the 7.125% Senior Notes due 2024 (incorporated by reference to Exhibit 4.7 to the Company’s Current Report on Form 8-</w:t>
              </w:r>
            </w:hyperlink>
          </w:p>
        </w:tc>
      </w:tr>
      <w:tr>
        <w:trPr>
          <w:trHeight w:val="124"/>
        </w:trPr>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500" w:type="dxa"/>
            <w:vAlign w:val="bottom"/>
            <w:tcBorders>
              <w:top w:val="single" w:sz="8" w:color="0000EE"/>
              <w:bottom w:val="single" w:sz="8" w:color="0000EE"/>
            </w:tcBorders>
            <w:gridSpan w:val="4"/>
          </w:tcPr>
          <w:p>
            <w:pPr>
              <w:spacing w:after="0" w:line="124" w:lineRule="exact"/>
              <w:rPr>
                <w:rFonts w:ascii="Arial" w:cs="Arial" w:eastAsia="Arial" w:hAnsi="Arial"/>
                <w:sz w:val="12"/>
                <w:szCs w:val="12"/>
                <w:color w:val="0000EE"/>
                <w:w w:val="91"/>
              </w:rPr>
            </w:pPr>
            <w:hyperlink r:id="rId164">
              <w:r>
                <w:rPr>
                  <w:rFonts w:ascii="Arial" w:cs="Arial" w:eastAsia="Arial" w:hAnsi="Arial"/>
                  <w:sz w:val="12"/>
                  <w:szCs w:val="12"/>
                  <w:color w:val="0000EE"/>
                  <w:w w:val="91"/>
                </w:rPr>
                <w:t>K dated and filed with the SEC as of May 9, 2017 (File No. 001-36708))</w:t>
              </w:r>
            </w:hyperlink>
          </w:p>
        </w:tc>
        <w:tc>
          <w:tcPr>
            <w:tcW w:w="6300" w:type="dxa"/>
            <w:vAlign w:val="bottom"/>
            <w:tcBorders>
              <w:top w:val="single" w:sz="8" w:color="0000EE"/>
            </w:tcBorders>
            <w:gridSpan w:val="16"/>
          </w:tcPr>
          <w:p>
            <w:pPr>
              <w:spacing w:after="0"/>
              <w:rPr>
                <w:sz w:val="10"/>
                <w:szCs w:val="10"/>
                <w:color w:val="auto"/>
              </w:rPr>
            </w:pPr>
          </w:p>
        </w:tc>
        <w:tc>
          <w:tcPr>
            <w:tcW w:w="80" w:type="dxa"/>
            <w:vAlign w:val="bottom"/>
            <w:gridSpan w:val="2"/>
          </w:tcPr>
          <w:p>
            <w:pPr>
              <w:spacing w:after="0"/>
              <w:rPr>
                <w:sz w:val="10"/>
                <w:szCs w:val="10"/>
                <w:color w:val="auto"/>
              </w:rPr>
            </w:pPr>
          </w:p>
        </w:tc>
      </w:tr>
      <w:tr>
        <w:trPr>
          <w:trHeight w:val="142"/>
        </w:trPr>
        <w:tc>
          <w:tcPr>
            <w:tcW w:w="840" w:type="dxa"/>
            <w:vAlign w:val="bottom"/>
          </w:tcPr>
          <w:p>
            <w:pPr>
              <w:spacing w:after="0"/>
              <w:rPr>
                <w:sz w:val="20"/>
                <w:szCs w:val="20"/>
                <w:color w:val="auto"/>
              </w:rPr>
            </w:pPr>
            <w:r>
              <w:rPr>
                <w:rFonts w:ascii="Arial" w:cs="Arial" w:eastAsia="Arial" w:hAnsi="Arial"/>
                <w:sz w:val="12"/>
                <w:szCs w:val="12"/>
                <w:color w:val="auto"/>
              </w:rPr>
              <w:t>4.23</w:t>
            </w: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740" w:type="dxa"/>
            <w:vAlign w:val="bottom"/>
            <w:tcBorders>
              <w:bottom w:val="single" w:sz="8" w:color="0000EE"/>
            </w:tcBorders>
            <w:gridSpan w:val="17"/>
          </w:tcPr>
          <w:p>
            <w:pPr>
              <w:spacing w:after="0"/>
              <w:rPr>
                <w:rFonts w:ascii="Arial" w:cs="Arial" w:eastAsia="Arial" w:hAnsi="Arial"/>
                <w:sz w:val="12"/>
                <w:szCs w:val="12"/>
                <w:color w:val="0000EE"/>
                <w:w w:val="91"/>
              </w:rPr>
            </w:pPr>
            <w:hyperlink r:id="rId165">
              <w:r>
                <w:rPr>
                  <w:rFonts w:ascii="Arial" w:cs="Arial" w:eastAsia="Arial" w:hAnsi="Arial"/>
                  <w:sz w:val="12"/>
                  <w:szCs w:val="12"/>
                  <w:color w:val="0000EE"/>
                  <w:w w:val="91"/>
                </w:rPr>
                <w:t>Second Supplemental Indenture, dated as of May 9, 2017, to the indenture dated as of May 8, 2017, among Uniti Group LP, Uniti Fiber Holdings Inc., CSL Capital, LLC, Uniti Group Inc., the guarantors</w:t>
              </w:r>
            </w:hyperlink>
          </w:p>
        </w:tc>
        <w:tc>
          <w:tcPr>
            <w:tcW w:w="140" w:type="dxa"/>
            <w:vAlign w:val="bottom"/>
            <w:gridSpan w:val="5"/>
          </w:tcPr>
          <w:p>
            <w:pPr>
              <w:spacing w:after="0"/>
              <w:rPr>
                <w:sz w:val="12"/>
                <w:szCs w:val="12"/>
                <w:color w:val="auto"/>
              </w:rPr>
            </w:pPr>
          </w:p>
        </w:tc>
      </w:tr>
      <w:tr>
        <w:trPr>
          <w:trHeight w:val="124"/>
        </w:trPr>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880" w:type="dxa"/>
            <w:vAlign w:val="bottom"/>
            <w:gridSpan w:val="22"/>
          </w:tcPr>
          <w:p>
            <w:pPr>
              <w:spacing w:after="0" w:line="124" w:lineRule="exact"/>
              <w:rPr>
                <w:rFonts w:ascii="Arial" w:cs="Arial" w:eastAsia="Arial" w:hAnsi="Arial"/>
                <w:sz w:val="12"/>
                <w:szCs w:val="12"/>
                <w:color w:val="0000EE"/>
                <w:w w:val="91"/>
              </w:rPr>
            </w:pPr>
            <w:hyperlink r:id="rId165">
              <w:r>
                <w:rPr>
                  <w:rFonts w:ascii="Arial" w:cs="Arial" w:eastAsia="Arial" w:hAnsi="Arial"/>
                  <w:sz w:val="12"/>
                  <w:szCs w:val="12"/>
                  <w:color w:val="0000EE"/>
                  <w:w w:val="91"/>
                </w:rPr>
                <w:t>named therein and Wells Fargo Bank, National Association, as trustee, governing the 7.125% Senior Notes due 2024 (incorporated by reference to Exhibit 4.8 to the Company’s Current Report on Form 8-</w:t>
              </w:r>
            </w:hyperlink>
          </w:p>
        </w:tc>
      </w:tr>
      <w:tr>
        <w:trPr>
          <w:trHeight w:val="124"/>
        </w:trPr>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500" w:type="dxa"/>
            <w:vAlign w:val="bottom"/>
            <w:tcBorders>
              <w:top w:val="single" w:sz="8" w:color="0000EE"/>
              <w:bottom w:val="single" w:sz="8" w:color="0000EE"/>
            </w:tcBorders>
            <w:gridSpan w:val="4"/>
          </w:tcPr>
          <w:p>
            <w:pPr>
              <w:spacing w:after="0" w:line="124" w:lineRule="exact"/>
              <w:rPr>
                <w:rFonts w:ascii="Arial" w:cs="Arial" w:eastAsia="Arial" w:hAnsi="Arial"/>
                <w:sz w:val="12"/>
                <w:szCs w:val="12"/>
                <w:color w:val="0000EE"/>
                <w:w w:val="91"/>
              </w:rPr>
            </w:pPr>
            <w:hyperlink r:id="rId165">
              <w:r>
                <w:rPr>
                  <w:rFonts w:ascii="Arial" w:cs="Arial" w:eastAsia="Arial" w:hAnsi="Arial"/>
                  <w:sz w:val="12"/>
                  <w:szCs w:val="12"/>
                  <w:color w:val="0000EE"/>
                  <w:w w:val="91"/>
                </w:rPr>
                <w:t>K dated and filed with the SEC as of May 9, 2017 (File No. 001-36708))</w:t>
              </w:r>
            </w:hyperlink>
          </w:p>
        </w:tc>
        <w:tc>
          <w:tcPr>
            <w:tcW w:w="6300" w:type="dxa"/>
            <w:vAlign w:val="bottom"/>
            <w:tcBorders>
              <w:top w:val="single" w:sz="8" w:color="0000EE"/>
            </w:tcBorders>
            <w:gridSpan w:val="16"/>
          </w:tcPr>
          <w:p>
            <w:pPr>
              <w:spacing w:after="0"/>
              <w:rPr>
                <w:sz w:val="10"/>
                <w:szCs w:val="10"/>
                <w:color w:val="auto"/>
              </w:rPr>
            </w:pPr>
          </w:p>
        </w:tc>
        <w:tc>
          <w:tcPr>
            <w:tcW w:w="80" w:type="dxa"/>
            <w:vAlign w:val="bottom"/>
            <w:gridSpan w:val="2"/>
          </w:tcPr>
          <w:p>
            <w:pPr>
              <w:spacing w:after="0"/>
              <w:rPr>
                <w:sz w:val="10"/>
                <w:szCs w:val="10"/>
                <w:color w:val="auto"/>
              </w:rPr>
            </w:pPr>
          </w:p>
        </w:tc>
      </w:tr>
      <w:tr>
        <w:trPr>
          <w:trHeight w:val="142"/>
        </w:trPr>
        <w:tc>
          <w:tcPr>
            <w:tcW w:w="840" w:type="dxa"/>
            <w:vAlign w:val="bottom"/>
          </w:tcPr>
          <w:p>
            <w:pPr>
              <w:spacing w:after="0"/>
              <w:rPr>
                <w:sz w:val="20"/>
                <w:szCs w:val="20"/>
                <w:color w:val="auto"/>
              </w:rPr>
            </w:pPr>
            <w:r>
              <w:rPr>
                <w:rFonts w:ascii="Arial" w:cs="Arial" w:eastAsia="Arial" w:hAnsi="Arial"/>
                <w:sz w:val="12"/>
                <w:szCs w:val="12"/>
                <w:color w:val="auto"/>
              </w:rPr>
              <w:t>10.1</w:t>
            </w: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780" w:type="dxa"/>
            <w:vAlign w:val="bottom"/>
            <w:tcBorders>
              <w:bottom w:val="single" w:sz="8" w:color="0000EE"/>
            </w:tcBorders>
            <w:gridSpan w:val="19"/>
          </w:tcPr>
          <w:p>
            <w:pPr>
              <w:spacing w:after="0"/>
              <w:rPr>
                <w:rFonts w:ascii="Arial" w:cs="Arial" w:eastAsia="Arial" w:hAnsi="Arial"/>
                <w:sz w:val="12"/>
                <w:szCs w:val="12"/>
                <w:color w:val="0000EE"/>
                <w:w w:val="90"/>
              </w:rPr>
            </w:pPr>
            <w:hyperlink r:id="rId166">
              <w:r>
                <w:rPr>
                  <w:rFonts w:ascii="Arial" w:cs="Arial" w:eastAsia="Arial" w:hAnsi="Arial"/>
                  <w:sz w:val="12"/>
                  <w:szCs w:val="12"/>
                  <w:color w:val="0000EE"/>
                  <w:w w:val="90"/>
                </w:rPr>
                <w:t>Master Lease, entered into as of April 24, 2015, by and among CSL National, L.P. and the other entities listed therein, as Landlord, and Windstream Holdings, Inc., as Tenant (incorporated by reference to</w:t>
              </w:r>
            </w:hyperlink>
          </w:p>
        </w:tc>
        <w:tc>
          <w:tcPr>
            <w:tcW w:w="100" w:type="dxa"/>
            <w:vAlign w:val="bottom"/>
            <w:gridSpan w:val="3"/>
          </w:tcPr>
          <w:p>
            <w:pPr>
              <w:spacing w:after="0"/>
              <w:rPr>
                <w:sz w:val="12"/>
                <w:szCs w:val="12"/>
                <w:color w:val="auto"/>
              </w:rPr>
            </w:pPr>
          </w:p>
        </w:tc>
      </w:tr>
      <w:tr>
        <w:trPr>
          <w:trHeight w:val="124"/>
        </w:trPr>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880" w:type="dxa"/>
            <w:vAlign w:val="bottom"/>
            <w:gridSpan w:val="22"/>
          </w:tcPr>
          <w:p>
            <w:pPr>
              <w:spacing w:after="0" w:line="124" w:lineRule="exact"/>
              <w:rPr>
                <w:rFonts w:ascii="Arial" w:cs="Arial" w:eastAsia="Arial" w:hAnsi="Arial"/>
                <w:sz w:val="12"/>
                <w:szCs w:val="12"/>
                <w:color w:val="0000EE"/>
              </w:rPr>
            </w:pPr>
            <w:hyperlink r:id="rId166">
              <w:r>
                <w:rPr>
                  <w:rFonts w:ascii="Arial" w:cs="Arial" w:eastAsia="Arial" w:hAnsi="Arial"/>
                  <w:sz w:val="12"/>
                  <w:szCs w:val="12"/>
                  <w:color w:val="0000EE"/>
                </w:rPr>
                <w:t>Exhibit 10.1 to the Company’s Current Report on Form 8-K dated and filed with the SEC as of April 27, 2015 (File No. 001-36708))</w:t>
              </w:r>
            </w:hyperlink>
          </w:p>
        </w:tc>
      </w:tr>
      <w:tr>
        <w:trPr>
          <w:trHeight w:val="20"/>
        </w:trPr>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2"/>
        </w:trPr>
        <w:tc>
          <w:tcPr>
            <w:tcW w:w="840" w:type="dxa"/>
            <w:vAlign w:val="bottom"/>
          </w:tcPr>
          <w:p>
            <w:pPr>
              <w:spacing w:after="0"/>
              <w:rPr>
                <w:sz w:val="20"/>
                <w:szCs w:val="20"/>
                <w:color w:val="auto"/>
              </w:rPr>
            </w:pPr>
            <w:r>
              <w:rPr>
                <w:rFonts w:ascii="Arial" w:cs="Arial" w:eastAsia="Arial" w:hAnsi="Arial"/>
                <w:sz w:val="12"/>
                <w:szCs w:val="12"/>
                <w:color w:val="auto"/>
              </w:rPr>
              <w:t>10.2</w:t>
            </w: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740" w:type="dxa"/>
            <w:vAlign w:val="bottom"/>
            <w:tcBorders>
              <w:bottom w:val="single" w:sz="8" w:color="0000EE"/>
            </w:tcBorders>
            <w:gridSpan w:val="17"/>
          </w:tcPr>
          <w:p>
            <w:pPr>
              <w:spacing w:after="0"/>
              <w:rPr>
                <w:rFonts w:ascii="Arial" w:cs="Arial" w:eastAsia="Arial" w:hAnsi="Arial"/>
                <w:sz w:val="12"/>
                <w:szCs w:val="12"/>
                <w:color w:val="0000EE"/>
                <w:w w:val="91"/>
              </w:rPr>
            </w:pPr>
            <w:hyperlink r:id="rId167">
              <w:r>
                <w:rPr>
                  <w:rFonts w:ascii="Arial" w:cs="Arial" w:eastAsia="Arial" w:hAnsi="Arial"/>
                  <w:sz w:val="12"/>
                  <w:szCs w:val="12"/>
                  <w:color w:val="0000EE"/>
                  <w:w w:val="91"/>
                </w:rPr>
                <w:t>Tax Matters Agreement, entered into as of April 24, 2015, by and among Windstream Holdings, Inc., Windstream Services, LLC and Communications Sales &amp; Leasing, Inc. (incorporated by reference to</w:t>
              </w:r>
            </w:hyperlink>
          </w:p>
        </w:tc>
        <w:tc>
          <w:tcPr>
            <w:tcW w:w="140" w:type="dxa"/>
            <w:vAlign w:val="bottom"/>
            <w:gridSpan w:val="5"/>
          </w:tcPr>
          <w:p>
            <w:pPr>
              <w:spacing w:after="0"/>
              <w:rPr>
                <w:sz w:val="12"/>
                <w:szCs w:val="12"/>
                <w:color w:val="auto"/>
              </w:rPr>
            </w:pPr>
          </w:p>
        </w:tc>
      </w:tr>
      <w:tr>
        <w:trPr>
          <w:trHeight w:val="124"/>
        </w:trPr>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880" w:type="dxa"/>
            <w:vAlign w:val="bottom"/>
            <w:gridSpan w:val="22"/>
          </w:tcPr>
          <w:p>
            <w:pPr>
              <w:spacing w:after="0" w:line="124" w:lineRule="exact"/>
              <w:rPr>
                <w:rFonts w:ascii="Arial" w:cs="Arial" w:eastAsia="Arial" w:hAnsi="Arial"/>
                <w:sz w:val="12"/>
                <w:szCs w:val="12"/>
                <w:color w:val="0000EE"/>
              </w:rPr>
            </w:pPr>
            <w:hyperlink r:id="rId167">
              <w:r>
                <w:rPr>
                  <w:rFonts w:ascii="Arial" w:cs="Arial" w:eastAsia="Arial" w:hAnsi="Arial"/>
                  <w:sz w:val="12"/>
                  <w:szCs w:val="12"/>
                  <w:color w:val="0000EE"/>
                </w:rPr>
                <w:t>Exhibit 10.2 to the Company’s Current Report on Form 8-K dated and filed with the SEC as of April 27, 2015 (File No. 001-36708))</w:t>
              </w:r>
            </w:hyperlink>
          </w:p>
        </w:tc>
      </w:tr>
      <w:tr>
        <w:trPr>
          <w:trHeight w:val="20"/>
        </w:trPr>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2"/>
        </w:trPr>
        <w:tc>
          <w:tcPr>
            <w:tcW w:w="840" w:type="dxa"/>
            <w:vAlign w:val="bottom"/>
          </w:tcPr>
          <w:p>
            <w:pPr>
              <w:spacing w:after="0"/>
              <w:rPr>
                <w:sz w:val="20"/>
                <w:szCs w:val="20"/>
                <w:color w:val="auto"/>
              </w:rPr>
            </w:pPr>
            <w:r>
              <w:rPr>
                <w:rFonts w:ascii="Arial" w:cs="Arial" w:eastAsia="Arial" w:hAnsi="Arial"/>
                <w:sz w:val="12"/>
                <w:szCs w:val="12"/>
                <w:color w:val="auto"/>
              </w:rPr>
              <w:t>10.3</w:t>
            </w: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500" w:type="dxa"/>
            <w:vAlign w:val="bottom"/>
            <w:tcBorders>
              <w:bottom w:val="single" w:sz="8" w:color="0000EE"/>
            </w:tcBorders>
            <w:gridSpan w:val="11"/>
          </w:tcPr>
          <w:p>
            <w:pPr>
              <w:spacing w:after="0"/>
              <w:rPr>
                <w:rFonts w:ascii="Arial" w:cs="Arial" w:eastAsia="Arial" w:hAnsi="Arial"/>
                <w:sz w:val="12"/>
                <w:szCs w:val="12"/>
                <w:color w:val="0000EE"/>
                <w:w w:val="91"/>
              </w:rPr>
            </w:pPr>
            <w:hyperlink r:id="rId168">
              <w:r>
                <w:rPr>
                  <w:rFonts w:ascii="Arial" w:cs="Arial" w:eastAsia="Arial" w:hAnsi="Arial"/>
                  <w:sz w:val="12"/>
                  <w:szCs w:val="12"/>
                  <w:color w:val="0000EE"/>
                  <w:w w:val="91"/>
                </w:rPr>
                <w:t>Transition Services Agreement, dated April 24, 2015, by and between Windstream Services, LLC and CSL National, L.P., on behalf of itself and its Affiliates, including Talk America Services, LLC</w:t>
              </w:r>
            </w:hyperlink>
          </w:p>
        </w:tc>
        <w:tc>
          <w:tcPr>
            <w:tcW w:w="380" w:type="dxa"/>
            <w:vAlign w:val="bottom"/>
            <w:gridSpan w:val="11"/>
          </w:tcPr>
          <w:p>
            <w:pPr>
              <w:spacing w:after="0"/>
              <w:rPr>
                <w:sz w:val="12"/>
                <w:szCs w:val="12"/>
                <w:color w:val="auto"/>
              </w:rPr>
            </w:pPr>
          </w:p>
        </w:tc>
      </w:tr>
      <w:tr>
        <w:trPr>
          <w:trHeight w:val="124"/>
        </w:trPr>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820" w:type="dxa"/>
            <w:vAlign w:val="bottom"/>
            <w:tcBorders>
              <w:bottom w:val="single" w:sz="8" w:color="0000EE"/>
            </w:tcBorders>
            <w:gridSpan w:val="8"/>
          </w:tcPr>
          <w:p>
            <w:pPr>
              <w:spacing w:after="0" w:line="124" w:lineRule="exact"/>
              <w:rPr>
                <w:rFonts w:ascii="Arial" w:cs="Arial" w:eastAsia="Arial" w:hAnsi="Arial"/>
                <w:sz w:val="12"/>
                <w:szCs w:val="12"/>
                <w:color w:val="0000EE"/>
                <w:w w:val="91"/>
              </w:rPr>
            </w:pPr>
            <w:hyperlink r:id="rId168">
              <w:r>
                <w:rPr>
                  <w:rFonts w:ascii="Arial" w:cs="Arial" w:eastAsia="Arial" w:hAnsi="Arial"/>
                  <w:sz w:val="12"/>
                  <w:szCs w:val="12"/>
                  <w:color w:val="0000EE"/>
                  <w:w w:val="91"/>
                </w:rPr>
                <w:t>(incorporated by reference to Exhibit 10.3 to the Company’s Current Report on Form 8-K dated and filed with the SEC as of April 27, 2015 (File No. 001-36708))</w:t>
              </w:r>
            </w:hyperlink>
          </w:p>
        </w:tc>
        <w:tc>
          <w:tcPr>
            <w:tcW w:w="2060" w:type="dxa"/>
            <w:vAlign w:val="bottom"/>
            <w:gridSpan w:val="14"/>
          </w:tcPr>
          <w:p>
            <w:pPr>
              <w:spacing w:after="0"/>
              <w:rPr>
                <w:sz w:val="10"/>
                <w:szCs w:val="10"/>
                <w:color w:val="auto"/>
              </w:rPr>
            </w:pPr>
          </w:p>
        </w:tc>
      </w:tr>
      <w:tr>
        <w:trPr>
          <w:trHeight w:val="142"/>
        </w:trPr>
        <w:tc>
          <w:tcPr>
            <w:tcW w:w="840" w:type="dxa"/>
            <w:vAlign w:val="bottom"/>
          </w:tcPr>
          <w:p>
            <w:pPr>
              <w:spacing w:after="0"/>
              <w:rPr>
                <w:sz w:val="20"/>
                <w:szCs w:val="20"/>
                <w:color w:val="auto"/>
              </w:rPr>
            </w:pPr>
            <w:r>
              <w:rPr>
                <w:rFonts w:ascii="Arial" w:cs="Arial" w:eastAsia="Arial" w:hAnsi="Arial"/>
                <w:sz w:val="12"/>
                <w:szCs w:val="12"/>
                <w:color w:val="auto"/>
              </w:rPr>
              <w:t>10.4</w:t>
            </w: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80" w:type="dxa"/>
            <w:vAlign w:val="bottom"/>
            <w:gridSpan w:val="22"/>
          </w:tcPr>
          <w:p>
            <w:pPr>
              <w:spacing w:after="0"/>
              <w:rPr>
                <w:rFonts w:ascii="Arial" w:cs="Arial" w:eastAsia="Arial" w:hAnsi="Arial"/>
                <w:sz w:val="12"/>
                <w:szCs w:val="12"/>
                <w:color w:val="0000EE"/>
                <w:w w:val="93"/>
              </w:rPr>
            </w:pPr>
            <w:hyperlink r:id="rId169">
              <w:r>
                <w:rPr>
                  <w:rFonts w:ascii="Arial" w:cs="Arial" w:eastAsia="Arial" w:hAnsi="Arial"/>
                  <w:sz w:val="12"/>
                  <w:szCs w:val="12"/>
                  <w:color w:val="0000EE"/>
                  <w:w w:val="93"/>
                </w:rPr>
                <w:t>Intellectual Property Matters Agreement, dated as of April 24, 2015, by and among Windstream Services, LLC, individually and on behalf of its subsidiaries that may hold certain intellectual property as</w:t>
              </w:r>
            </w:hyperlink>
          </w:p>
        </w:tc>
      </w:tr>
      <w:tr>
        <w:trPr>
          <w:trHeight w:val="20"/>
        </w:trPr>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316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4"/>
        </w:trPr>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860" w:type="dxa"/>
            <w:vAlign w:val="bottom"/>
            <w:tcBorders>
              <w:bottom w:val="single" w:sz="8" w:color="0000EE"/>
            </w:tcBorders>
            <w:gridSpan w:val="21"/>
          </w:tcPr>
          <w:p>
            <w:pPr>
              <w:spacing w:after="0" w:line="124" w:lineRule="exact"/>
              <w:rPr>
                <w:rFonts w:ascii="Arial" w:cs="Arial" w:eastAsia="Arial" w:hAnsi="Arial"/>
                <w:sz w:val="12"/>
                <w:szCs w:val="12"/>
                <w:color w:val="0000EE"/>
                <w:w w:val="91"/>
              </w:rPr>
            </w:pPr>
            <w:hyperlink r:id="rId169">
              <w:r>
                <w:rPr>
                  <w:rFonts w:ascii="Arial" w:cs="Arial" w:eastAsia="Arial" w:hAnsi="Arial"/>
                  <w:sz w:val="12"/>
                  <w:szCs w:val="12"/>
                  <w:color w:val="0000EE"/>
                  <w:w w:val="91"/>
                </w:rPr>
                <w:t>described therein, CSL National, LP, and Talk America Services, LLC (incorporated by reference to Exhibit 10.5 to the Company’s Current Report on Form 8-K dated and filed with the SEC as of April 27,</w:t>
              </w:r>
            </w:hyperlink>
          </w:p>
        </w:tc>
        <w:tc>
          <w:tcPr>
            <w:tcW w:w="20" w:type="dxa"/>
            <w:vAlign w:val="bottom"/>
          </w:tcPr>
          <w:p>
            <w:pPr>
              <w:spacing w:after="0"/>
              <w:rPr>
                <w:sz w:val="10"/>
                <w:szCs w:val="10"/>
                <w:color w:val="auto"/>
              </w:rPr>
            </w:pPr>
          </w:p>
        </w:tc>
      </w:tr>
      <w:tr>
        <w:trPr>
          <w:trHeight w:val="124"/>
        </w:trPr>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340" w:type="dxa"/>
            <w:vAlign w:val="bottom"/>
            <w:tcBorders>
              <w:bottom w:val="single" w:sz="8" w:color="0000EE"/>
            </w:tcBorders>
          </w:tcPr>
          <w:p>
            <w:pPr>
              <w:spacing w:after="0" w:line="124" w:lineRule="exact"/>
              <w:rPr>
                <w:rFonts w:ascii="Arial" w:cs="Arial" w:eastAsia="Arial" w:hAnsi="Arial"/>
                <w:sz w:val="12"/>
                <w:szCs w:val="12"/>
                <w:color w:val="0000EE"/>
                <w:w w:val="91"/>
              </w:rPr>
            </w:pPr>
            <w:hyperlink r:id="rId169">
              <w:r>
                <w:rPr>
                  <w:rFonts w:ascii="Arial" w:cs="Arial" w:eastAsia="Arial" w:hAnsi="Arial"/>
                  <w:sz w:val="12"/>
                  <w:szCs w:val="12"/>
                  <w:color w:val="0000EE"/>
                  <w:w w:val="91"/>
                </w:rPr>
                <w:t>2015 (File No. 001-36708))</w:t>
              </w:r>
            </w:hyperlink>
          </w:p>
        </w:tc>
        <w:tc>
          <w:tcPr>
            <w:tcW w:w="8540" w:type="dxa"/>
            <w:vAlign w:val="bottom"/>
            <w:gridSpan w:val="21"/>
          </w:tcPr>
          <w:p>
            <w:pPr>
              <w:spacing w:after="0"/>
              <w:rPr>
                <w:sz w:val="10"/>
                <w:szCs w:val="10"/>
                <w:color w:val="auto"/>
              </w:rPr>
            </w:pPr>
          </w:p>
        </w:tc>
      </w:tr>
      <w:tr>
        <w:trPr>
          <w:trHeight w:val="142"/>
        </w:trPr>
        <w:tc>
          <w:tcPr>
            <w:tcW w:w="840" w:type="dxa"/>
            <w:vAlign w:val="bottom"/>
          </w:tcPr>
          <w:p>
            <w:pPr>
              <w:spacing w:after="0"/>
              <w:rPr>
                <w:sz w:val="20"/>
                <w:szCs w:val="20"/>
                <w:color w:val="auto"/>
              </w:rPr>
            </w:pPr>
            <w:r>
              <w:rPr>
                <w:rFonts w:ascii="Arial" w:cs="Arial" w:eastAsia="Arial" w:hAnsi="Arial"/>
                <w:sz w:val="12"/>
                <w:szCs w:val="12"/>
                <w:color w:val="auto"/>
              </w:rPr>
              <w:t>10.5</w:t>
            </w: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640" w:type="dxa"/>
            <w:vAlign w:val="bottom"/>
            <w:tcBorders>
              <w:bottom w:val="single" w:sz="8" w:color="0000EE"/>
            </w:tcBorders>
            <w:gridSpan w:val="14"/>
          </w:tcPr>
          <w:p>
            <w:pPr>
              <w:spacing w:after="0"/>
              <w:rPr>
                <w:rFonts w:ascii="Arial" w:cs="Arial" w:eastAsia="Arial" w:hAnsi="Arial"/>
                <w:sz w:val="12"/>
                <w:szCs w:val="12"/>
                <w:color w:val="0000EE"/>
                <w:w w:val="91"/>
              </w:rPr>
            </w:pPr>
            <w:hyperlink r:id="rId170">
              <w:r>
                <w:rPr>
                  <w:rFonts w:ascii="Arial" w:cs="Arial" w:eastAsia="Arial" w:hAnsi="Arial"/>
                  <w:sz w:val="12"/>
                  <w:szCs w:val="12"/>
                  <w:color w:val="0000EE"/>
                  <w:w w:val="91"/>
                </w:rPr>
                <w:t>Wholesale Master Services Agreement, dated April 24, 2015, between Windstream Communications, Inc. and Talk America Services, LLC (incorporated by reference to Exhibit 10.6 to the Company’s</w:t>
              </w:r>
            </w:hyperlink>
          </w:p>
        </w:tc>
        <w:tc>
          <w:tcPr>
            <w:tcW w:w="240" w:type="dxa"/>
            <w:vAlign w:val="bottom"/>
            <w:gridSpan w:val="8"/>
          </w:tcPr>
          <w:p>
            <w:pPr>
              <w:spacing w:after="0"/>
              <w:rPr>
                <w:sz w:val="12"/>
                <w:szCs w:val="12"/>
                <w:color w:val="auto"/>
              </w:rPr>
            </w:pPr>
          </w:p>
        </w:tc>
      </w:tr>
      <w:tr>
        <w:trPr>
          <w:trHeight w:val="124"/>
        </w:trPr>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880" w:type="dxa"/>
            <w:vAlign w:val="bottom"/>
            <w:gridSpan w:val="22"/>
          </w:tcPr>
          <w:p>
            <w:pPr>
              <w:spacing w:after="0" w:line="124" w:lineRule="exact"/>
              <w:rPr>
                <w:rFonts w:ascii="Arial" w:cs="Arial" w:eastAsia="Arial" w:hAnsi="Arial"/>
                <w:sz w:val="12"/>
                <w:szCs w:val="12"/>
                <w:color w:val="0000EE"/>
              </w:rPr>
            </w:pPr>
            <w:hyperlink r:id="rId170">
              <w:r>
                <w:rPr>
                  <w:rFonts w:ascii="Arial" w:cs="Arial" w:eastAsia="Arial" w:hAnsi="Arial"/>
                  <w:sz w:val="12"/>
                  <w:szCs w:val="12"/>
                  <w:color w:val="0000EE"/>
                </w:rPr>
                <w:t>Current Report on Form 8-K dated and filed with the SEC as of April 27, 2015 (File No. 001-36708))</w:t>
              </w:r>
            </w:hyperlink>
          </w:p>
        </w:tc>
      </w:tr>
      <w:tr>
        <w:trPr>
          <w:trHeight w:val="20"/>
        </w:trPr>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78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1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42"/>
        </w:trPr>
        <w:tc>
          <w:tcPr>
            <w:tcW w:w="840" w:type="dxa"/>
            <w:vAlign w:val="bottom"/>
          </w:tcPr>
          <w:p>
            <w:pPr>
              <w:spacing w:after="0"/>
              <w:rPr>
                <w:sz w:val="20"/>
                <w:szCs w:val="20"/>
                <w:color w:val="auto"/>
              </w:rPr>
            </w:pPr>
            <w:r>
              <w:rPr>
                <w:rFonts w:ascii="Arial" w:cs="Arial" w:eastAsia="Arial" w:hAnsi="Arial"/>
                <w:sz w:val="12"/>
                <w:szCs w:val="12"/>
                <w:color w:val="auto"/>
              </w:rPr>
              <w:t>10.6</w:t>
            </w: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600" w:type="dxa"/>
            <w:vAlign w:val="bottom"/>
            <w:tcBorders>
              <w:bottom w:val="single" w:sz="8" w:color="0000EE"/>
            </w:tcBorders>
            <w:gridSpan w:val="12"/>
          </w:tcPr>
          <w:p>
            <w:pPr>
              <w:spacing w:after="0"/>
              <w:rPr>
                <w:rFonts w:ascii="Arial" w:cs="Arial" w:eastAsia="Arial" w:hAnsi="Arial"/>
                <w:sz w:val="12"/>
                <w:szCs w:val="12"/>
                <w:color w:val="0000EE"/>
                <w:w w:val="90"/>
              </w:rPr>
            </w:pPr>
            <w:hyperlink r:id="rId171">
              <w:r>
                <w:rPr>
                  <w:rFonts w:ascii="Arial" w:cs="Arial" w:eastAsia="Arial" w:hAnsi="Arial"/>
                  <w:sz w:val="12"/>
                  <w:szCs w:val="12"/>
                  <w:color w:val="0000EE"/>
                  <w:w w:val="90"/>
                </w:rPr>
                <w:t>Master Services Agreement, dated as of April 24, 2015, by and between Windstream Services, LLC, on behalf of itself and its competitive local exchange and interexchange carrier affiliates, and Talk</w:t>
              </w:r>
            </w:hyperlink>
          </w:p>
        </w:tc>
        <w:tc>
          <w:tcPr>
            <w:tcW w:w="280" w:type="dxa"/>
            <w:vAlign w:val="bottom"/>
            <w:gridSpan w:val="10"/>
          </w:tcPr>
          <w:p>
            <w:pPr>
              <w:spacing w:after="0"/>
              <w:rPr>
                <w:sz w:val="12"/>
                <w:szCs w:val="12"/>
                <w:color w:val="auto"/>
              </w:rPr>
            </w:pPr>
          </w:p>
        </w:tc>
      </w:tr>
      <w:tr>
        <w:trPr>
          <w:trHeight w:val="124"/>
        </w:trPr>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980" w:type="dxa"/>
            <w:vAlign w:val="bottom"/>
            <w:tcBorders>
              <w:bottom w:val="single" w:sz="8" w:color="0000EE"/>
            </w:tcBorders>
            <w:gridSpan w:val="9"/>
          </w:tcPr>
          <w:p>
            <w:pPr>
              <w:spacing w:after="0" w:line="124" w:lineRule="exact"/>
              <w:rPr>
                <w:rFonts w:ascii="Arial" w:cs="Arial" w:eastAsia="Arial" w:hAnsi="Arial"/>
                <w:sz w:val="12"/>
                <w:szCs w:val="12"/>
                <w:color w:val="0000EE"/>
                <w:w w:val="92"/>
              </w:rPr>
            </w:pPr>
            <w:hyperlink r:id="rId171">
              <w:r>
                <w:rPr>
                  <w:rFonts w:ascii="Arial" w:cs="Arial" w:eastAsia="Arial" w:hAnsi="Arial"/>
                  <w:sz w:val="12"/>
                  <w:szCs w:val="12"/>
                  <w:color w:val="0000EE"/>
                  <w:w w:val="92"/>
                </w:rPr>
                <w:t>America Services, LLC (incorporated by reference to Exhibit 10.8 to the Company’s Current Report on Form 8-K dated and filed with the SEC as of April 27, 2015 (File No. 001-36708))</w:t>
              </w:r>
            </w:hyperlink>
          </w:p>
        </w:tc>
        <w:tc>
          <w:tcPr>
            <w:tcW w:w="900" w:type="dxa"/>
            <w:vAlign w:val="bottom"/>
            <w:gridSpan w:val="13"/>
          </w:tcPr>
          <w:p>
            <w:pPr>
              <w:spacing w:after="0"/>
              <w:rPr>
                <w:sz w:val="10"/>
                <w:szCs w:val="10"/>
                <w:color w:val="auto"/>
              </w:rPr>
            </w:pPr>
          </w:p>
        </w:tc>
      </w:tr>
      <w:tr>
        <w:trPr>
          <w:trHeight w:val="142"/>
        </w:trPr>
        <w:tc>
          <w:tcPr>
            <w:tcW w:w="840" w:type="dxa"/>
            <w:vAlign w:val="bottom"/>
          </w:tcPr>
          <w:p>
            <w:pPr>
              <w:spacing w:after="0"/>
              <w:rPr>
                <w:sz w:val="20"/>
                <w:szCs w:val="20"/>
                <w:color w:val="auto"/>
              </w:rPr>
            </w:pPr>
            <w:r>
              <w:rPr>
                <w:rFonts w:ascii="Arial" w:cs="Arial" w:eastAsia="Arial" w:hAnsi="Arial"/>
                <w:sz w:val="12"/>
                <w:szCs w:val="12"/>
                <w:color w:val="auto"/>
              </w:rPr>
              <w:t>10.7</w:t>
            </w: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760" w:type="dxa"/>
            <w:vAlign w:val="bottom"/>
            <w:tcBorders>
              <w:bottom w:val="single" w:sz="8" w:color="0000EE"/>
            </w:tcBorders>
            <w:gridSpan w:val="18"/>
          </w:tcPr>
          <w:p>
            <w:pPr>
              <w:spacing w:after="0"/>
              <w:rPr>
                <w:rFonts w:ascii="Arial" w:cs="Arial" w:eastAsia="Arial" w:hAnsi="Arial"/>
                <w:sz w:val="12"/>
                <w:szCs w:val="12"/>
                <w:color w:val="0000EE"/>
                <w:w w:val="90"/>
              </w:rPr>
            </w:pPr>
            <w:hyperlink r:id="rId172">
              <w:r>
                <w:rPr>
                  <w:rFonts w:ascii="Arial" w:cs="Arial" w:eastAsia="Arial" w:hAnsi="Arial"/>
                  <w:sz w:val="12"/>
                  <w:szCs w:val="12"/>
                  <w:color w:val="0000EE"/>
                  <w:w w:val="90"/>
                </w:rPr>
                <w:t>Credit Agreement, dated as of April 24, 2015, by and among Communications Sales &amp; Leasing, Inc. and CSL Capital, LLC, as Borrowers, the guarantors party thereto, the lenders party thereto from time</w:t>
              </w:r>
            </w:hyperlink>
          </w:p>
        </w:tc>
        <w:tc>
          <w:tcPr>
            <w:tcW w:w="120" w:type="dxa"/>
            <w:vAlign w:val="bottom"/>
            <w:gridSpan w:val="4"/>
          </w:tcPr>
          <w:p>
            <w:pPr>
              <w:spacing w:after="0"/>
              <w:rPr>
                <w:sz w:val="12"/>
                <w:szCs w:val="12"/>
                <w:color w:val="auto"/>
              </w:rPr>
            </w:pPr>
          </w:p>
        </w:tc>
      </w:tr>
      <w:tr>
        <w:trPr>
          <w:trHeight w:val="124"/>
        </w:trPr>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700" w:type="dxa"/>
            <w:vAlign w:val="bottom"/>
            <w:tcBorders>
              <w:bottom w:val="single" w:sz="8" w:color="0000EE"/>
            </w:tcBorders>
            <w:gridSpan w:val="15"/>
          </w:tcPr>
          <w:p>
            <w:pPr>
              <w:spacing w:after="0" w:line="124" w:lineRule="exact"/>
              <w:rPr>
                <w:rFonts w:ascii="Arial" w:cs="Arial" w:eastAsia="Arial" w:hAnsi="Arial"/>
                <w:sz w:val="12"/>
                <w:szCs w:val="12"/>
                <w:color w:val="0000EE"/>
                <w:w w:val="91"/>
              </w:rPr>
            </w:pPr>
            <w:hyperlink r:id="rId172">
              <w:r>
                <w:rPr>
                  <w:rFonts w:ascii="Arial" w:cs="Arial" w:eastAsia="Arial" w:hAnsi="Arial"/>
                  <w:sz w:val="12"/>
                  <w:szCs w:val="12"/>
                  <w:color w:val="0000EE"/>
                  <w:w w:val="91"/>
                </w:rPr>
                <w:t>to time and Bank of America, N.A., as administrative agent, collateral agent, swing line lender and L/C issuer (incorporated by reference to Exhibit 10.10 to the Company’s Current Report on Form 8-K</w:t>
              </w:r>
            </w:hyperlink>
          </w:p>
        </w:tc>
        <w:tc>
          <w:tcPr>
            <w:tcW w:w="180" w:type="dxa"/>
            <w:vAlign w:val="bottom"/>
            <w:gridSpan w:val="7"/>
          </w:tcPr>
          <w:p>
            <w:pPr>
              <w:spacing w:after="0"/>
              <w:rPr>
                <w:sz w:val="10"/>
                <w:szCs w:val="10"/>
                <w:color w:val="auto"/>
              </w:rPr>
            </w:pPr>
          </w:p>
        </w:tc>
      </w:tr>
      <w:tr>
        <w:trPr>
          <w:trHeight w:val="124"/>
        </w:trPr>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80" w:type="dxa"/>
            <w:vAlign w:val="bottom"/>
            <w:tcBorders>
              <w:bottom w:val="single" w:sz="8" w:color="0000EE"/>
            </w:tcBorders>
            <w:gridSpan w:val="3"/>
          </w:tcPr>
          <w:p>
            <w:pPr>
              <w:spacing w:after="0" w:line="124" w:lineRule="exact"/>
              <w:rPr>
                <w:rFonts w:ascii="Arial" w:cs="Arial" w:eastAsia="Arial" w:hAnsi="Arial"/>
                <w:sz w:val="12"/>
                <w:szCs w:val="12"/>
                <w:color w:val="0000EE"/>
                <w:w w:val="92"/>
              </w:rPr>
            </w:pPr>
            <w:hyperlink r:id="rId172">
              <w:r>
                <w:rPr>
                  <w:rFonts w:ascii="Arial" w:cs="Arial" w:eastAsia="Arial" w:hAnsi="Arial"/>
                  <w:sz w:val="12"/>
                  <w:szCs w:val="12"/>
                  <w:color w:val="0000EE"/>
                  <w:w w:val="92"/>
                </w:rPr>
                <w:t>dated and filed with the SEC as of April 27, 2015 (File No. 001-36708))</w:t>
              </w:r>
            </w:hyperlink>
          </w:p>
        </w:tc>
        <w:tc>
          <w:tcPr>
            <w:tcW w:w="6400" w:type="dxa"/>
            <w:vAlign w:val="bottom"/>
            <w:gridSpan w:val="19"/>
          </w:tcPr>
          <w:p>
            <w:pPr>
              <w:spacing w:after="0"/>
              <w:rPr>
                <w:sz w:val="10"/>
                <w:szCs w:val="10"/>
                <w:color w:val="auto"/>
              </w:rPr>
            </w:pPr>
          </w:p>
        </w:tc>
      </w:tr>
      <w:tr>
        <w:trPr>
          <w:trHeight w:val="142"/>
        </w:trPr>
        <w:tc>
          <w:tcPr>
            <w:tcW w:w="840" w:type="dxa"/>
            <w:vAlign w:val="bottom"/>
          </w:tcPr>
          <w:p>
            <w:pPr>
              <w:spacing w:after="0"/>
              <w:rPr>
                <w:sz w:val="20"/>
                <w:szCs w:val="20"/>
                <w:color w:val="auto"/>
              </w:rPr>
            </w:pPr>
            <w:r>
              <w:rPr>
                <w:rFonts w:ascii="Arial" w:cs="Arial" w:eastAsia="Arial" w:hAnsi="Arial"/>
                <w:sz w:val="12"/>
                <w:szCs w:val="12"/>
                <w:color w:val="auto"/>
              </w:rPr>
              <w:t>10.8</w:t>
            </w: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80" w:type="dxa"/>
            <w:vAlign w:val="bottom"/>
            <w:gridSpan w:val="22"/>
          </w:tcPr>
          <w:p>
            <w:pPr>
              <w:spacing w:after="0"/>
              <w:rPr>
                <w:rFonts w:ascii="Arial" w:cs="Arial" w:eastAsia="Arial" w:hAnsi="Arial"/>
                <w:sz w:val="12"/>
                <w:szCs w:val="12"/>
                <w:color w:val="0000EE"/>
                <w:w w:val="92"/>
              </w:rPr>
            </w:pPr>
            <w:hyperlink r:id="rId173">
              <w:r>
                <w:rPr>
                  <w:rFonts w:ascii="Arial" w:cs="Arial" w:eastAsia="Arial" w:hAnsi="Arial"/>
                  <w:sz w:val="12"/>
                  <w:szCs w:val="12"/>
                  <w:color w:val="0000EE"/>
                  <w:w w:val="92"/>
                </w:rPr>
                <w:t>Recognition Agreement, dated April 24, 2015, by and among CSL National, LP and the other entities listed therein, as Landlord, and Windstream Holdings, Inc., as Tenant, and JPMorgan Chase Bank,</w:t>
              </w:r>
            </w:hyperlink>
          </w:p>
        </w:tc>
      </w:tr>
      <w:tr>
        <w:trPr>
          <w:trHeight w:val="124"/>
        </w:trPr>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300" w:type="dxa"/>
            <w:vAlign w:val="bottom"/>
            <w:tcBorders>
              <w:top w:val="single" w:sz="8" w:color="0000EE"/>
              <w:bottom w:val="single" w:sz="8" w:color="0000EE"/>
            </w:tcBorders>
            <w:gridSpan w:val="10"/>
          </w:tcPr>
          <w:p>
            <w:pPr>
              <w:spacing w:after="0" w:line="124" w:lineRule="exact"/>
              <w:rPr>
                <w:rFonts w:ascii="Arial" w:cs="Arial" w:eastAsia="Arial" w:hAnsi="Arial"/>
                <w:sz w:val="12"/>
                <w:szCs w:val="12"/>
                <w:color w:val="0000EE"/>
                <w:w w:val="91"/>
              </w:rPr>
            </w:pPr>
            <w:hyperlink r:id="rId173">
              <w:r>
                <w:rPr>
                  <w:rFonts w:ascii="Arial" w:cs="Arial" w:eastAsia="Arial" w:hAnsi="Arial"/>
                  <w:sz w:val="12"/>
                  <w:szCs w:val="12"/>
                  <w:color w:val="0000EE"/>
                  <w:w w:val="91"/>
                </w:rPr>
                <w:t>N.A., as administrative agent (incorporated by reference to Exhibit 10.11 to the Company’s Current Report on Form 8-K dated and filed with the SEC as of April 27, 2015 (File No. 001-36708))</w:t>
              </w:r>
            </w:hyperlink>
          </w:p>
        </w:tc>
        <w:tc>
          <w:tcPr>
            <w:tcW w:w="320" w:type="dxa"/>
            <w:vAlign w:val="bottom"/>
            <w:tcBorders>
              <w:top w:val="single" w:sz="8" w:color="0000EE"/>
            </w:tcBorders>
            <w:gridSpan w:val="3"/>
          </w:tcPr>
          <w:p>
            <w:pPr>
              <w:spacing w:after="0"/>
              <w:rPr>
                <w:sz w:val="10"/>
                <w:szCs w:val="10"/>
                <w:color w:val="auto"/>
              </w:rPr>
            </w:pPr>
          </w:p>
        </w:tc>
        <w:tc>
          <w:tcPr>
            <w:tcW w:w="260" w:type="dxa"/>
            <w:vAlign w:val="bottom"/>
            <w:gridSpan w:val="9"/>
          </w:tcPr>
          <w:p>
            <w:pPr>
              <w:spacing w:after="0"/>
              <w:rPr>
                <w:sz w:val="10"/>
                <w:szCs w:val="10"/>
                <w:color w:val="auto"/>
              </w:rPr>
            </w:pPr>
          </w:p>
        </w:tc>
      </w:tr>
      <w:tr>
        <w:trPr>
          <w:trHeight w:val="142"/>
        </w:trPr>
        <w:tc>
          <w:tcPr>
            <w:tcW w:w="840" w:type="dxa"/>
            <w:vAlign w:val="bottom"/>
          </w:tcPr>
          <w:p>
            <w:pPr>
              <w:spacing w:after="0"/>
              <w:rPr>
                <w:sz w:val="20"/>
                <w:szCs w:val="20"/>
                <w:color w:val="auto"/>
              </w:rPr>
            </w:pPr>
            <w:r>
              <w:rPr>
                <w:rFonts w:ascii="Arial" w:cs="Arial" w:eastAsia="Arial" w:hAnsi="Arial"/>
                <w:sz w:val="12"/>
                <w:szCs w:val="12"/>
                <w:color w:val="auto"/>
              </w:rPr>
              <w:t>10.9+</w:t>
            </w: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80" w:type="dxa"/>
            <w:vAlign w:val="bottom"/>
            <w:gridSpan w:val="22"/>
          </w:tcPr>
          <w:p>
            <w:pPr>
              <w:spacing w:after="0"/>
              <w:rPr>
                <w:rFonts w:ascii="Arial" w:cs="Arial" w:eastAsia="Arial" w:hAnsi="Arial"/>
                <w:sz w:val="12"/>
                <w:szCs w:val="12"/>
                <w:color w:val="0000EE"/>
                <w:w w:val="91"/>
              </w:rPr>
            </w:pPr>
            <w:hyperlink r:id="rId174">
              <w:r>
                <w:rPr>
                  <w:rFonts w:ascii="Arial" w:cs="Arial" w:eastAsia="Arial" w:hAnsi="Arial"/>
                  <w:sz w:val="12"/>
                  <w:szCs w:val="12"/>
                  <w:color w:val="0000EE"/>
                  <w:w w:val="91"/>
                </w:rPr>
                <w:t>Employment Agreement between Communications Sales &amp; Leasing, Inc. and Kenneth Gunderman, effective as of February 12, 2015 (incorporated by reference to Exhibit 10.9 to Amendment No. 3 to the</w:t>
              </w:r>
            </w:hyperlink>
          </w:p>
        </w:tc>
      </w:tr>
      <w:tr>
        <w:trPr>
          <w:trHeight w:val="124"/>
        </w:trPr>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800" w:type="dxa"/>
            <w:vAlign w:val="bottom"/>
            <w:tcBorders>
              <w:top w:val="single" w:sz="8" w:color="0000EE"/>
            </w:tcBorders>
            <w:gridSpan w:val="20"/>
          </w:tcPr>
          <w:p>
            <w:pPr>
              <w:spacing w:after="0" w:line="124" w:lineRule="exact"/>
              <w:rPr>
                <w:rFonts w:ascii="Arial" w:cs="Arial" w:eastAsia="Arial" w:hAnsi="Arial"/>
                <w:sz w:val="12"/>
                <w:szCs w:val="12"/>
                <w:color w:val="0000EE"/>
              </w:rPr>
            </w:pPr>
            <w:hyperlink r:id="rId174">
              <w:r>
                <w:rPr>
                  <w:rFonts w:ascii="Arial" w:cs="Arial" w:eastAsia="Arial" w:hAnsi="Arial"/>
                  <w:sz w:val="12"/>
                  <w:szCs w:val="12"/>
                  <w:color w:val="0000EE"/>
                </w:rPr>
                <w:t>Company’s Registration Statement on Form 10 dated and filed with the SEC as of March 12, 2015 (File No. 001-36708))</w:t>
              </w:r>
            </w:hyperlink>
          </w:p>
        </w:tc>
        <w:tc>
          <w:tcPr>
            <w:tcW w:w="80" w:type="dxa"/>
            <w:vAlign w:val="bottom"/>
            <w:gridSpan w:val="2"/>
          </w:tcPr>
          <w:p>
            <w:pPr>
              <w:spacing w:after="0"/>
              <w:rPr>
                <w:sz w:val="10"/>
                <w:szCs w:val="10"/>
                <w:color w:val="auto"/>
              </w:rPr>
            </w:pPr>
          </w:p>
        </w:tc>
      </w:tr>
      <w:tr>
        <w:trPr>
          <w:trHeight w:val="20"/>
        </w:trPr>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780" w:type="dxa"/>
            <w:vAlign w:val="bottom"/>
            <w:gridSpan w:val="2"/>
            <w:shd w:val="clear" w:color="auto" w:fill="0000EE"/>
          </w:tcPr>
          <w:p>
            <w:pPr>
              <w:spacing w:after="0" w:line="20" w:lineRule="exact"/>
              <w:rPr>
                <w:sz w:val="1"/>
                <w:szCs w:val="1"/>
                <w:color w:val="auto"/>
              </w:rPr>
            </w:pPr>
          </w:p>
        </w:tc>
        <w:tc>
          <w:tcPr>
            <w:tcW w:w="3040" w:type="dxa"/>
            <w:vAlign w:val="bottom"/>
            <w:gridSpan w:val="4"/>
            <w:shd w:val="clear" w:color="auto" w:fill="0000EE"/>
          </w:tcPr>
          <w:p>
            <w:pPr>
              <w:spacing w:after="0" w:line="20" w:lineRule="exact"/>
              <w:rPr>
                <w:sz w:val="1"/>
                <w:szCs w:val="1"/>
                <w:color w:val="auto"/>
              </w:rPr>
            </w:pPr>
          </w:p>
        </w:tc>
        <w:tc>
          <w:tcPr>
            <w:tcW w:w="3900" w:type="dxa"/>
            <w:vAlign w:val="bottom"/>
            <w:gridSpan w:val="10"/>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r>
      <w:tr>
        <w:trPr>
          <w:trHeight w:val="142"/>
        </w:trPr>
        <w:tc>
          <w:tcPr>
            <w:tcW w:w="840" w:type="dxa"/>
            <w:vAlign w:val="bottom"/>
          </w:tcPr>
          <w:p>
            <w:pPr>
              <w:spacing w:after="0"/>
              <w:rPr>
                <w:sz w:val="20"/>
                <w:szCs w:val="20"/>
                <w:color w:val="auto"/>
              </w:rPr>
            </w:pPr>
            <w:r>
              <w:rPr>
                <w:rFonts w:ascii="Arial" w:cs="Arial" w:eastAsia="Arial" w:hAnsi="Arial"/>
                <w:sz w:val="12"/>
                <w:szCs w:val="12"/>
                <w:color w:val="auto"/>
              </w:rPr>
              <w:t>10.10+</w:t>
            </w: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720" w:type="dxa"/>
            <w:vAlign w:val="bottom"/>
            <w:tcBorders>
              <w:bottom w:val="single" w:sz="8" w:color="0000EE"/>
            </w:tcBorders>
            <w:gridSpan w:val="16"/>
          </w:tcPr>
          <w:p>
            <w:pPr>
              <w:spacing w:after="0"/>
              <w:rPr>
                <w:rFonts w:ascii="Arial" w:cs="Arial" w:eastAsia="Arial" w:hAnsi="Arial"/>
                <w:sz w:val="12"/>
                <w:szCs w:val="12"/>
                <w:color w:val="0000EE"/>
                <w:w w:val="91"/>
              </w:rPr>
            </w:pPr>
            <w:hyperlink r:id="rId175">
              <w:r>
                <w:rPr>
                  <w:rFonts w:ascii="Arial" w:cs="Arial" w:eastAsia="Arial" w:hAnsi="Arial"/>
                  <w:sz w:val="12"/>
                  <w:szCs w:val="12"/>
                  <w:color w:val="0000EE"/>
                  <w:w w:val="91"/>
                </w:rPr>
                <w:t>Communications Sales &amp; Leasing, Inc. 2015 Equity Incentive Plan (incorporated by reference to Exhibit 10.12 to Amendment No. 3 to the Company’s Registration Statement on Form 10 dated and filed</w:t>
              </w:r>
            </w:hyperlink>
          </w:p>
        </w:tc>
        <w:tc>
          <w:tcPr>
            <w:tcW w:w="160" w:type="dxa"/>
            <w:vAlign w:val="bottom"/>
            <w:gridSpan w:val="6"/>
          </w:tcPr>
          <w:p>
            <w:pPr>
              <w:spacing w:after="0"/>
              <w:rPr>
                <w:sz w:val="12"/>
                <w:szCs w:val="12"/>
                <w:color w:val="auto"/>
              </w:rPr>
            </w:pPr>
          </w:p>
        </w:tc>
      </w:tr>
      <w:tr>
        <w:trPr>
          <w:trHeight w:val="124"/>
        </w:trPr>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880" w:type="dxa"/>
            <w:vAlign w:val="bottom"/>
            <w:gridSpan w:val="22"/>
          </w:tcPr>
          <w:p>
            <w:pPr>
              <w:spacing w:after="0" w:line="124" w:lineRule="exact"/>
              <w:rPr>
                <w:rFonts w:ascii="Arial" w:cs="Arial" w:eastAsia="Arial" w:hAnsi="Arial"/>
                <w:sz w:val="12"/>
                <w:szCs w:val="12"/>
                <w:color w:val="0000EE"/>
              </w:rPr>
            </w:pPr>
            <w:hyperlink r:id="rId175">
              <w:r>
                <w:rPr>
                  <w:rFonts w:ascii="Arial" w:cs="Arial" w:eastAsia="Arial" w:hAnsi="Arial"/>
                  <w:sz w:val="12"/>
                  <w:szCs w:val="12"/>
                  <w:color w:val="0000EE"/>
                </w:rPr>
                <w:t>with the SEC as of March 12, 2015 (File No. 001-36708))</w:t>
              </w:r>
            </w:hyperlink>
          </w:p>
        </w:tc>
      </w:tr>
      <w:tr>
        <w:trPr>
          <w:trHeight w:val="304"/>
        </w:trPr>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780" w:type="dxa"/>
            <w:vAlign w:val="bottom"/>
            <w:tcBorders>
              <w:top w:val="single" w:sz="8" w:color="0000EE"/>
            </w:tcBorders>
            <w:gridSpan w:val="2"/>
          </w:tcPr>
          <w:p>
            <w:pPr>
              <w:spacing w:after="0"/>
              <w:rPr>
                <w:sz w:val="24"/>
                <w:szCs w:val="24"/>
                <w:color w:val="auto"/>
              </w:rPr>
            </w:pPr>
          </w:p>
        </w:tc>
        <w:tc>
          <w:tcPr>
            <w:tcW w:w="2100" w:type="dxa"/>
            <w:vAlign w:val="bottom"/>
            <w:gridSpan w:val="3"/>
          </w:tcPr>
          <w:p>
            <w:pPr>
              <w:jc w:val="right"/>
              <w:ind w:right="620"/>
              <w:spacing w:after="0"/>
              <w:rPr>
                <w:sz w:val="20"/>
                <w:szCs w:val="20"/>
                <w:color w:val="auto"/>
              </w:rPr>
            </w:pPr>
            <w:r>
              <w:rPr>
                <w:rFonts w:ascii="Arial" w:cs="Arial" w:eastAsia="Arial" w:hAnsi="Arial"/>
                <w:sz w:val="12"/>
                <w:szCs w:val="12"/>
                <w:color w:val="auto"/>
              </w:rPr>
              <w:t>106</w:t>
            </w: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2"/>
        </w:trPr>
        <w:tc>
          <w:tcPr>
            <w:tcW w:w="840" w:type="dxa"/>
            <w:vAlign w:val="bottom"/>
            <w:tcBorders>
              <w:bottom w:val="single" w:sz="8" w:color="9A9A9A"/>
            </w:tcBorders>
          </w:tcPr>
          <w:p>
            <w:pPr>
              <w:spacing w:after="0"/>
              <w:rPr>
                <w:sz w:val="6"/>
                <w:szCs w:val="6"/>
                <w:color w:val="auto"/>
              </w:rPr>
            </w:pPr>
          </w:p>
        </w:tc>
        <w:tc>
          <w:tcPr>
            <w:tcW w:w="42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1440" w:type="dxa"/>
            <w:vAlign w:val="bottom"/>
            <w:tcBorders>
              <w:bottom w:val="single" w:sz="8" w:color="9A9A9A"/>
            </w:tcBorders>
          </w:tcPr>
          <w:p>
            <w:pPr>
              <w:spacing w:after="0"/>
              <w:rPr>
                <w:sz w:val="6"/>
                <w:szCs w:val="6"/>
                <w:color w:val="auto"/>
              </w:rPr>
            </w:pPr>
          </w:p>
        </w:tc>
        <w:tc>
          <w:tcPr>
            <w:tcW w:w="70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1380" w:type="dxa"/>
            <w:vAlign w:val="bottom"/>
            <w:tcBorders>
              <w:bottom w:val="single" w:sz="8" w:color="9A9A9A"/>
            </w:tcBorders>
          </w:tcPr>
          <w:p>
            <w:pPr>
              <w:spacing w:after="0"/>
              <w:rPr>
                <w:sz w:val="6"/>
                <w:szCs w:val="6"/>
                <w:color w:val="auto"/>
              </w:rPr>
            </w:pPr>
          </w:p>
        </w:tc>
        <w:tc>
          <w:tcPr>
            <w:tcW w:w="94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144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7280275</wp:posOffset>
            </wp:positionH>
            <wp:positionV relativeFrom="paragraph">
              <wp:posOffset>-23495</wp:posOffset>
            </wp:positionV>
            <wp:extent cx="31115" cy="3683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6">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7">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0"/>
          </w:cols>
          <w:pgMar w:left="220" w:top="118" w:right="17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138"/>
        </w:trPr>
        <w:tc>
          <w:tcPr>
            <w:tcW w:w="1620" w:type="dxa"/>
            <w:vAlign w:val="bottom"/>
            <w:gridSpan w:val="3"/>
          </w:tcPr>
          <w:p>
            <w:pPr>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620" w:type="dxa"/>
            <w:vAlign w:val="bottom"/>
            <w:gridSpan w:val="3"/>
          </w:tcPr>
          <w:p>
            <w:pPr>
              <w:ind w:left="320"/>
              <w:spacing w:after="0"/>
              <w:rPr>
                <w:sz w:val="20"/>
                <w:szCs w:val="20"/>
                <w:color w:val="auto"/>
              </w:rPr>
            </w:pPr>
            <w:r>
              <w:rPr>
                <w:rFonts w:ascii="Arial" w:cs="Arial" w:eastAsia="Arial" w:hAnsi="Arial"/>
                <w:sz w:val="12"/>
                <w:szCs w:val="12"/>
                <w:b w:val="1"/>
                <w:bCs w:val="1"/>
                <w:color w:val="auto"/>
              </w:rPr>
              <w:t>Exhibit No.</w:t>
            </w:r>
          </w:p>
        </w:tc>
        <w:tc>
          <w:tcPr>
            <w:tcW w:w="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320" w:type="dxa"/>
            <w:vAlign w:val="bottom"/>
            <w:gridSpan w:val="16"/>
          </w:tcPr>
          <w:p>
            <w:pPr>
              <w:ind w:left="80"/>
              <w:spacing w:after="0"/>
              <w:rPr>
                <w:sz w:val="20"/>
                <w:szCs w:val="20"/>
                <w:color w:val="auto"/>
              </w:rPr>
            </w:pPr>
            <w:r>
              <w:rPr>
                <w:rFonts w:ascii="Arial" w:cs="Arial" w:eastAsia="Arial" w:hAnsi="Arial"/>
                <w:sz w:val="12"/>
                <w:szCs w:val="12"/>
                <w:b w:val="1"/>
                <w:bCs w:val="1"/>
                <w:color w:val="auto"/>
              </w:rPr>
              <w:t>Description</w:t>
            </w:r>
          </w:p>
        </w:tc>
      </w:tr>
      <w:tr>
        <w:trPr>
          <w:trHeight w:val="120"/>
        </w:trPr>
        <w:tc>
          <w:tcPr>
            <w:tcW w:w="840" w:type="dxa"/>
            <w:vAlign w:val="bottom"/>
            <w:tcBorders>
              <w:top w:val="single" w:sz="8" w:color="auto"/>
            </w:tcBorders>
          </w:tcPr>
          <w:p>
            <w:pPr>
              <w:spacing w:after="0" w:line="120" w:lineRule="exact"/>
              <w:rPr>
                <w:sz w:val="20"/>
                <w:szCs w:val="20"/>
                <w:color w:val="auto"/>
              </w:rPr>
            </w:pPr>
            <w:r>
              <w:rPr>
                <w:rFonts w:ascii="Arial" w:cs="Arial" w:eastAsia="Arial" w:hAnsi="Arial"/>
                <w:sz w:val="12"/>
                <w:szCs w:val="12"/>
                <w:color w:val="auto"/>
              </w:rPr>
              <w:t>10.11+</w:t>
            </w:r>
          </w:p>
        </w:tc>
        <w:tc>
          <w:tcPr>
            <w:tcW w:w="42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9740" w:type="dxa"/>
            <w:vAlign w:val="bottom"/>
            <w:tcBorders>
              <w:top w:val="single" w:sz="8" w:color="auto"/>
              <w:bottom w:val="single" w:sz="8" w:color="0000EE"/>
            </w:tcBorders>
            <w:gridSpan w:val="21"/>
          </w:tcPr>
          <w:p>
            <w:pPr>
              <w:spacing w:after="0" w:line="120" w:lineRule="exact"/>
              <w:rPr>
                <w:rFonts w:ascii="Arial" w:cs="Arial" w:eastAsia="Arial" w:hAnsi="Arial"/>
                <w:sz w:val="12"/>
                <w:szCs w:val="12"/>
                <w:color w:val="0000EE"/>
                <w:w w:val="90"/>
              </w:rPr>
            </w:pPr>
            <w:hyperlink r:id="rId178">
              <w:r>
                <w:rPr>
                  <w:rFonts w:ascii="Arial" w:cs="Arial" w:eastAsia="Arial" w:hAnsi="Arial"/>
                  <w:sz w:val="12"/>
                  <w:szCs w:val="12"/>
                  <w:color w:val="0000EE"/>
                  <w:w w:val="90"/>
                </w:rPr>
                <w:t>Severance Agreement, dated as of June 1, 2015, by and between Communications Sales &amp; Leasing, Inc. and Mark A. Wallace (incorporated by reference to Exhibit 10.2 to the Company’s Current Report</w:t>
              </w:r>
            </w:hyperlink>
          </w:p>
        </w:tc>
        <w:tc>
          <w:tcPr>
            <w:tcW w:w="140" w:type="dxa"/>
            <w:vAlign w:val="bottom"/>
            <w:tcBorders>
              <w:top w:val="single" w:sz="8" w:color="auto"/>
            </w:tcBorders>
            <w:gridSpan w:val="4"/>
          </w:tcPr>
          <w:p>
            <w:pPr>
              <w:spacing w:after="0"/>
              <w:rPr>
                <w:sz w:val="10"/>
                <w:szCs w:val="10"/>
                <w:color w:val="auto"/>
              </w:rPr>
            </w:pPr>
          </w:p>
        </w:tc>
      </w:tr>
      <w:tr>
        <w:trPr>
          <w:trHeight w:val="124"/>
        </w:trPr>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40" w:type="dxa"/>
            <w:vAlign w:val="bottom"/>
            <w:tcBorders>
              <w:bottom w:val="single" w:sz="8" w:color="0000EE"/>
            </w:tcBorders>
            <w:gridSpan w:val="7"/>
          </w:tcPr>
          <w:p>
            <w:pPr>
              <w:spacing w:after="0" w:line="124" w:lineRule="exact"/>
              <w:rPr>
                <w:rFonts w:ascii="Arial" w:cs="Arial" w:eastAsia="Arial" w:hAnsi="Arial"/>
                <w:sz w:val="12"/>
                <w:szCs w:val="12"/>
                <w:color w:val="0000EE"/>
                <w:w w:val="91"/>
              </w:rPr>
            </w:pPr>
            <w:hyperlink r:id="rId178">
              <w:r>
                <w:rPr>
                  <w:rFonts w:ascii="Arial" w:cs="Arial" w:eastAsia="Arial" w:hAnsi="Arial"/>
                  <w:sz w:val="12"/>
                  <w:szCs w:val="12"/>
                  <w:color w:val="0000EE"/>
                  <w:w w:val="91"/>
                </w:rPr>
                <w:t>on Form 8-K dated and filed with the SEC as of June 3, 2015 (File No. 001-36708))</w:t>
              </w:r>
            </w:hyperlink>
          </w:p>
        </w:tc>
        <w:tc>
          <w:tcPr>
            <w:tcW w:w="5840" w:type="dxa"/>
            <w:vAlign w:val="bottom"/>
            <w:gridSpan w:val="18"/>
          </w:tcPr>
          <w:p>
            <w:pPr>
              <w:spacing w:after="0"/>
              <w:rPr>
                <w:sz w:val="10"/>
                <w:szCs w:val="10"/>
                <w:color w:val="auto"/>
              </w:rPr>
            </w:pPr>
          </w:p>
        </w:tc>
      </w:tr>
      <w:tr>
        <w:trPr>
          <w:trHeight w:val="142"/>
        </w:trPr>
        <w:tc>
          <w:tcPr>
            <w:tcW w:w="840" w:type="dxa"/>
            <w:vAlign w:val="bottom"/>
          </w:tcPr>
          <w:p>
            <w:pPr>
              <w:spacing w:after="0"/>
              <w:rPr>
                <w:sz w:val="20"/>
                <w:szCs w:val="20"/>
                <w:color w:val="auto"/>
              </w:rPr>
            </w:pPr>
            <w:r>
              <w:rPr>
                <w:rFonts w:ascii="Arial" w:cs="Arial" w:eastAsia="Arial" w:hAnsi="Arial"/>
                <w:sz w:val="12"/>
                <w:szCs w:val="12"/>
                <w:color w:val="auto"/>
              </w:rPr>
              <w:t>10.12+</w:t>
            </w: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620" w:type="dxa"/>
            <w:vAlign w:val="bottom"/>
            <w:tcBorders>
              <w:bottom w:val="single" w:sz="8" w:color="0000EE"/>
            </w:tcBorders>
            <w:gridSpan w:val="17"/>
          </w:tcPr>
          <w:p>
            <w:pPr>
              <w:spacing w:after="0"/>
              <w:rPr>
                <w:rFonts w:ascii="Arial" w:cs="Arial" w:eastAsia="Arial" w:hAnsi="Arial"/>
                <w:sz w:val="12"/>
                <w:szCs w:val="12"/>
                <w:color w:val="0000EE"/>
                <w:w w:val="90"/>
              </w:rPr>
            </w:pPr>
            <w:hyperlink r:id="rId179">
              <w:r>
                <w:rPr>
                  <w:rFonts w:ascii="Arial" w:cs="Arial" w:eastAsia="Arial" w:hAnsi="Arial"/>
                  <w:sz w:val="12"/>
                  <w:szCs w:val="12"/>
                  <w:color w:val="0000EE"/>
                  <w:w w:val="90"/>
                </w:rPr>
                <w:t>Severance Agreement, dated as of June 1, 2015, by and between Communications Sales &amp; Leasing, Inc. and Daniel L. Heard (incorporated by reference to Exhibit 10.16 to the Company’s Registration</w:t>
              </w:r>
            </w:hyperlink>
          </w:p>
        </w:tc>
        <w:tc>
          <w:tcPr>
            <w:tcW w:w="260" w:type="dxa"/>
            <w:vAlign w:val="bottom"/>
            <w:gridSpan w:val="8"/>
          </w:tcPr>
          <w:p>
            <w:pPr>
              <w:spacing w:after="0"/>
              <w:rPr>
                <w:sz w:val="12"/>
                <w:szCs w:val="12"/>
                <w:color w:val="auto"/>
              </w:rPr>
            </w:pPr>
          </w:p>
        </w:tc>
      </w:tr>
      <w:tr>
        <w:trPr>
          <w:trHeight w:val="124"/>
        </w:trPr>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880" w:type="dxa"/>
            <w:vAlign w:val="bottom"/>
            <w:gridSpan w:val="25"/>
          </w:tcPr>
          <w:p>
            <w:pPr>
              <w:spacing w:after="0" w:line="124" w:lineRule="exact"/>
              <w:rPr>
                <w:rFonts w:ascii="Arial" w:cs="Arial" w:eastAsia="Arial" w:hAnsi="Arial"/>
                <w:sz w:val="12"/>
                <w:szCs w:val="12"/>
                <w:color w:val="0000EE"/>
              </w:rPr>
            </w:pPr>
            <w:hyperlink r:id="rId179">
              <w:r>
                <w:rPr>
                  <w:rFonts w:ascii="Arial" w:cs="Arial" w:eastAsia="Arial" w:hAnsi="Arial"/>
                  <w:sz w:val="12"/>
                  <w:szCs w:val="12"/>
                  <w:color w:val="0000EE"/>
                </w:rPr>
                <w:t>Statement on Form S-4 dated and filed with the SEC as of July 2, 2015 (File No. 333-205450))</w:t>
              </w:r>
            </w:hyperlink>
          </w:p>
        </w:tc>
      </w:tr>
      <w:tr>
        <w:trPr>
          <w:trHeight w:val="20"/>
        </w:trPr>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2"/>
        </w:trPr>
        <w:tc>
          <w:tcPr>
            <w:tcW w:w="840" w:type="dxa"/>
            <w:vAlign w:val="bottom"/>
          </w:tcPr>
          <w:p>
            <w:pPr>
              <w:spacing w:after="0"/>
              <w:rPr>
                <w:sz w:val="20"/>
                <w:szCs w:val="20"/>
                <w:color w:val="auto"/>
              </w:rPr>
            </w:pPr>
            <w:r>
              <w:rPr>
                <w:rFonts w:ascii="Arial" w:cs="Arial" w:eastAsia="Arial" w:hAnsi="Arial"/>
                <w:sz w:val="12"/>
                <w:szCs w:val="12"/>
                <w:color w:val="auto"/>
              </w:rPr>
              <w:t>10.13+</w:t>
            </w: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80" w:type="dxa"/>
            <w:vAlign w:val="bottom"/>
            <w:gridSpan w:val="25"/>
          </w:tcPr>
          <w:p>
            <w:pPr>
              <w:spacing w:after="0"/>
              <w:rPr>
                <w:rFonts w:ascii="Arial" w:cs="Arial" w:eastAsia="Arial" w:hAnsi="Arial"/>
                <w:sz w:val="12"/>
                <w:szCs w:val="12"/>
                <w:color w:val="0000EE"/>
                <w:w w:val="93"/>
              </w:rPr>
            </w:pPr>
            <w:hyperlink r:id="rId180">
              <w:r>
                <w:rPr>
                  <w:rFonts w:ascii="Arial" w:cs="Arial" w:eastAsia="Arial" w:hAnsi="Arial"/>
                  <w:sz w:val="12"/>
                  <w:szCs w:val="12"/>
                  <w:color w:val="0000EE"/>
                  <w:w w:val="93"/>
                </w:rPr>
                <w:t>Form of Restricted Shares Agreement for employees (incorporated by reference to Exhibit 10.3 to the Company’s Current Report on Form 8-K dated and filed with the SEC as of June 3, 2015 (File No.</w:t>
              </w:r>
            </w:hyperlink>
          </w:p>
        </w:tc>
      </w:tr>
      <w:tr>
        <w:trPr>
          <w:trHeight w:val="124"/>
        </w:trPr>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0" w:type="dxa"/>
            <w:vAlign w:val="bottom"/>
            <w:tcBorders>
              <w:top w:val="single" w:sz="8" w:color="0000EE"/>
              <w:bottom w:val="single" w:sz="8" w:color="0000EE"/>
            </w:tcBorders>
          </w:tcPr>
          <w:p>
            <w:pPr>
              <w:spacing w:after="0" w:line="124" w:lineRule="exact"/>
              <w:rPr>
                <w:rFonts w:ascii="Arial" w:cs="Arial" w:eastAsia="Arial" w:hAnsi="Arial"/>
                <w:sz w:val="12"/>
                <w:szCs w:val="12"/>
                <w:color w:val="0000EE"/>
                <w:w w:val="88"/>
              </w:rPr>
            </w:pPr>
            <w:hyperlink r:id="rId180">
              <w:r>
                <w:rPr>
                  <w:rFonts w:ascii="Arial" w:cs="Arial" w:eastAsia="Arial" w:hAnsi="Arial"/>
                  <w:sz w:val="12"/>
                  <w:szCs w:val="12"/>
                  <w:color w:val="0000EE"/>
                  <w:w w:val="88"/>
                </w:rPr>
                <w:t>001-36708))</w:t>
              </w:r>
            </w:hyperlink>
          </w:p>
        </w:tc>
        <w:tc>
          <w:tcPr>
            <w:tcW w:w="460" w:type="dxa"/>
            <w:vAlign w:val="bottom"/>
            <w:tcBorders>
              <w:top w:val="single" w:sz="8" w:color="0000EE"/>
            </w:tcBorders>
          </w:tcPr>
          <w:p>
            <w:pPr>
              <w:spacing w:after="0"/>
              <w:rPr>
                <w:sz w:val="10"/>
                <w:szCs w:val="10"/>
                <w:color w:val="auto"/>
              </w:rPr>
            </w:pPr>
          </w:p>
        </w:tc>
        <w:tc>
          <w:tcPr>
            <w:tcW w:w="400" w:type="dxa"/>
            <w:vAlign w:val="bottom"/>
            <w:tcBorders>
              <w:top w:val="single" w:sz="8" w:color="0000EE"/>
            </w:tcBorders>
          </w:tcPr>
          <w:p>
            <w:pPr>
              <w:spacing w:after="0"/>
              <w:rPr>
                <w:sz w:val="10"/>
                <w:szCs w:val="10"/>
                <w:color w:val="auto"/>
              </w:rPr>
            </w:pPr>
          </w:p>
        </w:tc>
        <w:tc>
          <w:tcPr>
            <w:tcW w:w="114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460" w:type="dxa"/>
            <w:vAlign w:val="bottom"/>
            <w:tcBorders>
              <w:top w:val="single" w:sz="8" w:color="0000EE"/>
            </w:tcBorders>
          </w:tcPr>
          <w:p>
            <w:pPr>
              <w:spacing w:after="0"/>
              <w:rPr>
                <w:sz w:val="10"/>
                <w:szCs w:val="10"/>
                <w:color w:val="auto"/>
              </w:rPr>
            </w:pPr>
          </w:p>
        </w:tc>
        <w:tc>
          <w:tcPr>
            <w:tcW w:w="960" w:type="dxa"/>
            <w:vAlign w:val="bottom"/>
            <w:tcBorders>
              <w:top w:val="single" w:sz="8" w:color="0000EE"/>
            </w:tcBorders>
          </w:tcPr>
          <w:p>
            <w:pPr>
              <w:spacing w:after="0"/>
              <w:rPr>
                <w:sz w:val="10"/>
                <w:szCs w:val="10"/>
                <w:color w:val="auto"/>
              </w:rPr>
            </w:pPr>
          </w:p>
        </w:tc>
        <w:tc>
          <w:tcPr>
            <w:tcW w:w="80" w:type="dxa"/>
            <w:vAlign w:val="bottom"/>
            <w:tcBorders>
              <w:top w:val="single" w:sz="8" w:color="0000EE"/>
            </w:tcBorders>
          </w:tcPr>
          <w:p>
            <w:pPr>
              <w:spacing w:after="0"/>
              <w:rPr>
                <w:sz w:val="10"/>
                <w:szCs w:val="10"/>
                <w:color w:val="auto"/>
              </w:rPr>
            </w:pPr>
          </w:p>
        </w:tc>
        <w:tc>
          <w:tcPr>
            <w:tcW w:w="440" w:type="dxa"/>
            <w:vAlign w:val="bottom"/>
            <w:tcBorders>
              <w:top w:val="single" w:sz="8" w:color="0000EE"/>
            </w:tcBorders>
          </w:tcPr>
          <w:p>
            <w:pPr>
              <w:spacing w:after="0"/>
              <w:rPr>
                <w:sz w:val="10"/>
                <w:szCs w:val="10"/>
                <w:color w:val="auto"/>
              </w:rPr>
            </w:pPr>
          </w:p>
        </w:tc>
        <w:tc>
          <w:tcPr>
            <w:tcW w:w="1340" w:type="dxa"/>
            <w:vAlign w:val="bottom"/>
            <w:tcBorders>
              <w:top w:val="single" w:sz="8" w:color="0000EE"/>
            </w:tcBorders>
          </w:tcPr>
          <w:p>
            <w:pPr>
              <w:spacing w:after="0"/>
              <w:rPr>
                <w:sz w:val="10"/>
                <w:szCs w:val="10"/>
                <w:color w:val="auto"/>
              </w:rPr>
            </w:pPr>
          </w:p>
        </w:tc>
        <w:tc>
          <w:tcPr>
            <w:tcW w:w="720" w:type="dxa"/>
            <w:vAlign w:val="bottom"/>
            <w:tcBorders>
              <w:top w:val="single" w:sz="8" w:color="0000EE"/>
            </w:tcBorders>
          </w:tcPr>
          <w:p>
            <w:pPr>
              <w:spacing w:after="0"/>
              <w:rPr>
                <w:sz w:val="10"/>
                <w:szCs w:val="10"/>
                <w:color w:val="auto"/>
              </w:rPr>
            </w:pPr>
          </w:p>
        </w:tc>
        <w:tc>
          <w:tcPr>
            <w:tcW w:w="1320" w:type="dxa"/>
            <w:vAlign w:val="bottom"/>
            <w:tcBorders>
              <w:top w:val="single" w:sz="8" w:color="0000EE"/>
            </w:tcBorders>
          </w:tcPr>
          <w:p>
            <w:pPr>
              <w:spacing w:after="0"/>
              <w:rPr>
                <w:sz w:val="10"/>
                <w:szCs w:val="10"/>
                <w:color w:val="auto"/>
              </w:rPr>
            </w:pPr>
          </w:p>
        </w:tc>
        <w:tc>
          <w:tcPr>
            <w:tcW w:w="1380" w:type="dxa"/>
            <w:vAlign w:val="bottom"/>
            <w:tcBorders>
              <w:top w:val="single" w:sz="8" w:color="0000EE"/>
            </w:tcBorders>
          </w:tcPr>
          <w:p>
            <w:pPr>
              <w:spacing w:after="0"/>
              <w:rPr>
                <w:sz w:val="10"/>
                <w:szCs w:val="10"/>
                <w:color w:val="auto"/>
              </w:rPr>
            </w:pPr>
          </w:p>
        </w:tc>
        <w:tc>
          <w:tcPr>
            <w:tcW w:w="20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6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42"/>
        </w:trPr>
        <w:tc>
          <w:tcPr>
            <w:tcW w:w="840" w:type="dxa"/>
            <w:vAlign w:val="bottom"/>
          </w:tcPr>
          <w:p>
            <w:pPr>
              <w:spacing w:after="0"/>
              <w:rPr>
                <w:sz w:val="20"/>
                <w:szCs w:val="20"/>
                <w:color w:val="auto"/>
              </w:rPr>
            </w:pPr>
            <w:r>
              <w:rPr>
                <w:rFonts w:ascii="Arial" w:cs="Arial" w:eastAsia="Arial" w:hAnsi="Arial"/>
                <w:sz w:val="12"/>
                <w:szCs w:val="12"/>
                <w:color w:val="auto"/>
              </w:rPr>
              <w:t>10.14+</w:t>
            </w: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80" w:type="dxa"/>
            <w:vAlign w:val="bottom"/>
            <w:gridSpan w:val="25"/>
          </w:tcPr>
          <w:p>
            <w:pPr>
              <w:spacing w:after="0"/>
              <w:rPr>
                <w:rFonts w:ascii="Arial" w:cs="Arial" w:eastAsia="Arial" w:hAnsi="Arial"/>
                <w:sz w:val="12"/>
                <w:szCs w:val="12"/>
                <w:color w:val="0000EE"/>
                <w:w w:val="93"/>
              </w:rPr>
            </w:pPr>
            <w:hyperlink r:id="rId181">
              <w:r>
                <w:rPr>
                  <w:rFonts w:ascii="Arial" w:cs="Arial" w:eastAsia="Arial" w:hAnsi="Arial"/>
                  <w:sz w:val="12"/>
                  <w:szCs w:val="12"/>
                  <w:color w:val="0000EE"/>
                  <w:w w:val="93"/>
                </w:rPr>
                <w:t>Form of Performance-Based Restricted Stock Unit Agreement (incorporated by reference to Exhibit 10.4 to the Company’s Current Report on Form 8-K dated and filed with the SEC as of June 3, 2015</w:t>
              </w:r>
            </w:hyperlink>
          </w:p>
        </w:tc>
      </w:tr>
      <w:tr>
        <w:trPr>
          <w:trHeight w:val="124"/>
        </w:trPr>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640" w:type="dxa"/>
            <w:vAlign w:val="bottom"/>
            <w:tcBorders>
              <w:top w:val="single" w:sz="8" w:color="0000EE"/>
            </w:tcBorders>
            <w:gridSpan w:val="18"/>
          </w:tcPr>
          <w:p>
            <w:pPr>
              <w:spacing w:after="0" w:line="124" w:lineRule="exact"/>
              <w:rPr>
                <w:rFonts w:ascii="Arial" w:cs="Arial" w:eastAsia="Arial" w:hAnsi="Arial"/>
                <w:sz w:val="12"/>
                <w:szCs w:val="12"/>
                <w:color w:val="0000EE"/>
              </w:rPr>
            </w:pPr>
            <w:hyperlink r:id="rId181">
              <w:r>
                <w:rPr>
                  <w:rFonts w:ascii="Arial" w:cs="Arial" w:eastAsia="Arial" w:hAnsi="Arial"/>
                  <w:sz w:val="12"/>
                  <w:szCs w:val="12"/>
                  <w:color w:val="0000EE"/>
                </w:rPr>
                <w:t>(File No. 001-36708))</w:t>
              </w:r>
            </w:hyperlink>
          </w:p>
        </w:tc>
        <w:tc>
          <w:tcPr>
            <w:tcW w:w="240" w:type="dxa"/>
            <w:vAlign w:val="bottom"/>
            <w:gridSpan w:val="7"/>
          </w:tcPr>
          <w:p>
            <w:pPr>
              <w:spacing w:after="0"/>
              <w:rPr>
                <w:sz w:val="10"/>
                <w:szCs w:val="10"/>
                <w:color w:val="auto"/>
              </w:rPr>
            </w:pPr>
          </w:p>
        </w:tc>
      </w:tr>
      <w:tr>
        <w:trPr>
          <w:trHeight w:val="20"/>
        </w:trPr>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2"/>
        </w:trPr>
        <w:tc>
          <w:tcPr>
            <w:tcW w:w="840" w:type="dxa"/>
            <w:vAlign w:val="bottom"/>
          </w:tcPr>
          <w:p>
            <w:pPr>
              <w:spacing w:after="0"/>
              <w:rPr>
                <w:sz w:val="20"/>
                <w:szCs w:val="20"/>
                <w:color w:val="auto"/>
              </w:rPr>
            </w:pPr>
            <w:r>
              <w:rPr>
                <w:rFonts w:ascii="Arial" w:cs="Arial" w:eastAsia="Arial" w:hAnsi="Arial"/>
                <w:sz w:val="12"/>
                <w:szCs w:val="12"/>
                <w:color w:val="auto"/>
              </w:rPr>
              <w:t>10.15+</w:t>
            </w: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20" w:type="dxa"/>
            <w:vAlign w:val="bottom"/>
            <w:tcBorders>
              <w:bottom w:val="single" w:sz="8" w:color="0000EE"/>
            </w:tcBorders>
            <w:gridSpan w:val="22"/>
          </w:tcPr>
          <w:p>
            <w:pPr>
              <w:spacing w:after="0"/>
              <w:rPr>
                <w:rFonts w:ascii="Arial" w:cs="Arial" w:eastAsia="Arial" w:hAnsi="Arial"/>
                <w:sz w:val="12"/>
                <w:szCs w:val="12"/>
                <w:color w:val="0000EE"/>
                <w:w w:val="90"/>
              </w:rPr>
            </w:pPr>
            <w:hyperlink r:id="rId182">
              <w:r>
                <w:rPr>
                  <w:rFonts w:ascii="Arial" w:cs="Arial" w:eastAsia="Arial" w:hAnsi="Arial"/>
                  <w:sz w:val="12"/>
                  <w:szCs w:val="12"/>
                  <w:color w:val="0000EE"/>
                  <w:w w:val="90"/>
                </w:rPr>
                <w:t>Form of Restricted Shares Agreement for non-employee directors (incorporated by reference to Exhibit 10.5 to the Company’s Current Report on Form 8-K dated and filed with the SEC as of June 3, 2015</w:t>
              </w:r>
            </w:hyperlink>
          </w:p>
        </w:tc>
        <w:tc>
          <w:tcPr>
            <w:tcW w:w="60" w:type="dxa"/>
            <w:vAlign w:val="bottom"/>
            <w:gridSpan w:val="3"/>
          </w:tcPr>
          <w:p>
            <w:pPr>
              <w:spacing w:after="0"/>
              <w:rPr>
                <w:sz w:val="12"/>
                <w:szCs w:val="12"/>
                <w:color w:val="auto"/>
              </w:rPr>
            </w:pPr>
          </w:p>
        </w:tc>
      </w:tr>
      <w:tr>
        <w:trPr>
          <w:trHeight w:val="124"/>
        </w:trPr>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880" w:type="dxa"/>
            <w:vAlign w:val="bottom"/>
            <w:gridSpan w:val="25"/>
          </w:tcPr>
          <w:p>
            <w:pPr>
              <w:spacing w:after="0" w:line="124" w:lineRule="exact"/>
              <w:rPr>
                <w:rFonts w:ascii="Arial" w:cs="Arial" w:eastAsia="Arial" w:hAnsi="Arial"/>
                <w:sz w:val="12"/>
                <w:szCs w:val="12"/>
                <w:color w:val="0000EE"/>
              </w:rPr>
            </w:pPr>
            <w:hyperlink r:id="rId182">
              <w:r>
                <w:rPr>
                  <w:rFonts w:ascii="Arial" w:cs="Arial" w:eastAsia="Arial" w:hAnsi="Arial"/>
                  <w:sz w:val="12"/>
                  <w:szCs w:val="12"/>
                  <w:color w:val="0000EE"/>
                </w:rPr>
                <w:t>(File No. 001-36708))</w:t>
              </w:r>
            </w:hyperlink>
          </w:p>
        </w:tc>
      </w:tr>
      <w:tr>
        <w:trPr>
          <w:trHeight w:val="20"/>
        </w:trPr>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2"/>
        </w:trPr>
        <w:tc>
          <w:tcPr>
            <w:tcW w:w="840" w:type="dxa"/>
            <w:vAlign w:val="bottom"/>
          </w:tcPr>
          <w:p>
            <w:pPr>
              <w:spacing w:after="0"/>
              <w:rPr>
                <w:sz w:val="20"/>
                <w:szCs w:val="20"/>
                <w:color w:val="auto"/>
              </w:rPr>
            </w:pPr>
            <w:r>
              <w:rPr>
                <w:rFonts w:ascii="Arial" w:cs="Arial" w:eastAsia="Arial" w:hAnsi="Arial"/>
                <w:sz w:val="12"/>
                <w:szCs w:val="12"/>
                <w:color w:val="auto"/>
              </w:rPr>
              <w:t>10.16</w:t>
            </w: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680" w:type="dxa"/>
            <w:vAlign w:val="bottom"/>
            <w:tcBorders>
              <w:bottom w:val="single" w:sz="8" w:color="0000EE"/>
            </w:tcBorders>
            <w:gridSpan w:val="20"/>
          </w:tcPr>
          <w:p>
            <w:pPr>
              <w:spacing w:after="0"/>
              <w:rPr>
                <w:rFonts w:ascii="Arial" w:cs="Arial" w:eastAsia="Arial" w:hAnsi="Arial"/>
                <w:sz w:val="12"/>
                <w:szCs w:val="12"/>
                <w:color w:val="0000EE"/>
                <w:w w:val="91"/>
              </w:rPr>
            </w:pPr>
            <w:hyperlink r:id="rId183">
              <w:r>
                <w:rPr>
                  <w:rFonts w:ascii="Arial" w:cs="Arial" w:eastAsia="Arial" w:hAnsi="Arial"/>
                  <w:sz w:val="12"/>
                  <w:szCs w:val="12"/>
                  <w:color w:val="0000EE"/>
                  <w:w w:val="91"/>
                </w:rPr>
                <w:t>Form of Indemnity Agreement (incorporated by reference to Exhibit 10.20 to the Company’s Registration Statement on Form S-4 dated and filed with the SEC as of July 2, 2015 (File No. 333-205450))</w:t>
              </w:r>
            </w:hyperlink>
          </w:p>
        </w:tc>
        <w:tc>
          <w:tcPr>
            <w:tcW w:w="200" w:type="dxa"/>
            <w:vAlign w:val="bottom"/>
            <w:gridSpan w:val="5"/>
          </w:tcPr>
          <w:p>
            <w:pPr>
              <w:spacing w:after="0"/>
              <w:rPr>
                <w:sz w:val="12"/>
                <w:szCs w:val="12"/>
                <w:color w:val="auto"/>
              </w:rPr>
            </w:pPr>
          </w:p>
        </w:tc>
      </w:tr>
      <w:tr>
        <w:trPr>
          <w:trHeight w:val="142"/>
        </w:trPr>
        <w:tc>
          <w:tcPr>
            <w:tcW w:w="840" w:type="dxa"/>
            <w:vAlign w:val="bottom"/>
          </w:tcPr>
          <w:p>
            <w:pPr>
              <w:spacing w:after="0"/>
              <w:rPr>
                <w:sz w:val="20"/>
                <w:szCs w:val="20"/>
                <w:color w:val="auto"/>
              </w:rPr>
            </w:pPr>
            <w:r>
              <w:rPr>
                <w:rFonts w:ascii="Arial" w:cs="Arial" w:eastAsia="Arial" w:hAnsi="Arial"/>
                <w:sz w:val="12"/>
                <w:szCs w:val="12"/>
                <w:color w:val="auto"/>
              </w:rPr>
              <w:t>10.17+</w:t>
            </w: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660" w:type="dxa"/>
            <w:vAlign w:val="bottom"/>
            <w:tcBorders>
              <w:bottom w:val="single" w:sz="8" w:color="0000EE"/>
            </w:tcBorders>
            <w:gridSpan w:val="19"/>
          </w:tcPr>
          <w:p>
            <w:pPr>
              <w:spacing w:after="0"/>
              <w:rPr>
                <w:rFonts w:ascii="Arial" w:cs="Arial" w:eastAsia="Arial" w:hAnsi="Arial"/>
                <w:sz w:val="12"/>
                <w:szCs w:val="12"/>
                <w:color w:val="0000EE"/>
                <w:w w:val="91"/>
              </w:rPr>
            </w:pPr>
            <w:hyperlink r:id="rId184">
              <w:r>
                <w:rPr>
                  <w:rFonts w:ascii="Arial" w:cs="Arial" w:eastAsia="Arial" w:hAnsi="Arial"/>
                  <w:sz w:val="12"/>
                  <w:szCs w:val="12"/>
                  <w:color w:val="0000EE"/>
                  <w:w w:val="91"/>
                </w:rPr>
                <w:t>Communications Sales &amp; Leasing, Inc. Deferred Compensation Plan, effective August 10, 2015 (incorporated by reference to Exhibit 10.20 to the Company’s Quarterly Report on Form 10-Q dated and</w:t>
              </w:r>
            </w:hyperlink>
          </w:p>
        </w:tc>
        <w:tc>
          <w:tcPr>
            <w:tcW w:w="220" w:type="dxa"/>
            <w:vAlign w:val="bottom"/>
            <w:gridSpan w:val="6"/>
          </w:tcPr>
          <w:p>
            <w:pPr>
              <w:spacing w:after="0"/>
              <w:rPr>
                <w:sz w:val="12"/>
                <w:szCs w:val="12"/>
                <w:color w:val="auto"/>
              </w:rPr>
            </w:pPr>
          </w:p>
        </w:tc>
      </w:tr>
      <w:tr>
        <w:trPr>
          <w:trHeight w:val="124"/>
        </w:trPr>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80" w:type="dxa"/>
            <w:vAlign w:val="bottom"/>
            <w:tcBorders>
              <w:bottom w:val="single" w:sz="8" w:color="0000EE"/>
            </w:tcBorders>
            <w:gridSpan w:val="6"/>
          </w:tcPr>
          <w:p>
            <w:pPr>
              <w:spacing w:after="0" w:line="124" w:lineRule="exact"/>
              <w:rPr>
                <w:rFonts w:ascii="Arial" w:cs="Arial" w:eastAsia="Arial" w:hAnsi="Arial"/>
                <w:sz w:val="12"/>
                <w:szCs w:val="12"/>
                <w:color w:val="0000EE"/>
                <w:w w:val="92"/>
              </w:rPr>
            </w:pPr>
            <w:hyperlink r:id="rId184">
              <w:r>
                <w:rPr>
                  <w:rFonts w:ascii="Arial" w:cs="Arial" w:eastAsia="Arial" w:hAnsi="Arial"/>
                  <w:sz w:val="12"/>
                  <w:szCs w:val="12"/>
                  <w:color w:val="0000EE"/>
                  <w:w w:val="92"/>
                </w:rPr>
                <w:t>filed with the SEC as of August 13, 2015 (File No. 001-36708))</w:t>
              </w:r>
            </w:hyperlink>
          </w:p>
        </w:tc>
        <w:tc>
          <w:tcPr>
            <w:tcW w:w="6800" w:type="dxa"/>
            <w:vAlign w:val="bottom"/>
            <w:gridSpan w:val="19"/>
          </w:tcPr>
          <w:p>
            <w:pPr>
              <w:spacing w:after="0"/>
              <w:rPr>
                <w:sz w:val="10"/>
                <w:szCs w:val="10"/>
                <w:color w:val="auto"/>
              </w:rPr>
            </w:pPr>
          </w:p>
        </w:tc>
      </w:tr>
      <w:tr>
        <w:trPr>
          <w:trHeight w:val="142"/>
        </w:trPr>
        <w:tc>
          <w:tcPr>
            <w:tcW w:w="840" w:type="dxa"/>
            <w:vAlign w:val="bottom"/>
          </w:tcPr>
          <w:p>
            <w:pPr>
              <w:spacing w:after="0"/>
              <w:rPr>
                <w:sz w:val="20"/>
                <w:szCs w:val="20"/>
                <w:color w:val="auto"/>
              </w:rPr>
            </w:pPr>
            <w:r>
              <w:rPr>
                <w:rFonts w:ascii="Arial" w:cs="Arial" w:eastAsia="Arial" w:hAnsi="Arial"/>
                <w:sz w:val="12"/>
                <w:szCs w:val="12"/>
                <w:color w:val="auto"/>
              </w:rPr>
              <w:t>10.18</w:t>
            </w: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320" w:type="dxa"/>
            <w:vAlign w:val="bottom"/>
            <w:tcBorders>
              <w:bottom w:val="single" w:sz="8" w:color="0000EE"/>
            </w:tcBorders>
            <w:gridSpan w:val="13"/>
          </w:tcPr>
          <w:p>
            <w:pPr>
              <w:spacing w:after="0"/>
              <w:rPr>
                <w:rFonts w:ascii="Arial" w:cs="Arial" w:eastAsia="Arial" w:hAnsi="Arial"/>
                <w:sz w:val="12"/>
                <w:szCs w:val="12"/>
                <w:color w:val="0000EE"/>
                <w:w w:val="91"/>
              </w:rPr>
            </w:pPr>
            <w:hyperlink r:id="rId185">
              <w:r>
                <w:rPr>
                  <w:rFonts w:ascii="Arial" w:cs="Arial" w:eastAsia="Arial" w:hAnsi="Arial"/>
                  <w:sz w:val="12"/>
                  <w:szCs w:val="12"/>
                  <w:color w:val="0000EE"/>
                  <w:w w:val="91"/>
                </w:rPr>
                <w:t>Form of Lockup Agreement (incorporated by reference to Exhibit 10.1 to the Company’s Current Report on Form 8-K dated and filed with the SEC as of January 12, 2016 (File No. 001-36708))</w:t>
              </w:r>
            </w:hyperlink>
          </w:p>
        </w:tc>
        <w:tc>
          <w:tcPr>
            <w:tcW w:w="560" w:type="dxa"/>
            <w:vAlign w:val="bottom"/>
            <w:gridSpan w:val="12"/>
          </w:tcPr>
          <w:p>
            <w:pPr>
              <w:spacing w:after="0"/>
              <w:rPr>
                <w:sz w:val="12"/>
                <w:szCs w:val="12"/>
                <w:color w:val="auto"/>
              </w:rPr>
            </w:pPr>
          </w:p>
        </w:tc>
      </w:tr>
      <w:tr>
        <w:trPr>
          <w:trHeight w:val="142"/>
        </w:trPr>
        <w:tc>
          <w:tcPr>
            <w:tcW w:w="840" w:type="dxa"/>
            <w:vAlign w:val="bottom"/>
          </w:tcPr>
          <w:p>
            <w:pPr>
              <w:spacing w:after="0"/>
              <w:rPr>
                <w:sz w:val="20"/>
                <w:szCs w:val="20"/>
                <w:color w:val="auto"/>
              </w:rPr>
            </w:pPr>
            <w:r>
              <w:rPr>
                <w:rFonts w:ascii="Arial" w:cs="Arial" w:eastAsia="Arial" w:hAnsi="Arial"/>
                <w:sz w:val="12"/>
                <w:szCs w:val="12"/>
                <w:color w:val="auto"/>
              </w:rPr>
              <w:t>10.19</w:t>
            </w: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80" w:type="dxa"/>
            <w:vAlign w:val="bottom"/>
            <w:gridSpan w:val="25"/>
          </w:tcPr>
          <w:p>
            <w:pPr>
              <w:spacing w:after="0"/>
              <w:rPr>
                <w:rFonts w:ascii="Arial" w:cs="Arial" w:eastAsia="Arial" w:hAnsi="Arial"/>
                <w:sz w:val="12"/>
                <w:szCs w:val="12"/>
                <w:color w:val="0000EE"/>
                <w:w w:val="92"/>
              </w:rPr>
            </w:pPr>
            <w:hyperlink r:id="rId186">
              <w:r>
                <w:rPr>
                  <w:rFonts w:ascii="Arial" w:cs="Arial" w:eastAsia="Arial" w:hAnsi="Arial"/>
                  <w:sz w:val="12"/>
                  <w:szCs w:val="12"/>
                  <w:color w:val="0000EE"/>
                  <w:w w:val="92"/>
                </w:rPr>
                <w:t>Stockholders’ and Registration Rights Agreement, dated May 2, 2016, by and between Communications Sales and Leasing, Inc. and PEG Bandwidth Holdings, LLC (incorporated by reference to Exhibit</w:t>
              </w:r>
            </w:hyperlink>
          </w:p>
        </w:tc>
      </w:tr>
      <w:tr>
        <w:trPr>
          <w:trHeight w:val="124"/>
        </w:trPr>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740" w:type="dxa"/>
            <w:vAlign w:val="bottom"/>
            <w:tcBorders>
              <w:top w:val="single" w:sz="8" w:color="0000EE"/>
            </w:tcBorders>
            <w:gridSpan w:val="21"/>
          </w:tcPr>
          <w:p>
            <w:pPr>
              <w:spacing w:after="0" w:line="124" w:lineRule="exact"/>
              <w:rPr>
                <w:rFonts w:ascii="Arial" w:cs="Arial" w:eastAsia="Arial" w:hAnsi="Arial"/>
                <w:sz w:val="12"/>
                <w:szCs w:val="12"/>
                <w:color w:val="0000EE"/>
              </w:rPr>
            </w:pPr>
            <w:hyperlink r:id="rId186">
              <w:r>
                <w:rPr>
                  <w:rFonts w:ascii="Arial" w:cs="Arial" w:eastAsia="Arial" w:hAnsi="Arial"/>
                  <w:sz w:val="12"/>
                  <w:szCs w:val="12"/>
                  <w:color w:val="0000EE"/>
                </w:rPr>
                <w:t>10.</w:t>
              </w:r>
              <w:r>
                <w:rPr>
                  <w:rFonts w:ascii="Arial" w:cs="Arial" w:eastAsia="Arial" w:hAnsi="Arial"/>
                  <w:sz w:val="12"/>
                  <w:szCs w:val="12"/>
                  <w:u w:val="single" w:color="auto"/>
                  <w:color w:val="0000EE"/>
                </w:rPr>
                <w:t>1</w:t>
              </w:r>
              <w:r>
                <w:rPr>
                  <w:rFonts w:ascii="Arial" w:cs="Arial" w:eastAsia="Arial" w:hAnsi="Arial"/>
                  <w:sz w:val="12"/>
                  <w:szCs w:val="12"/>
                  <w:color w:val="0000EE"/>
                </w:rPr>
                <w:t xml:space="preserve"> to the Company’s Current Report on Form 8-K dated and filed with the SEC as of May 4, 2016 (File No. 001-36708))</w:t>
              </w:r>
            </w:hyperlink>
          </w:p>
        </w:tc>
        <w:tc>
          <w:tcPr>
            <w:tcW w:w="140" w:type="dxa"/>
            <w:vAlign w:val="bottom"/>
            <w:gridSpan w:val="4"/>
          </w:tcPr>
          <w:p>
            <w:pPr>
              <w:spacing w:after="0"/>
              <w:rPr>
                <w:sz w:val="10"/>
                <w:szCs w:val="10"/>
                <w:color w:val="auto"/>
              </w:rPr>
            </w:pPr>
          </w:p>
        </w:tc>
      </w:tr>
      <w:tr>
        <w:trPr>
          <w:trHeight w:val="20"/>
        </w:trPr>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60" w:type="dxa"/>
            <w:vAlign w:val="bottom"/>
            <w:gridSpan w:val="3"/>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00" w:type="dxa"/>
            <w:vAlign w:val="bottom"/>
            <w:gridSpan w:val="3"/>
            <w:shd w:val="clear" w:color="auto" w:fill="0000EE"/>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2"/>
        </w:trPr>
        <w:tc>
          <w:tcPr>
            <w:tcW w:w="840" w:type="dxa"/>
            <w:vAlign w:val="bottom"/>
          </w:tcPr>
          <w:p>
            <w:pPr>
              <w:spacing w:after="0"/>
              <w:rPr>
                <w:sz w:val="20"/>
                <w:szCs w:val="20"/>
                <w:color w:val="auto"/>
              </w:rPr>
            </w:pPr>
            <w:r>
              <w:rPr>
                <w:rFonts w:ascii="Arial" w:cs="Arial" w:eastAsia="Arial" w:hAnsi="Arial"/>
                <w:sz w:val="12"/>
                <w:szCs w:val="12"/>
                <w:color w:val="auto"/>
              </w:rPr>
              <w:t>10.20</w:t>
            </w: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80" w:type="dxa"/>
            <w:vAlign w:val="bottom"/>
            <w:gridSpan w:val="25"/>
          </w:tcPr>
          <w:p>
            <w:pPr>
              <w:spacing w:after="0"/>
              <w:rPr>
                <w:rFonts w:ascii="Arial" w:cs="Arial" w:eastAsia="Arial" w:hAnsi="Arial"/>
                <w:sz w:val="12"/>
                <w:szCs w:val="12"/>
                <w:color w:val="0000EE"/>
                <w:w w:val="93"/>
              </w:rPr>
            </w:pPr>
            <w:hyperlink r:id="rId187">
              <w:r>
                <w:rPr>
                  <w:rFonts w:ascii="Arial" w:cs="Arial" w:eastAsia="Arial" w:hAnsi="Arial"/>
                  <w:sz w:val="12"/>
                  <w:szCs w:val="12"/>
                  <w:color w:val="0000EE"/>
                  <w:w w:val="93"/>
                </w:rPr>
                <w:t>Amendment No. 1 to Master Lease, entered into as of February 12, 2016, by and among CSL National, L.P. and the other entities listed therein, as Landlord, and Windstream Holdings, Inc., as Tenant</w:t>
              </w:r>
            </w:hyperlink>
          </w:p>
        </w:tc>
      </w:tr>
      <w:tr>
        <w:trPr>
          <w:trHeight w:val="124"/>
        </w:trPr>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940" w:type="dxa"/>
            <w:vAlign w:val="bottom"/>
            <w:tcBorders>
              <w:top w:val="single" w:sz="8" w:color="0000EE"/>
              <w:bottom w:val="single" w:sz="8" w:color="0000EE"/>
            </w:tcBorders>
            <w:gridSpan w:val="12"/>
          </w:tcPr>
          <w:p>
            <w:pPr>
              <w:spacing w:after="0" w:line="124" w:lineRule="exact"/>
              <w:rPr>
                <w:rFonts w:ascii="Arial" w:cs="Arial" w:eastAsia="Arial" w:hAnsi="Arial"/>
                <w:sz w:val="12"/>
                <w:szCs w:val="12"/>
                <w:color w:val="0000EE"/>
                <w:w w:val="91"/>
              </w:rPr>
            </w:pPr>
            <w:hyperlink r:id="rId187">
              <w:r>
                <w:rPr>
                  <w:rFonts w:ascii="Arial" w:cs="Arial" w:eastAsia="Arial" w:hAnsi="Arial"/>
                  <w:sz w:val="12"/>
                  <w:szCs w:val="12"/>
                  <w:color w:val="0000EE"/>
                  <w:w w:val="91"/>
                </w:rPr>
                <w:t>(incorporated by reference to Exhibit 10.3 to the Company’s Quarterly Report on Form 10-Q dated and filed with the SEC as of May 12, 2016 (File No. 001-36708))</w:t>
              </w:r>
            </w:hyperlink>
          </w:p>
        </w:tc>
        <w:tc>
          <w:tcPr>
            <w:tcW w:w="1620" w:type="dxa"/>
            <w:vAlign w:val="bottom"/>
            <w:tcBorders>
              <w:top w:val="single" w:sz="8" w:color="0000EE"/>
            </w:tcBorders>
            <w:gridSpan w:val="4"/>
          </w:tcPr>
          <w:p>
            <w:pPr>
              <w:spacing w:after="0"/>
              <w:rPr>
                <w:sz w:val="10"/>
                <w:szCs w:val="10"/>
                <w:color w:val="auto"/>
              </w:rPr>
            </w:pPr>
          </w:p>
        </w:tc>
        <w:tc>
          <w:tcPr>
            <w:tcW w:w="320" w:type="dxa"/>
            <w:vAlign w:val="bottom"/>
            <w:gridSpan w:val="9"/>
          </w:tcPr>
          <w:p>
            <w:pPr>
              <w:spacing w:after="0"/>
              <w:rPr>
                <w:sz w:val="10"/>
                <w:szCs w:val="10"/>
                <w:color w:val="auto"/>
              </w:rPr>
            </w:pPr>
          </w:p>
        </w:tc>
      </w:tr>
      <w:tr>
        <w:trPr>
          <w:trHeight w:val="142"/>
        </w:trPr>
        <w:tc>
          <w:tcPr>
            <w:tcW w:w="840" w:type="dxa"/>
            <w:vAlign w:val="bottom"/>
          </w:tcPr>
          <w:p>
            <w:pPr>
              <w:spacing w:after="0"/>
              <w:rPr>
                <w:sz w:val="20"/>
                <w:szCs w:val="20"/>
                <w:color w:val="auto"/>
              </w:rPr>
            </w:pPr>
            <w:r>
              <w:rPr>
                <w:rFonts w:ascii="Arial" w:cs="Arial" w:eastAsia="Arial" w:hAnsi="Arial"/>
                <w:sz w:val="12"/>
                <w:szCs w:val="12"/>
                <w:color w:val="auto"/>
              </w:rPr>
              <w:t>10.21+</w:t>
            </w: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80" w:type="dxa"/>
            <w:vAlign w:val="bottom"/>
            <w:tcBorders>
              <w:bottom w:val="single" w:sz="8" w:color="0000EE"/>
            </w:tcBorders>
            <w:gridSpan w:val="25"/>
          </w:tcPr>
          <w:p>
            <w:pPr>
              <w:spacing w:after="0"/>
              <w:rPr>
                <w:rFonts w:ascii="Arial" w:cs="Arial" w:eastAsia="Arial" w:hAnsi="Arial"/>
                <w:sz w:val="12"/>
                <w:szCs w:val="12"/>
                <w:color w:val="0000EE"/>
                <w:w w:val="91"/>
              </w:rPr>
            </w:pPr>
            <w:hyperlink r:id="rId188">
              <w:r>
                <w:rPr>
                  <w:rFonts w:ascii="Arial" w:cs="Arial" w:eastAsia="Arial" w:hAnsi="Arial"/>
                  <w:sz w:val="12"/>
                  <w:szCs w:val="12"/>
                  <w:color w:val="0000EE"/>
                  <w:w w:val="91"/>
                </w:rPr>
                <w:t>Communications Sales &amp; Leasing, Inc. 2016 Short Term Incentive Plan (incorporated by reference to Exhibit 10.1 to the Company’s Quarterly Report on Form 10-Q dated and filed with the SEC as of May</w:t>
              </w:r>
            </w:hyperlink>
          </w:p>
        </w:tc>
      </w:tr>
      <w:tr>
        <w:trPr>
          <w:trHeight w:val="124"/>
        </w:trPr>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60" w:type="dxa"/>
            <w:vAlign w:val="bottom"/>
            <w:tcBorders>
              <w:bottom w:val="single" w:sz="8" w:color="0000EE"/>
            </w:tcBorders>
            <w:gridSpan w:val="3"/>
          </w:tcPr>
          <w:p>
            <w:pPr>
              <w:spacing w:after="0" w:line="124" w:lineRule="exact"/>
              <w:rPr>
                <w:rFonts w:ascii="Arial" w:cs="Arial" w:eastAsia="Arial" w:hAnsi="Arial"/>
                <w:sz w:val="12"/>
                <w:szCs w:val="12"/>
                <w:color w:val="0000EE"/>
                <w:w w:val="91"/>
              </w:rPr>
            </w:pPr>
            <w:hyperlink r:id="rId188">
              <w:r>
                <w:rPr>
                  <w:rFonts w:ascii="Arial" w:cs="Arial" w:eastAsia="Arial" w:hAnsi="Arial"/>
                  <w:sz w:val="12"/>
                  <w:szCs w:val="12"/>
                  <w:color w:val="0000EE"/>
                  <w:w w:val="91"/>
                </w:rPr>
                <w:t>4, 2017 (File No. 001-36708))</w:t>
              </w:r>
            </w:hyperlink>
          </w:p>
        </w:tc>
        <w:tc>
          <w:tcPr>
            <w:tcW w:w="8420" w:type="dxa"/>
            <w:vAlign w:val="bottom"/>
            <w:gridSpan w:val="22"/>
          </w:tcPr>
          <w:p>
            <w:pPr>
              <w:spacing w:after="0"/>
              <w:rPr>
                <w:sz w:val="10"/>
                <w:szCs w:val="10"/>
                <w:color w:val="auto"/>
              </w:rPr>
            </w:pPr>
          </w:p>
        </w:tc>
      </w:tr>
      <w:tr>
        <w:trPr>
          <w:trHeight w:val="142"/>
        </w:trPr>
        <w:tc>
          <w:tcPr>
            <w:tcW w:w="840" w:type="dxa"/>
            <w:vAlign w:val="bottom"/>
          </w:tcPr>
          <w:p>
            <w:pPr>
              <w:spacing w:after="0"/>
              <w:rPr>
                <w:sz w:val="20"/>
                <w:szCs w:val="20"/>
                <w:color w:val="auto"/>
              </w:rPr>
            </w:pPr>
            <w:r>
              <w:rPr>
                <w:rFonts w:ascii="Arial" w:cs="Arial" w:eastAsia="Arial" w:hAnsi="Arial"/>
                <w:sz w:val="12"/>
                <w:szCs w:val="12"/>
                <w:color w:val="auto"/>
              </w:rPr>
              <w:t>10.22</w:t>
            </w: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60" w:type="dxa"/>
            <w:vAlign w:val="bottom"/>
            <w:tcBorders>
              <w:bottom w:val="single" w:sz="8" w:color="0000EE"/>
            </w:tcBorders>
            <w:gridSpan w:val="24"/>
          </w:tcPr>
          <w:p>
            <w:pPr>
              <w:spacing w:after="0"/>
              <w:rPr>
                <w:rFonts w:ascii="Arial" w:cs="Arial" w:eastAsia="Arial" w:hAnsi="Arial"/>
                <w:sz w:val="12"/>
                <w:szCs w:val="12"/>
                <w:color w:val="0000EE"/>
                <w:w w:val="90"/>
              </w:rPr>
            </w:pPr>
            <w:hyperlink r:id="rId189">
              <w:r>
                <w:rPr>
                  <w:rFonts w:ascii="Arial" w:cs="Arial" w:eastAsia="Arial" w:hAnsi="Arial"/>
                  <w:sz w:val="12"/>
                  <w:szCs w:val="12"/>
                  <w:color w:val="0000EE"/>
                  <w:w w:val="90"/>
                </w:rPr>
                <w:t>Letter Agreement between Searchlight II CLS, L.P. and Communications Sales and Leasing, Inc. dated as of June 15, 2016 (incorporated by reference to Exhibit 10.1 to the Company’s Quarterly Report on</w:t>
              </w:r>
            </w:hyperlink>
          </w:p>
        </w:tc>
        <w:tc>
          <w:tcPr>
            <w:tcW w:w="20" w:type="dxa"/>
            <w:vAlign w:val="bottom"/>
          </w:tcPr>
          <w:p>
            <w:pPr>
              <w:spacing w:after="0"/>
              <w:rPr>
                <w:sz w:val="12"/>
                <w:szCs w:val="12"/>
                <w:color w:val="auto"/>
              </w:rPr>
            </w:pPr>
          </w:p>
        </w:tc>
      </w:tr>
      <w:tr>
        <w:trPr>
          <w:trHeight w:val="124"/>
        </w:trPr>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880" w:type="dxa"/>
            <w:vAlign w:val="bottom"/>
            <w:gridSpan w:val="25"/>
          </w:tcPr>
          <w:p>
            <w:pPr>
              <w:spacing w:after="0" w:line="124" w:lineRule="exact"/>
              <w:rPr>
                <w:rFonts w:ascii="Arial" w:cs="Arial" w:eastAsia="Arial" w:hAnsi="Arial"/>
                <w:sz w:val="12"/>
                <w:szCs w:val="12"/>
                <w:color w:val="0000EE"/>
              </w:rPr>
            </w:pPr>
            <w:hyperlink r:id="rId189">
              <w:r>
                <w:rPr>
                  <w:rFonts w:ascii="Arial" w:cs="Arial" w:eastAsia="Arial" w:hAnsi="Arial"/>
                  <w:sz w:val="12"/>
                  <w:szCs w:val="12"/>
                  <w:color w:val="0000EE"/>
                </w:rPr>
                <w:t>Form 10-Q dated and filed with the SEC as of August 11, 2016 (File No. 001-36708))</w:t>
              </w:r>
            </w:hyperlink>
          </w:p>
        </w:tc>
      </w:tr>
      <w:tr>
        <w:trPr>
          <w:trHeight w:val="20"/>
        </w:trPr>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00" w:type="dxa"/>
            <w:vAlign w:val="bottom"/>
            <w:gridSpan w:val="3"/>
            <w:shd w:val="clear" w:color="auto" w:fill="0000EE"/>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29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42"/>
        </w:trPr>
        <w:tc>
          <w:tcPr>
            <w:tcW w:w="840" w:type="dxa"/>
            <w:vAlign w:val="bottom"/>
          </w:tcPr>
          <w:p>
            <w:pPr>
              <w:spacing w:after="0"/>
              <w:rPr>
                <w:sz w:val="20"/>
                <w:szCs w:val="20"/>
                <w:color w:val="auto"/>
              </w:rPr>
            </w:pPr>
            <w:r>
              <w:rPr>
                <w:rFonts w:ascii="Arial" w:cs="Arial" w:eastAsia="Arial" w:hAnsi="Arial"/>
                <w:sz w:val="12"/>
                <w:szCs w:val="12"/>
                <w:color w:val="auto"/>
              </w:rPr>
              <w:t>10.23</w:t>
            </w: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660" w:type="dxa"/>
            <w:vAlign w:val="bottom"/>
            <w:tcBorders>
              <w:bottom w:val="single" w:sz="8" w:color="0000EE"/>
            </w:tcBorders>
            <w:gridSpan w:val="19"/>
          </w:tcPr>
          <w:p>
            <w:pPr>
              <w:spacing w:after="0"/>
              <w:rPr>
                <w:rFonts w:ascii="Arial" w:cs="Arial" w:eastAsia="Arial" w:hAnsi="Arial"/>
                <w:sz w:val="12"/>
                <w:szCs w:val="12"/>
                <w:color w:val="0000EE"/>
                <w:w w:val="89"/>
              </w:rPr>
            </w:pPr>
            <w:hyperlink r:id="rId190">
              <w:r>
                <w:rPr>
                  <w:rFonts w:ascii="Arial" w:cs="Arial" w:eastAsia="Arial" w:hAnsi="Arial"/>
                  <w:sz w:val="12"/>
                  <w:szCs w:val="12"/>
                  <w:color w:val="0000EE"/>
                  <w:w w:val="89"/>
                </w:rPr>
                <w:t>Registration Rights Agreement by and among each of the parties listed on the signature pages thereto and Communications Sales &amp; Leasing, Inc. dated as of June 15, 2016 (incorporated by reference to</w:t>
              </w:r>
            </w:hyperlink>
          </w:p>
        </w:tc>
        <w:tc>
          <w:tcPr>
            <w:tcW w:w="220" w:type="dxa"/>
            <w:vAlign w:val="bottom"/>
            <w:gridSpan w:val="6"/>
          </w:tcPr>
          <w:p>
            <w:pPr>
              <w:spacing w:after="0"/>
              <w:rPr>
                <w:sz w:val="12"/>
                <w:szCs w:val="12"/>
                <w:color w:val="auto"/>
              </w:rPr>
            </w:pPr>
          </w:p>
        </w:tc>
      </w:tr>
      <w:tr>
        <w:trPr>
          <w:trHeight w:val="124"/>
        </w:trPr>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880" w:type="dxa"/>
            <w:vAlign w:val="bottom"/>
            <w:gridSpan w:val="25"/>
          </w:tcPr>
          <w:p>
            <w:pPr>
              <w:spacing w:after="0" w:line="124" w:lineRule="exact"/>
              <w:rPr>
                <w:rFonts w:ascii="Arial" w:cs="Arial" w:eastAsia="Arial" w:hAnsi="Arial"/>
                <w:sz w:val="12"/>
                <w:szCs w:val="12"/>
                <w:color w:val="0000EE"/>
              </w:rPr>
            </w:pPr>
            <w:hyperlink r:id="rId190">
              <w:r>
                <w:rPr>
                  <w:rFonts w:ascii="Arial" w:cs="Arial" w:eastAsia="Arial" w:hAnsi="Arial"/>
                  <w:sz w:val="12"/>
                  <w:szCs w:val="12"/>
                  <w:color w:val="0000EE"/>
                </w:rPr>
                <w:t>Exhibit 10.2 to the Company’s Quarterly Report on Form 10-Q dated and filed with the SEC as of August 11, 2016 (File No. 001-36708))</w:t>
              </w:r>
            </w:hyperlink>
          </w:p>
        </w:tc>
      </w:tr>
      <w:tr>
        <w:trPr>
          <w:trHeight w:val="20"/>
        </w:trPr>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0" w:type="dxa"/>
            <w:vAlign w:val="bottom"/>
            <w:gridSpan w:val="6"/>
            <w:shd w:val="clear" w:color="auto" w:fill="0000EE"/>
          </w:tcPr>
          <w:p>
            <w:pPr>
              <w:spacing w:after="0" w:line="20" w:lineRule="exact"/>
              <w:rPr>
                <w:sz w:val="1"/>
                <w:szCs w:val="1"/>
                <w:color w:val="auto"/>
              </w:rPr>
            </w:pPr>
          </w:p>
        </w:tc>
        <w:tc>
          <w:tcPr>
            <w:tcW w:w="29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42"/>
        </w:trPr>
        <w:tc>
          <w:tcPr>
            <w:tcW w:w="840" w:type="dxa"/>
            <w:vAlign w:val="bottom"/>
          </w:tcPr>
          <w:p>
            <w:pPr>
              <w:spacing w:after="0"/>
              <w:rPr>
                <w:sz w:val="20"/>
                <w:szCs w:val="20"/>
                <w:color w:val="auto"/>
              </w:rPr>
            </w:pPr>
            <w:r>
              <w:rPr>
                <w:rFonts w:ascii="Arial" w:cs="Arial" w:eastAsia="Arial" w:hAnsi="Arial"/>
                <w:sz w:val="12"/>
                <w:szCs w:val="12"/>
                <w:color w:val="auto"/>
              </w:rPr>
              <w:t>10.24</w:t>
            </w: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540" w:type="dxa"/>
            <w:vAlign w:val="bottom"/>
            <w:tcBorders>
              <w:bottom w:val="single" w:sz="8" w:color="0000EE"/>
            </w:tcBorders>
            <w:gridSpan w:val="15"/>
          </w:tcPr>
          <w:p>
            <w:pPr>
              <w:spacing w:after="0"/>
              <w:rPr>
                <w:rFonts w:ascii="Arial" w:cs="Arial" w:eastAsia="Arial" w:hAnsi="Arial"/>
                <w:sz w:val="12"/>
                <w:szCs w:val="12"/>
                <w:color w:val="0000EE"/>
                <w:w w:val="90"/>
              </w:rPr>
            </w:pPr>
            <w:hyperlink r:id="rId191">
              <w:r>
                <w:rPr>
                  <w:rFonts w:ascii="Arial" w:cs="Arial" w:eastAsia="Arial" w:hAnsi="Arial"/>
                  <w:sz w:val="12"/>
                  <w:szCs w:val="12"/>
                  <w:color w:val="0000EE"/>
                  <w:w w:val="90"/>
                </w:rPr>
                <w:t>Amendment No. 1 to the Credit Agreement, dated as of October 21, 2016 by and among Communications Sales &amp; Leasing, Inc. and CSL Capital, LLC, as borrowers, the guarantors party thereto, the</w:t>
              </w:r>
            </w:hyperlink>
          </w:p>
        </w:tc>
        <w:tc>
          <w:tcPr>
            <w:tcW w:w="340" w:type="dxa"/>
            <w:vAlign w:val="bottom"/>
            <w:gridSpan w:val="10"/>
          </w:tcPr>
          <w:p>
            <w:pPr>
              <w:spacing w:after="0"/>
              <w:rPr>
                <w:sz w:val="12"/>
                <w:szCs w:val="12"/>
                <w:color w:val="auto"/>
              </w:rPr>
            </w:pPr>
          </w:p>
        </w:tc>
      </w:tr>
      <w:tr>
        <w:trPr>
          <w:trHeight w:val="124"/>
        </w:trPr>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840" w:type="dxa"/>
            <w:vAlign w:val="bottom"/>
            <w:tcBorders>
              <w:bottom w:val="single" w:sz="8" w:color="0000EE"/>
            </w:tcBorders>
            <w:gridSpan w:val="23"/>
          </w:tcPr>
          <w:p>
            <w:pPr>
              <w:spacing w:after="0" w:line="124" w:lineRule="exact"/>
              <w:rPr>
                <w:rFonts w:ascii="Arial" w:cs="Arial" w:eastAsia="Arial" w:hAnsi="Arial"/>
                <w:sz w:val="12"/>
                <w:szCs w:val="12"/>
                <w:color w:val="0000EE"/>
                <w:w w:val="91"/>
              </w:rPr>
            </w:pPr>
            <w:hyperlink r:id="rId191">
              <w:r>
                <w:rPr>
                  <w:rFonts w:ascii="Arial" w:cs="Arial" w:eastAsia="Arial" w:hAnsi="Arial"/>
                  <w:sz w:val="12"/>
                  <w:szCs w:val="12"/>
                  <w:color w:val="0000EE"/>
                  <w:w w:val="91"/>
                </w:rPr>
                <w:t>lenders party thereto, and Bank of America, N.A., as administrative agent and collateral agent (incorporated by reference to Exhibit 10.1 to the Company’s Current Report on Form 8-K dated and filed with</w:t>
              </w:r>
            </w:hyperlink>
          </w:p>
        </w:tc>
        <w:tc>
          <w:tcPr>
            <w:tcW w:w="40" w:type="dxa"/>
            <w:vAlign w:val="bottom"/>
            <w:gridSpan w:val="2"/>
          </w:tcPr>
          <w:p>
            <w:pPr>
              <w:spacing w:after="0"/>
              <w:rPr>
                <w:sz w:val="10"/>
                <w:szCs w:val="10"/>
                <w:color w:val="auto"/>
              </w:rPr>
            </w:pPr>
          </w:p>
        </w:tc>
      </w:tr>
      <w:tr>
        <w:trPr>
          <w:trHeight w:val="124"/>
        </w:trPr>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620" w:type="dxa"/>
            <w:vAlign w:val="bottom"/>
            <w:tcBorders>
              <w:bottom w:val="single" w:sz="8" w:color="0000EE"/>
            </w:tcBorders>
            <w:gridSpan w:val="5"/>
          </w:tcPr>
          <w:p>
            <w:pPr>
              <w:spacing w:after="0" w:line="124" w:lineRule="exact"/>
              <w:rPr>
                <w:rFonts w:ascii="Arial" w:cs="Arial" w:eastAsia="Arial" w:hAnsi="Arial"/>
                <w:sz w:val="12"/>
                <w:szCs w:val="12"/>
                <w:color w:val="0000EE"/>
                <w:w w:val="90"/>
              </w:rPr>
            </w:pPr>
            <w:hyperlink r:id="rId191">
              <w:r>
                <w:rPr>
                  <w:rFonts w:ascii="Arial" w:cs="Arial" w:eastAsia="Arial" w:hAnsi="Arial"/>
                  <w:sz w:val="12"/>
                  <w:szCs w:val="12"/>
                  <w:color w:val="0000EE"/>
                  <w:w w:val="90"/>
                </w:rPr>
                <w:t>the SEC as of October 21, 2016 (File No. 001-36708))</w:t>
              </w:r>
            </w:hyperlink>
          </w:p>
        </w:tc>
        <w:tc>
          <w:tcPr>
            <w:tcW w:w="7260" w:type="dxa"/>
            <w:vAlign w:val="bottom"/>
            <w:gridSpan w:val="20"/>
          </w:tcPr>
          <w:p>
            <w:pPr>
              <w:spacing w:after="0"/>
              <w:rPr>
                <w:sz w:val="10"/>
                <w:szCs w:val="10"/>
                <w:color w:val="auto"/>
              </w:rPr>
            </w:pPr>
          </w:p>
        </w:tc>
      </w:tr>
      <w:tr>
        <w:trPr>
          <w:trHeight w:val="142"/>
        </w:trPr>
        <w:tc>
          <w:tcPr>
            <w:tcW w:w="840" w:type="dxa"/>
            <w:vAlign w:val="bottom"/>
          </w:tcPr>
          <w:p>
            <w:pPr>
              <w:spacing w:after="0"/>
              <w:rPr>
                <w:sz w:val="20"/>
                <w:szCs w:val="20"/>
                <w:color w:val="auto"/>
              </w:rPr>
            </w:pPr>
            <w:r>
              <w:rPr>
                <w:rFonts w:ascii="Arial" w:cs="Arial" w:eastAsia="Arial" w:hAnsi="Arial"/>
                <w:sz w:val="12"/>
                <w:szCs w:val="12"/>
                <w:color w:val="auto"/>
              </w:rPr>
              <w:t>10.25</w:t>
            </w: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80" w:type="dxa"/>
            <w:vAlign w:val="bottom"/>
            <w:gridSpan w:val="25"/>
          </w:tcPr>
          <w:p>
            <w:pPr>
              <w:spacing w:after="0"/>
              <w:rPr>
                <w:rFonts w:ascii="Arial" w:cs="Arial" w:eastAsia="Arial" w:hAnsi="Arial"/>
                <w:sz w:val="12"/>
                <w:szCs w:val="12"/>
                <w:color w:val="0000EE"/>
                <w:w w:val="93"/>
              </w:rPr>
            </w:pPr>
            <w:hyperlink r:id="rId192">
              <w:r>
                <w:rPr>
                  <w:rFonts w:ascii="Arial" w:cs="Arial" w:eastAsia="Arial" w:hAnsi="Arial"/>
                  <w:sz w:val="12"/>
                  <w:szCs w:val="12"/>
                  <w:color w:val="0000EE"/>
                  <w:w w:val="93"/>
                </w:rPr>
                <w:t>Amendment No. 2 to the Credit Agreement, dated as of February 9, 2017 by and among Communications Sales &amp; Leasing, Inc. and CSL Capital, LLC, as borrowers, the guarantors party thereto, the</w:t>
              </w:r>
            </w:hyperlink>
          </w:p>
        </w:tc>
      </w:tr>
      <w:tr>
        <w:trPr>
          <w:trHeight w:val="20"/>
        </w:trPr>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0" w:type="dxa"/>
            <w:vAlign w:val="bottom"/>
            <w:gridSpan w:val="4"/>
            <w:shd w:val="clear" w:color="auto" w:fill="0000EE"/>
          </w:tcPr>
          <w:p>
            <w:pPr>
              <w:spacing w:after="0" w:line="20" w:lineRule="exact"/>
              <w:rPr>
                <w:sz w:val="1"/>
                <w:szCs w:val="1"/>
                <w:color w:val="auto"/>
              </w:rPr>
            </w:pPr>
          </w:p>
        </w:tc>
        <w:tc>
          <w:tcPr>
            <w:tcW w:w="6920" w:type="dxa"/>
            <w:vAlign w:val="bottom"/>
            <w:gridSpan w:val="10"/>
            <w:shd w:val="clear" w:color="auto" w:fill="0000EE"/>
          </w:tcPr>
          <w:p>
            <w:pPr>
              <w:spacing w:after="0" w:line="20" w:lineRule="exact"/>
              <w:rPr>
                <w:sz w:val="1"/>
                <w:szCs w:val="1"/>
                <w:color w:val="auto"/>
              </w:rPr>
            </w:pPr>
          </w:p>
        </w:tc>
        <w:tc>
          <w:tcPr>
            <w:tcW w:w="360" w:type="dxa"/>
            <w:vAlign w:val="bottom"/>
            <w:gridSpan w:val="11"/>
          </w:tcPr>
          <w:p>
            <w:pPr>
              <w:spacing w:after="0" w:line="20" w:lineRule="exact"/>
              <w:rPr>
                <w:sz w:val="1"/>
                <w:szCs w:val="1"/>
                <w:color w:val="auto"/>
              </w:rPr>
            </w:pPr>
          </w:p>
        </w:tc>
      </w:tr>
      <w:tr>
        <w:trPr>
          <w:trHeight w:val="124"/>
        </w:trPr>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840" w:type="dxa"/>
            <w:vAlign w:val="bottom"/>
            <w:tcBorders>
              <w:bottom w:val="single" w:sz="8" w:color="0000EE"/>
            </w:tcBorders>
            <w:gridSpan w:val="23"/>
          </w:tcPr>
          <w:p>
            <w:pPr>
              <w:spacing w:after="0" w:line="124" w:lineRule="exact"/>
              <w:rPr>
                <w:rFonts w:ascii="Arial" w:cs="Arial" w:eastAsia="Arial" w:hAnsi="Arial"/>
                <w:sz w:val="12"/>
                <w:szCs w:val="12"/>
                <w:color w:val="0000EE"/>
                <w:w w:val="91"/>
              </w:rPr>
            </w:pPr>
            <w:hyperlink r:id="rId192">
              <w:r>
                <w:rPr>
                  <w:rFonts w:ascii="Arial" w:cs="Arial" w:eastAsia="Arial" w:hAnsi="Arial"/>
                  <w:sz w:val="12"/>
                  <w:szCs w:val="12"/>
                  <w:color w:val="0000EE"/>
                  <w:w w:val="91"/>
                </w:rPr>
                <w:t>lenders party thereto, and Bank of America, N.A., as administrative agent and collateral agent (incorporated by reference to Exhibit 10.1 to the Company’s Current Report on Form 8-K dated and filed with</w:t>
              </w:r>
            </w:hyperlink>
          </w:p>
        </w:tc>
        <w:tc>
          <w:tcPr>
            <w:tcW w:w="40" w:type="dxa"/>
            <w:vAlign w:val="bottom"/>
            <w:gridSpan w:val="2"/>
          </w:tcPr>
          <w:p>
            <w:pPr>
              <w:spacing w:after="0"/>
              <w:rPr>
                <w:sz w:val="10"/>
                <w:szCs w:val="10"/>
                <w:color w:val="auto"/>
              </w:rPr>
            </w:pPr>
          </w:p>
        </w:tc>
      </w:tr>
      <w:tr>
        <w:trPr>
          <w:trHeight w:val="124"/>
        </w:trPr>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880" w:type="dxa"/>
            <w:vAlign w:val="bottom"/>
            <w:gridSpan w:val="25"/>
          </w:tcPr>
          <w:p>
            <w:pPr>
              <w:spacing w:after="0" w:line="124" w:lineRule="exact"/>
              <w:rPr>
                <w:rFonts w:ascii="Arial" w:cs="Arial" w:eastAsia="Arial" w:hAnsi="Arial"/>
                <w:sz w:val="12"/>
                <w:szCs w:val="12"/>
                <w:color w:val="0000EE"/>
              </w:rPr>
            </w:pPr>
            <w:hyperlink r:id="rId192">
              <w:r>
                <w:rPr>
                  <w:rFonts w:ascii="Arial" w:cs="Arial" w:eastAsia="Arial" w:hAnsi="Arial"/>
                  <w:sz w:val="12"/>
                  <w:szCs w:val="12"/>
                  <w:color w:val="0000EE"/>
                </w:rPr>
                <w:t>the SEC as of February 9, 2017 (File No. 001-36708))</w:t>
              </w:r>
            </w:hyperlink>
          </w:p>
        </w:tc>
      </w:tr>
      <w:tr>
        <w:trPr>
          <w:trHeight w:val="304"/>
        </w:trPr>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0" w:type="dxa"/>
            <w:vAlign w:val="bottom"/>
            <w:tcBorders>
              <w:top w:val="single" w:sz="8" w:color="0000EE"/>
            </w:tcBorders>
            <w:gridSpan w:val="4"/>
          </w:tcPr>
          <w:p>
            <w:pPr>
              <w:spacing w:after="0"/>
              <w:rPr>
                <w:sz w:val="24"/>
                <w:szCs w:val="24"/>
                <w:color w:val="auto"/>
              </w:rPr>
            </w:pPr>
          </w:p>
        </w:tc>
        <w:tc>
          <w:tcPr>
            <w:tcW w:w="1960" w:type="dxa"/>
            <w:vAlign w:val="bottom"/>
            <w:gridSpan w:val="5"/>
          </w:tcPr>
          <w:p>
            <w:pPr>
              <w:jc w:val="right"/>
              <w:ind w:right="360"/>
              <w:spacing w:after="0"/>
              <w:rPr>
                <w:sz w:val="20"/>
                <w:szCs w:val="20"/>
                <w:color w:val="auto"/>
              </w:rPr>
            </w:pPr>
            <w:r>
              <w:rPr>
                <w:rFonts w:ascii="Arial" w:cs="Arial" w:eastAsia="Arial" w:hAnsi="Arial"/>
                <w:sz w:val="12"/>
                <w:szCs w:val="12"/>
                <w:color w:val="auto"/>
              </w:rPr>
              <w:t>107</w:t>
            </w:r>
          </w:p>
        </w:tc>
        <w:tc>
          <w:tcPr>
            <w:tcW w:w="1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2"/>
        </w:trPr>
        <w:tc>
          <w:tcPr>
            <w:tcW w:w="840" w:type="dxa"/>
            <w:vAlign w:val="bottom"/>
            <w:tcBorders>
              <w:bottom w:val="single" w:sz="8" w:color="9A9A9A"/>
            </w:tcBorders>
          </w:tcPr>
          <w:p>
            <w:pPr>
              <w:spacing w:after="0"/>
              <w:rPr>
                <w:sz w:val="6"/>
                <w:szCs w:val="6"/>
                <w:color w:val="auto"/>
              </w:rPr>
            </w:pPr>
          </w:p>
        </w:tc>
        <w:tc>
          <w:tcPr>
            <w:tcW w:w="42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460" w:type="dxa"/>
            <w:vAlign w:val="bottom"/>
            <w:tcBorders>
              <w:bottom w:val="single" w:sz="8" w:color="9A9A9A"/>
            </w:tcBorders>
          </w:tcPr>
          <w:p>
            <w:pPr>
              <w:spacing w:after="0"/>
              <w:rPr>
                <w:sz w:val="6"/>
                <w:szCs w:val="6"/>
                <w:color w:val="auto"/>
              </w:rPr>
            </w:pPr>
          </w:p>
        </w:tc>
        <w:tc>
          <w:tcPr>
            <w:tcW w:w="40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460" w:type="dxa"/>
            <w:vAlign w:val="bottom"/>
            <w:tcBorders>
              <w:bottom w:val="single" w:sz="8" w:color="9A9A9A"/>
            </w:tcBorders>
          </w:tcPr>
          <w:p>
            <w:pPr>
              <w:spacing w:after="0"/>
              <w:rPr>
                <w:sz w:val="6"/>
                <w:szCs w:val="6"/>
                <w:color w:val="auto"/>
              </w:rPr>
            </w:pPr>
          </w:p>
        </w:tc>
        <w:tc>
          <w:tcPr>
            <w:tcW w:w="96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44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720" w:type="dxa"/>
            <w:vAlign w:val="bottom"/>
            <w:tcBorders>
              <w:bottom w:val="single" w:sz="8" w:color="9A9A9A"/>
            </w:tcBorders>
          </w:tcPr>
          <w:p>
            <w:pPr>
              <w:spacing w:after="0"/>
              <w:rPr>
                <w:sz w:val="6"/>
                <w:szCs w:val="6"/>
                <w:color w:val="auto"/>
              </w:rPr>
            </w:pPr>
          </w:p>
        </w:tc>
        <w:tc>
          <w:tcPr>
            <w:tcW w:w="1320" w:type="dxa"/>
            <w:vAlign w:val="bottom"/>
            <w:tcBorders>
              <w:bottom w:val="single" w:sz="8" w:color="9A9A9A"/>
            </w:tcBorders>
          </w:tcPr>
          <w:p>
            <w:pPr>
              <w:spacing w:after="0"/>
              <w:rPr>
                <w:sz w:val="6"/>
                <w:szCs w:val="6"/>
                <w:color w:val="auto"/>
              </w:rPr>
            </w:pPr>
          </w:p>
        </w:tc>
        <w:tc>
          <w:tcPr>
            <w:tcW w:w="138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7280275</wp:posOffset>
            </wp:positionH>
            <wp:positionV relativeFrom="paragraph">
              <wp:posOffset>-23495</wp:posOffset>
            </wp:positionV>
            <wp:extent cx="31115" cy="3683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9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9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0"/>
          </w:cols>
          <w:pgMar w:left="220" w:top="119" w:right="179" w:bottom="1440" w:gutter="0" w:footer="0" w:header="0"/>
        </w:sectPr>
      </w:pPr>
    </w:p>
    <w:bookmarkStart w:id="107" w:name="page108"/>
    <w:bookmarkEnd w:id="107"/>
    <w:tbl>
      <w:tblPr>
        <w:tblLayout w:type="fixed"/>
        <w:tblInd w:w="8" w:type="dxa"/>
        <w:tblCellMar>
          <w:top w:w="0" w:type="dxa"/>
          <w:left w:w="0" w:type="dxa"/>
          <w:bottom w:w="0" w:type="dxa"/>
          <w:right w:w="0" w:type="dxa"/>
        </w:tblCellMar>
      </w:tblPr>
      <w:tr>
        <w:trPr>
          <w:trHeight w:val="138"/>
        </w:trPr>
        <w:tc>
          <w:tcPr>
            <w:tcW w:w="1620" w:type="dxa"/>
            <w:vAlign w:val="bottom"/>
            <w:gridSpan w:val="3"/>
          </w:tcPr>
          <w:p>
            <w:pPr>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tc>
        <w:tc>
          <w:tcPr>
            <w:tcW w:w="1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620" w:type="dxa"/>
            <w:vAlign w:val="bottom"/>
            <w:gridSpan w:val="3"/>
          </w:tcPr>
          <w:p>
            <w:pPr>
              <w:ind w:left="320"/>
              <w:spacing w:after="0"/>
              <w:rPr>
                <w:sz w:val="20"/>
                <w:szCs w:val="20"/>
                <w:color w:val="auto"/>
              </w:rPr>
            </w:pPr>
            <w:r>
              <w:rPr>
                <w:rFonts w:ascii="Arial" w:cs="Arial" w:eastAsia="Arial" w:hAnsi="Arial"/>
                <w:sz w:val="12"/>
                <w:szCs w:val="12"/>
                <w:b w:val="1"/>
                <w:bCs w:val="1"/>
                <w:color w:val="auto"/>
              </w:rPr>
              <w:t>Exhibit No.</w:t>
            </w:r>
          </w:p>
        </w:tc>
        <w:tc>
          <w:tcPr>
            <w:tcW w:w="1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620" w:type="dxa"/>
            <w:vAlign w:val="bottom"/>
            <w:gridSpan w:val="9"/>
          </w:tcPr>
          <w:p>
            <w:pPr>
              <w:ind w:left="380"/>
              <w:spacing w:after="0"/>
              <w:rPr>
                <w:sz w:val="20"/>
                <w:szCs w:val="20"/>
                <w:color w:val="auto"/>
              </w:rPr>
            </w:pPr>
            <w:r>
              <w:rPr>
                <w:rFonts w:ascii="Arial" w:cs="Arial" w:eastAsia="Arial" w:hAnsi="Arial"/>
                <w:sz w:val="12"/>
                <w:szCs w:val="12"/>
                <w:b w:val="1"/>
                <w:bCs w:val="1"/>
                <w:color w:val="auto"/>
              </w:rPr>
              <w:t>Description</w:t>
            </w:r>
          </w:p>
        </w:tc>
      </w:tr>
      <w:tr>
        <w:trPr>
          <w:trHeight w:val="120"/>
        </w:trPr>
        <w:tc>
          <w:tcPr>
            <w:tcW w:w="840" w:type="dxa"/>
            <w:vAlign w:val="bottom"/>
            <w:tcBorders>
              <w:top w:val="single" w:sz="8" w:color="auto"/>
            </w:tcBorders>
          </w:tcPr>
          <w:p>
            <w:pPr>
              <w:spacing w:after="0" w:line="120" w:lineRule="exact"/>
              <w:rPr>
                <w:sz w:val="20"/>
                <w:szCs w:val="20"/>
                <w:color w:val="auto"/>
              </w:rPr>
            </w:pPr>
            <w:r>
              <w:rPr>
                <w:rFonts w:ascii="Arial" w:cs="Arial" w:eastAsia="Arial" w:hAnsi="Arial"/>
                <w:sz w:val="12"/>
                <w:szCs w:val="12"/>
                <w:color w:val="auto"/>
              </w:rPr>
              <w:t>10.26</w:t>
            </w:r>
          </w:p>
        </w:tc>
        <w:tc>
          <w:tcPr>
            <w:tcW w:w="42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9860" w:type="dxa"/>
            <w:vAlign w:val="bottom"/>
            <w:tcBorders>
              <w:top w:val="single" w:sz="8" w:color="auto"/>
              <w:bottom w:val="single" w:sz="8" w:color="0000EE"/>
            </w:tcBorders>
            <w:gridSpan w:val="13"/>
          </w:tcPr>
          <w:p>
            <w:pPr>
              <w:spacing w:after="0" w:line="120" w:lineRule="exact"/>
              <w:rPr>
                <w:rFonts w:ascii="Arial" w:cs="Arial" w:eastAsia="Arial" w:hAnsi="Arial"/>
                <w:sz w:val="12"/>
                <w:szCs w:val="12"/>
                <w:color w:val="0000EE"/>
                <w:w w:val="91"/>
              </w:rPr>
            </w:pPr>
            <w:hyperlink r:id="rId195">
              <w:r>
                <w:rPr>
                  <w:rFonts w:ascii="Arial" w:cs="Arial" w:eastAsia="Arial" w:hAnsi="Arial"/>
                  <w:sz w:val="12"/>
                  <w:szCs w:val="12"/>
                  <w:color w:val="0000EE"/>
                  <w:w w:val="91"/>
                </w:rPr>
                <w:t>Amendment No. 3 to the Credit Agreement, dated as of April 28, 2017 by and among Uniti Group Inc. and CSL Capital, LLC, as borrowers, the guarantors party thereto, the lenders party thereto, and Bank</w:t>
              </w:r>
            </w:hyperlink>
          </w:p>
        </w:tc>
        <w:tc>
          <w:tcPr>
            <w:tcW w:w="20" w:type="dxa"/>
            <w:vAlign w:val="bottom"/>
            <w:tcBorders>
              <w:top w:val="single" w:sz="8" w:color="auto"/>
            </w:tcBorders>
          </w:tcPr>
          <w:p>
            <w:pPr>
              <w:spacing w:after="0"/>
              <w:rPr>
                <w:sz w:val="10"/>
                <w:szCs w:val="10"/>
                <w:color w:val="auto"/>
              </w:rPr>
            </w:pPr>
          </w:p>
        </w:tc>
      </w:tr>
      <w:tr>
        <w:trPr>
          <w:trHeight w:val="124"/>
        </w:trPr>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760" w:type="dxa"/>
            <w:vAlign w:val="bottom"/>
            <w:tcBorders>
              <w:bottom w:val="single" w:sz="8" w:color="0000EE"/>
            </w:tcBorders>
            <w:gridSpan w:val="11"/>
          </w:tcPr>
          <w:p>
            <w:pPr>
              <w:spacing w:after="0" w:line="124" w:lineRule="exact"/>
              <w:rPr>
                <w:rFonts w:ascii="Arial" w:cs="Arial" w:eastAsia="Arial" w:hAnsi="Arial"/>
                <w:sz w:val="12"/>
                <w:szCs w:val="12"/>
                <w:color w:val="0000EE"/>
                <w:w w:val="91"/>
              </w:rPr>
            </w:pPr>
            <w:hyperlink r:id="rId195">
              <w:r>
                <w:rPr>
                  <w:rFonts w:ascii="Arial" w:cs="Arial" w:eastAsia="Arial" w:hAnsi="Arial"/>
                  <w:sz w:val="12"/>
                  <w:szCs w:val="12"/>
                  <w:color w:val="0000EE"/>
                  <w:w w:val="91"/>
                </w:rPr>
                <w:t>of America, N.A., as administrative agent and collateral agent (incorporated by reference to Exhibit 10.1 to the Company’s Current Report on Form 8-K dated as of May 1, 2017 and filed with the SEC as</w:t>
              </w:r>
            </w:hyperlink>
          </w:p>
        </w:tc>
        <w:tc>
          <w:tcPr>
            <w:tcW w:w="120" w:type="dxa"/>
            <w:vAlign w:val="bottom"/>
            <w:gridSpan w:val="3"/>
          </w:tcPr>
          <w:p>
            <w:pPr>
              <w:spacing w:after="0"/>
              <w:rPr>
                <w:sz w:val="10"/>
                <w:szCs w:val="10"/>
                <w:color w:val="auto"/>
              </w:rPr>
            </w:pPr>
          </w:p>
        </w:tc>
      </w:tr>
      <w:tr>
        <w:trPr>
          <w:trHeight w:val="124"/>
        </w:trPr>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40" w:type="dxa"/>
            <w:vAlign w:val="bottom"/>
            <w:tcBorders>
              <w:bottom w:val="single" w:sz="8" w:color="0000EE"/>
            </w:tcBorders>
            <w:gridSpan w:val="2"/>
          </w:tcPr>
          <w:p>
            <w:pPr>
              <w:spacing w:after="0" w:line="124" w:lineRule="exact"/>
              <w:rPr>
                <w:rFonts w:ascii="Arial" w:cs="Arial" w:eastAsia="Arial" w:hAnsi="Arial"/>
                <w:sz w:val="12"/>
                <w:szCs w:val="12"/>
                <w:color w:val="0000EE"/>
                <w:w w:val="92"/>
              </w:rPr>
            </w:pPr>
            <w:hyperlink r:id="rId195">
              <w:r>
                <w:rPr>
                  <w:rFonts w:ascii="Arial" w:cs="Arial" w:eastAsia="Arial" w:hAnsi="Arial"/>
                  <w:sz w:val="12"/>
                  <w:szCs w:val="12"/>
                  <w:color w:val="0000EE"/>
                  <w:w w:val="92"/>
                </w:rPr>
                <w:t>of May 2, 2017 (File No. 001-36708))</w:t>
              </w:r>
            </w:hyperlink>
          </w:p>
        </w:tc>
        <w:tc>
          <w:tcPr>
            <w:tcW w:w="8040" w:type="dxa"/>
            <w:vAlign w:val="bottom"/>
            <w:gridSpan w:val="12"/>
          </w:tcPr>
          <w:p>
            <w:pPr>
              <w:spacing w:after="0"/>
              <w:rPr>
                <w:sz w:val="10"/>
                <w:szCs w:val="10"/>
                <w:color w:val="auto"/>
              </w:rPr>
            </w:pPr>
          </w:p>
        </w:tc>
      </w:tr>
      <w:tr>
        <w:trPr>
          <w:trHeight w:val="142"/>
        </w:trPr>
        <w:tc>
          <w:tcPr>
            <w:tcW w:w="840" w:type="dxa"/>
            <w:vAlign w:val="bottom"/>
          </w:tcPr>
          <w:p>
            <w:pPr>
              <w:spacing w:after="0"/>
              <w:rPr>
                <w:sz w:val="20"/>
                <w:szCs w:val="20"/>
                <w:color w:val="auto"/>
              </w:rPr>
            </w:pPr>
            <w:r>
              <w:rPr>
                <w:rFonts w:ascii="Arial" w:cs="Arial" w:eastAsia="Arial" w:hAnsi="Arial"/>
                <w:sz w:val="12"/>
                <w:szCs w:val="12"/>
                <w:color w:val="auto"/>
              </w:rPr>
              <w:t>10.27+***</w:t>
            </w: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640" w:type="dxa"/>
            <w:vAlign w:val="bottom"/>
            <w:tcBorders>
              <w:bottom w:val="single" w:sz="8" w:color="0000EE"/>
            </w:tcBorders>
            <w:gridSpan w:val="8"/>
          </w:tcPr>
          <w:p>
            <w:pPr>
              <w:spacing w:after="0"/>
              <w:rPr>
                <w:rFonts w:ascii="Arial" w:cs="Arial" w:eastAsia="Arial" w:hAnsi="Arial"/>
                <w:sz w:val="12"/>
                <w:szCs w:val="12"/>
                <w:color w:val="0000EE"/>
                <w:w w:val="91"/>
              </w:rPr>
            </w:pPr>
            <w:hyperlink r:id="rId196">
              <w:r>
                <w:rPr>
                  <w:rFonts w:ascii="Arial" w:cs="Arial" w:eastAsia="Arial" w:hAnsi="Arial"/>
                  <w:sz w:val="12"/>
                  <w:szCs w:val="12"/>
                  <w:color w:val="0000EE"/>
                  <w:w w:val="91"/>
                </w:rPr>
                <w:t>Communications Sales &amp; Leasing, Inc. 2017 Short Term Incentive Plan (incorporated by reference to Exhibit 10.2 to the Company’s Quarterly Report on Form 10-Q dated and filed with the SEC as of</w:t>
              </w:r>
            </w:hyperlink>
          </w:p>
        </w:tc>
        <w:tc>
          <w:tcPr>
            <w:tcW w:w="240" w:type="dxa"/>
            <w:vAlign w:val="bottom"/>
            <w:gridSpan w:val="6"/>
          </w:tcPr>
          <w:p>
            <w:pPr>
              <w:spacing w:after="0"/>
              <w:rPr>
                <w:sz w:val="12"/>
                <w:szCs w:val="12"/>
                <w:color w:val="auto"/>
              </w:rPr>
            </w:pPr>
          </w:p>
        </w:tc>
      </w:tr>
      <w:tr>
        <w:trPr>
          <w:trHeight w:val="124"/>
        </w:trPr>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880" w:type="dxa"/>
            <w:vAlign w:val="bottom"/>
            <w:gridSpan w:val="14"/>
          </w:tcPr>
          <w:p>
            <w:pPr>
              <w:spacing w:after="0" w:line="124" w:lineRule="exact"/>
              <w:rPr>
                <w:rFonts w:ascii="Arial" w:cs="Arial" w:eastAsia="Arial" w:hAnsi="Arial"/>
                <w:sz w:val="12"/>
                <w:szCs w:val="12"/>
                <w:color w:val="0000EE"/>
              </w:rPr>
            </w:pPr>
            <w:hyperlink r:id="rId196">
              <w:r>
                <w:rPr>
                  <w:rFonts w:ascii="Arial" w:cs="Arial" w:eastAsia="Arial" w:hAnsi="Arial"/>
                  <w:sz w:val="12"/>
                  <w:szCs w:val="12"/>
                  <w:color w:val="0000EE"/>
                </w:rPr>
                <w:t>May 4, 2017 (File No. 001-36708))</w:t>
              </w:r>
            </w:hyperlink>
          </w:p>
        </w:tc>
      </w:tr>
      <w:tr>
        <w:trPr>
          <w:trHeight w:val="20"/>
        </w:trPr>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2"/>
        </w:trPr>
        <w:tc>
          <w:tcPr>
            <w:tcW w:w="840" w:type="dxa"/>
            <w:vAlign w:val="bottom"/>
          </w:tcPr>
          <w:p>
            <w:pPr>
              <w:spacing w:after="0"/>
              <w:rPr>
                <w:sz w:val="20"/>
                <w:szCs w:val="20"/>
                <w:color w:val="auto"/>
              </w:rPr>
            </w:pPr>
            <w:r>
              <w:rPr>
                <w:rFonts w:ascii="Arial" w:cs="Arial" w:eastAsia="Arial" w:hAnsi="Arial"/>
                <w:sz w:val="12"/>
                <w:szCs w:val="12"/>
                <w:color w:val="auto"/>
              </w:rPr>
              <w:t>10.28</w:t>
            </w: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80" w:type="dxa"/>
            <w:vAlign w:val="bottom"/>
            <w:gridSpan w:val="14"/>
          </w:tcPr>
          <w:p>
            <w:pPr>
              <w:spacing w:after="0"/>
              <w:rPr>
                <w:rFonts w:ascii="Arial" w:cs="Arial" w:eastAsia="Arial" w:hAnsi="Arial"/>
                <w:sz w:val="12"/>
                <w:szCs w:val="12"/>
                <w:color w:val="0000EE"/>
                <w:w w:val="91"/>
              </w:rPr>
            </w:pPr>
            <w:hyperlink r:id="rId197">
              <w:r>
                <w:rPr>
                  <w:rFonts w:ascii="Arial" w:cs="Arial" w:eastAsia="Arial" w:hAnsi="Arial"/>
                  <w:sz w:val="12"/>
                  <w:szCs w:val="12"/>
                  <w:color w:val="0000EE"/>
                  <w:w w:val="91"/>
                </w:rPr>
                <w:t>Borrower Assumption Agreement and Joinder, dated as of May 9, 2017 by and among Uniti Group Inc., as initial borrower, Uniti Group LP and Uniti Group Finance Inc., as borrowers, the guarantors party</w:t>
              </w:r>
            </w:hyperlink>
          </w:p>
        </w:tc>
      </w:tr>
      <w:tr>
        <w:trPr>
          <w:trHeight w:val="124"/>
        </w:trPr>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740" w:type="dxa"/>
            <w:vAlign w:val="bottom"/>
            <w:tcBorders>
              <w:top w:val="single" w:sz="8" w:color="0000EE"/>
              <w:bottom w:val="single" w:sz="8" w:color="0000EE"/>
            </w:tcBorders>
            <w:gridSpan w:val="10"/>
          </w:tcPr>
          <w:p>
            <w:pPr>
              <w:spacing w:after="0" w:line="124" w:lineRule="exact"/>
              <w:rPr>
                <w:rFonts w:ascii="Arial" w:cs="Arial" w:eastAsia="Arial" w:hAnsi="Arial"/>
                <w:sz w:val="12"/>
                <w:szCs w:val="12"/>
                <w:color w:val="0000EE"/>
                <w:w w:val="91"/>
              </w:rPr>
            </w:pPr>
            <w:hyperlink r:id="rId197">
              <w:r>
                <w:rPr>
                  <w:rFonts w:ascii="Arial" w:cs="Arial" w:eastAsia="Arial" w:hAnsi="Arial"/>
                  <w:sz w:val="12"/>
                  <w:szCs w:val="12"/>
                  <w:color w:val="0000EE"/>
                  <w:w w:val="91"/>
                </w:rPr>
                <w:t>thereto, the lenders party thereto, and Bank of America, N.A., as administrative agent and collateral agent (incorporated by reference to Exhibit 10.1 to the Company’s Current Report on Form 8-K dated</w:t>
              </w:r>
            </w:hyperlink>
          </w:p>
        </w:tc>
        <w:tc>
          <w:tcPr>
            <w:tcW w:w="120" w:type="dxa"/>
            <w:vAlign w:val="bottom"/>
            <w:tcBorders>
              <w:top w:val="single" w:sz="8" w:color="0000EE"/>
            </w:tcBorders>
            <w:gridSpan w:val="3"/>
          </w:tcPr>
          <w:p>
            <w:pPr>
              <w:spacing w:after="0"/>
              <w:rPr>
                <w:sz w:val="10"/>
                <w:szCs w:val="10"/>
                <w:color w:val="auto"/>
              </w:rPr>
            </w:pPr>
          </w:p>
        </w:tc>
        <w:tc>
          <w:tcPr>
            <w:tcW w:w="20" w:type="dxa"/>
            <w:vAlign w:val="bottom"/>
          </w:tcPr>
          <w:p>
            <w:pPr>
              <w:spacing w:after="0"/>
              <w:rPr>
                <w:sz w:val="10"/>
                <w:szCs w:val="10"/>
                <w:color w:val="auto"/>
              </w:rPr>
            </w:pPr>
          </w:p>
        </w:tc>
      </w:tr>
      <w:tr>
        <w:trPr>
          <w:trHeight w:val="124"/>
        </w:trPr>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880" w:type="dxa"/>
            <w:vAlign w:val="bottom"/>
            <w:gridSpan w:val="14"/>
          </w:tcPr>
          <w:p>
            <w:pPr>
              <w:spacing w:after="0" w:line="124" w:lineRule="exact"/>
              <w:rPr>
                <w:rFonts w:ascii="Arial" w:cs="Arial" w:eastAsia="Arial" w:hAnsi="Arial"/>
                <w:sz w:val="12"/>
                <w:szCs w:val="12"/>
                <w:color w:val="0000EE"/>
              </w:rPr>
            </w:pPr>
            <w:hyperlink r:id="rId197">
              <w:r>
                <w:rPr>
                  <w:rFonts w:ascii="Arial" w:cs="Arial" w:eastAsia="Arial" w:hAnsi="Arial"/>
                  <w:sz w:val="12"/>
                  <w:szCs w:val="12"/>
                  <w:color w:val="0000EE"/>
                </w:rPr>
                <w:t>and filed with the SEC as of May 9, 2017 (File No. 001-36708))</w:t>
              </w:r>
            </w:hyperlink>
          </w:p>
        </w:tc>
      </w:tr>
      <w:tr>
        <w:trPr>
          <w:trHeight w:val="142"/>
        </w:trPr>
        <w:tc>
          <w:tcPr>
            <w:tcW w:w="840" w:type="dxa"/>
            <w:vAlign w:val="bottom"/>
          </w:tcPr>
          <w:p>
            <w:pPr>
              <w:spacing w:after="0"/>
              <w:rPr>
                <w:sz w:val="20"/>
                <w:szCs w:val="20"/>
                <w:color w:val="auto"/>
              </w:rPr>
            </w:pPr>
            <w:r>
              <w:rPr>
                <w:rFonts w:ascii="Arial" w:cs="Arial" w:eastAsia="Arial" w:hAnsi="Arial"/>
                <w:sz w:val="12"/>
                <w:szCs w:val="12"/>
                <w:color w:val="auto"/>
              </w:rPr>
              <w:t>21.1*</w:t>
            </w: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900" w:type="dxa"/>
            <w:vAlign w:val="bottom"/>
            <w:tcBorders>
              <w:top w:val="single" w:sz="8" w:color="0000EE"/>
              <w:bottom w:val="single" w:sz="8" w:color="0000EE"/>
            </w:tcBorders>
            <w:gridSpan w:val="3"/>
          </w:tcPr>
          <w:p>
            <w:pPr>
              <w:spacing w:after="0"/>
              <w:rPr>
                <w:rFonts w:ascii="Arial" w:cs="Arial" w:eastAsia="Arial" w:hAnsi="Arial"/>
                <w:sz w:val="12"/>
                <w:szCs w:val="12"/>
                <w:color w:val="0000EE"/>
                <w:w w:val="93"/>
              </w:rPr>
            </w:pPr>
            <w:hyperlink w:anchor="page117">
              <w:r>
                <w:rPr>
                  <w:rFonts w:ascii="Arial" w:cs="Arial" w:eastAsia="Arial" w:hAnsi="Arial"/>
                  <w:sz w:val="12"/>
                  <w:szCs w:val="12"/>
                  <w:color w:val="0000EE"/>
                  <w:w w:val="93"/>
                </w:rPr>
                <w:t>List of Subsidiaries of Uniti Group Inc.</w:t>
              </w:r>
            </w:hyperlink>
          </w:p>
        </w:tc>
        <w:tc>
          <w:tcPr>
            <w:tcW w:w="1180" w:type="dxa"/>
            <w:vAlign w:val="bottom"/>
            <w:tcBorders>
              <w:top w:val="single" w:sz="8" w:color="0000EE"/>
            </w:tcBorders>
          </w:tcPr>
          <w:p>
            <w:pPr>
              <w:spacing w:after="0"/>
              <w:rPr>
                <w:sz w:val="12"/>
                <w:szCs w:val="12"/>
                <w:color w:val="auto"/>
              </w:rPr>
            </w:pPr>
          </w:p>
        </w:tc>
        <w:tc>
          <w:tcPr>
            <w:tcW w:w="6800" w:type="dxa"/>
            <w:vAlign w:val="bottom"/>
            <w:gridSpan w:val="10"/>
          </w:tcPr>
          <w:p>
            <w:pPr>
              <w:spacing w:after="0"/>
              <w:rPr>
                <w:sz w:val="12"/>
                <w:szCs w:val="12"/>
                <w:color w:val="auto"/>
              </w:rPr>
            </w:pPr>
          </w:p>
        </w:tc>
      </w:tr>
      <w:tr>
        <w:trPr>
          <w:trHeight w:val="142"/>
        </w:trPr>
        <w:tc>
          <w:tcPr>
            <w:tcW w:w="840" w:type="dxa"/>
            <w:vAlign w:val="bottom"/>
          </w:tcPr>
          <w:p>
            <w:pPr>
              <w:spacing w:after="0"/>
              <w:rPr>
                <w:sz w:val="20"/>
                <w:szCs w:val="20"/>
                <w:color w:val="auto"/>
              </w:rPr>
            </w:pPr>
            <w:r>
              <w:rPr>
                <w:rFonts w:ascii="Arial" w:cs="Arial" w:eastAsia="Arial" w:hAnsi="Arial"/>
                <w:sz w:val="12"/>
                <w:szCs w:val="12"/>
                <w:color w:val="auto"/>
              </w:rPr>
              <w:t>23.1*</w:t>
            </w: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60" w:type="dxa"/>
            <w:vAlign w:val="bottom"/>
            <w:tcBorders>
              <w:bottom w:val="single" w:sz="8" w:color="0000EE"/>
            </w:tcBorders>
            <w:gridSpan w:val="5"/>
          </w:tcPr>
          <w:p>
            <w:pPr>
              <w:spacing w:after="0"/>
              <w:rPr>
                <w:rFonts w:ascii="Arial" w:cs="Arial" w:eastAsia="Arial" w:hAnsi="Arial"/>
                <w:sz w:val="12"/>
                <w:szCs w:val="12"/>
                <w:color w:val="0000EE"/>
                <w:w w:val="90"/>
              </w:rPr>
            </w:pPr>
            <w:hyperlink w:anchor="page119">
              <w:r>
                <w:rPr>
                  <w:rFonts w:ascii="Arial" w:cs="Arial" w:eastAsia="Arial" w:hAnsi="Arial"/>
                  <w:sz w:val="12"/>
                  <w:szCs w:val="12"/>
                  <w:color w:val="0000EE"/>
                  <w:w w:val="90"/>
                </w:rPr>
                <w:t>Consent of PricewaterhouseCoopers LLP, independent registered public accounting firm</w:t>
              </w:r>
            </w:hyperlink>
          </w:p>
        </w:tc>
        <w:tc>
          <w:tcPr>
            <w:tcW w:w="5620" w:type="dxa"/>
            <w:vAlign w:val="bottom"/>
            <w:gridSpan w:val="9"/>
          </w:tcPr>
          <w:p>
            <w:pPr>
              <w:spacing w:after="0"/>
              <w:rPr>
                <w:sz w:val="12"/>
                <w:szCs w:val="12"/>
                <w:color w:val="auto"/>
              </w:rPr>
            </w:pPr>
          </w:p>
        </w:tc>
      </w:tr>
      <w:tr>
        <w:trPr>
          <w:trHeight w:val="142"/>
        </w:trPr>
        <w:tc>
          <w:tcPr>
            <w:tcW w:w="840" w:type="dxa"/>
            <w:vAlign w:val="bottom"/>
          </w:tcPr>
          <w:p>
            <w:pPr>
              <w:spacing w:after="0"/>
              <w:rPr>
                <w:sz w:val="20"/>
                <w:szCs w:val="20"/>
                <w:color w:val="auto"/>
              </w:rPr>
            </w:pPr>
            <w:r>
              <w:rPr>
                <w:rFonts w:ascii="Arial" w:cs="Arial" w:eastAsia="Arial" w:hAnsi="Arial"/>
                <w:sz w:val="12"/>
                <w:szCs w:val="12"/>
                <w:color w:val="auto"/>
              </w:rPr>
              <w:t>23.2*</w:t>
            </w: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60" w:type="dxa"/>
            <w:vAlign w:val="bottom"/>
            <w:tcBorders>
              <w:bottom w:val="single" w:sz="8" w:color="0000EE"/>
            </w:tcBorders>
            <w:gridSpan w:val="5"/>
          </w:tcPr>
          <w:p>
            <w:pPr>
              <w:spacing w:after="0"/>
              <w:rPr>
                <w:rFonts w:ascii="Arial" w:cs="Arial" w:eastAsia="Arial" w:hAnsi="Arial"/>
                <w:sz w:val="12"/>
                <w:szCs w:val="12"/>
                <w:color w:val="0000EE"/>
                <w:w w:val="90"/>
              </w:rPr>
            </w:pPr>
            <w:hyperlink w:anchor="page120">
              <w:r>
                <w:rPr>
                  <w:rFonts w:ascii="Arial" w:cs="Arial" w:eastAsia="Arial" w:hAnsi="Arial"/>
                  <w:sz w:val="12"/>
                  <w:szCs w:val="12"/>
                  <w:color w:val="0000EE"/>
                  <w:w w:val="90"/>
                </w:rPr>
                <w:t>Consent of PricewaterhouseCoopers LLP, independent registered public accounting firm</w:t>
              </w:r>
            </w:hyperlink>
          </w:p>
        </w:tc>
        <w:tc>
          <w:tcPr>
            <w:tcW w:w="5620" w:type="dxa"/>
            <w:vAlign w:val="bottom"/>
            <w:gridSpan w:val="9"/>
          </w:tcPr>
          <w:p>
            <w:pPr>
              <w:spacing w:after="0"/>
              <w:rPr>
                <w:sz w:val="12"/>
                <w:szCs w:val="12"/>
                <w:color w:val="auto"/>
              </w:rPr>
            </w:pPr>
          </w:p>
        </w:tc>
      </w:tr>
      <w:tr>
        <w:trPr>
          <w:trHeight w:val="142"/>
        </w:trPr>
        <w:tc>
          <w:tcPr>
            <w:tcW w:w="840" w:type="dxa"/>
            <w:vAlign w:val="bottom"/>
          </w:tcPr>
          <w:p>
            <w:pPr>
              <w:spacing w:after="0"/>
              <w:rPr>
                <w:sz w:val="20"/>
                <w:szCs w:val="20"/>
                <w:color w:val="auto"/>
              </w:rPr>
            </w:pPr>
            <w:r>
              <w:rPr>
                <w:rFonts w:ascii="Arial" w:cs="Arial" w:eastAsia="Arial" w:hAnsi="Arial"/>
                <w:sz w:val="12"/>
                <w:szCs w:val="12"/>
                <w:color w:val="auto"/>
              </w:rPr>
              <w:t>31.1*</w:t>
            </w: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780" w:type="dxa"/>
            <w:vAlign w:val="bottom"/>
            <w:tcBorders>
              <w:bottom w:val="single" w:sz="8" w:color="0000EE"/>
            </w:tcBorders>
            <w:gridSpan w:val="12"/>
          </w:tcPr>
          <w:p>
            <w:pPr>
              <w:spacing w:after="0"/>
              <w:rPr>
                <w:rFonts w:ascii="Arial" w:cs="Arial" w:eastAsia="Arial" w:hAnsi="Arial"/>
                <w:sz w:val="12"/>
                <w:szCs w:val="12"/>
                <w:color w:val="0000EE"/>
                <w:w w:val="90"/>
              </w:rPr>
            </w:pPr>
            <w:hyperlink w:anchor="page121">
              <w:r>
                <w:rPr>
                  <w:rFonts w:ascii="Arial" w:cs="Arial" w:eastAsia="Arial" w:hAnsi="Arial"/>
                  <w:sz w:val="12"/>
                  <w:szCs w:val="12"/>
                  <w:color w:val="0000EE"/>
                  <w:w w:val="90"/>
                </w:rPr>
                <w:t>Certification of Principal Executive Officer Pursuant to Rules 13a-14(a) and 15d-14(a) under the Securities Exchange Act of 1934, as Adopted Pursuant to Section 302 of the Sarbanes-Oxley Act of 2002.</w:t>
              </w:r>
            </w:hyperlink>
          </w:p>
        </w:tc>
        <w:tc>
          <w:tcPr>
            <w:tcW w:w="100" w:type="dxa"/>
            <w:vAlign w:val="bottom"/>
            <w:gridSpan w:val="2"/>
          </w:tcPr>
          <w:p>
            <w:pPr>
              <w:spacing w:after="0"/>
              <w:rPr>
                <w:sz w:val="12"/>
                <w:szCs w:val="12"/>
                <w:color w:val="auto"/>
              </w:rPr>
            </w:pPr>
          </w:p>
        </w:tc>
      </w:tr>
      <w:tr>
        <w:trPr>
          <w:trHeight w:val="142"/>
        </w:trPr>
        <w:tc>
          <w:tcPr>
            <w:tcW w:w="840" w:type="dxa"/>
            <w:vAlign w:val="bottom"/>
          </w:tcPr>
          <w:p>
            <w:pPr>
              <w:spacing w:after="0"/>
              <w:rPr>
                <w:sz w:val="20"/>
                <w:szCs w:val="20"/>
                <w:color w:val="auto"/>
              </w:rPr>
            </w:pPr>
            <w:r>
              <w:rPr>
                <w:rFonts w:ascii="Arial" w:cs="Arial" w:eastAsia="Arial" w:hAnsi="Arial"/>
                <w:sz w:val="12"/>
                <w:szCs w:val="12"/>
                <w:color w:val="auto"/>
              </w:rPr>
              <w:t>31.2*</w:t>
            </w: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80" w:type="dxa"/>
            <w:vAlign w:val="bottom"/>
            <w:gridSpan w:val="14"/>
          </w:tcPr>
          <w:p>
            <w:pPr>
              <w:spacing w:after="0"/>
              <w:rPr>
                <w:rFonts w:ascii="Arial" w:cs="Arial" w:eastAsia="Arial" w:hAnsi="Arial"/>
                <w:sz w:val="12"/>
                <w:szCs w:val="12"/>
                <w:color w:val="0000EE"/>
                <w:w w:val="92"/>
              </w:rPr>
            </w:pPr>
            <w:hyperlink w:anchor="page122">
              <w:r>
                <w:rPr>
                  <w:rFonts w:ascii="Arial" w:cs="Arial" w:eastAsia="Arial" w:hAnsi="Arial"/>
                  <w:sz w:val="12"/>
                  <w:szCs w:val="12"/>
                  <w:color w:val="0000EE"/>
                  <w:w w:val="92"/>
                </w:rPr>
                <w:t>Certification of Principal Financial Officer Pursuant to Rules 13a-14(a) and 15d-14(a) under the Securities Exchange Act of 1934, as Adopted Pursuant to Section 302 of the Sarbanes-Oxley Act of 2002</w:t>
              </w:r>
            </w:hyperlink>
          </w:p>
        </w:tc>
      </w:tr>
      <w:tr>
        <w:trPr>
          <w:trHeight w:val="142"/>
        </w:trPr>
        <w:tc>
          <w:tcPr>
            <w:tcW w:w="840" w:type="dxa"/>
            <w:vAlign w:val="bottom"/>
          </w:tcPr>
          <w:p>
            <w:pPr>
              <w:spacing w:after="0"/>
              <w:rPr>
                <w:sz w:val="20"/>
                <w:szCs w:val="20"/>
                <w:color w:val="auto"/>
              </w:rPr>
            </w:pPr>
            <w:r>
              <w:rPr>
                <w:rFonts w:ascii="Arial" w:cs="Arial" w:eastAsia="Arial" w:hAnsi="Arial"/>
                <w:sz w:val="12"/>
                <w:szCs w:val="12"/>
                <w:color w:val="auto"/>
              </w:rPr>
              <w:t>32.1*</w:t>
            </w: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700" w:type="dxa"/>
            <w:vAlign w:val="bottom"/>
            <w:tcBorders>
              <w:top w:val="single" w:sz="8" w:color="0000EE"/>
            </w:tcBorders>
            <w:gridSpan w:val="9"/>
          </w:tcPr>
          <w:p>
            <w:pPr>
              <w:spacing w:after="0"/>
              <w:rPr>
                <w:rFonts w:ascii="Arial" w:cs="Arial" w:eastAsia="Arial" w:hAnsi="Arial"/>
                <w:sz w:val="12"/>
                <w:szCs w:val="12"/>
                <w:color w:val="0000EE"/>
              </w:rPr>
            </w:pPr>
            <w:hyperlink w:anchor="page123">
              <w:r>
                <w:rPr>
                  <w:rFonts w:ascii="Arial" w:cs="Arial" w:eastAsia="Arial" w:hAnsi="Arial"/>
                  <w:sz w:val="12"/>
                  <w:szCs w:val="12"/>
                  <w:color w:val="0000EE"/>
                </w:rPr>
                <w:t>Certification of Principal Executive Officer Pursuant to 18 U.S.C. Section 1350, as Adopted Pursuant to Section 906 of the Sarbanes-Oxley Act of 2002</w:t>
              </w:r>
            </w:hyperlink>
          </w:p>
        </w:tc>
        <w:tc>
          <w:tcPr>
            <w:tcW w:w="180" w:type="dxa"/>
            <w:vAlign w:val="bottom"/>
            <w:gridSpan w:val="5"/>
          </w:tcPr>
          <w:p>
            <w:pPr>
              <w:spacing w:after="0"/>
              <w:rPr>
                <w:sz w:val="12"/>
                <w:szCs w:val="12"/>
                <w:color w:val="auto"/>
              </w:rPr>
            </w:pPr>
          </w:p>
        </w:tc>
      </w:tr>
      <w:tr>
        <w:trPr>
          <w:trHeight w:val="142"/>
        </w:trPr>
        <w:tc>
          <w:tcPr>
            <w:tcW w:w="840" w:type="dxa"/>
            <w:vAlign w:val="bottom"/>
          </w:tcPr>
          <w:p>
            <w:pPr>
              <w:spacing w:after="0"/>
              <w:rPr>
                <w:sz w:val="20"/>
                <w:szCs w:val="20"/>
                <w:color w:val="auto"/>
              </w:rPr>
            </w:pPr>
            <w:r>
              <w:rPr>
                <w:rFonts w:ascii="Arial" w:cs="Arial" w:eastAsia="Arial" w:hAnsi="Arial"/>
                <w:sz w:val="12"/>
                <w:szCs w:val="12"/>
                <w:color w:val="auto"/>
              </w:rPr>
              <w:t>32.2*</w:t>
            </w: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80" w:type="dxa"/>
            <w:vAlign w:val="bottom"/>
            <w:tcBorders>
              <w:top w:val="single" w:sz="8" w:color="0000EE"/>
              <w:bottom w:val="single" w:sz="8" w:color="0000EE"/>
            </w:tcBorders>
            <w:gridSpan w:val="6"/>
          </w:tcPr>
          <w:p>
            <w:pPr>
              <w:spacing w:after="0"/>
              <w:rPr>
                <w:rFonts w:ascii="Arial" w:cs="Arial" w:eastAsia="Arial" w:hAnsi="Arial"/>
                <w:sz w:val="12"/>
                <w:szCs w:val="12"/>
                <w:color w:val="0000EE"/>
                <w:w w:val="91"/>
              </w:rPr>
            </w:pPr>
            <w:hyperlink w:anchor="page124">
              <w:r>
                <w:rPr>
                  <w:rFonts w:ascii="Arial" w:cs="Arial" w:eastAsia="Arial" w:hAnsi="Arial"/>
                  <w:sz w:val="12"/>
                  <w:szCs w:val="12"/>
                  <w:color w:val="0000EE"/>
                  <w:w w:val="91"/>
                </w:rPr>
                <w:t>Certification of Principal Financial Officer Pursuant to 18 U.S.C. Section 1350, as Adopted Pursuant to Section 906 of the Sarbanes-Oxley Act of 2002</w:t>
              </w:r>
            </w:hyperlink>
          </w:p>
        </w:tc>
        <w:tc>
          <w:tcPr>
            <w:tcW w:w="20" w:type="dxa"/>
            <w:vAlign w:val="bottom"/>
            <w:tcBorders>
              <w:top w:val="single" w:sz="8" w:color="0000EE"/>
            </w:tcBorders>
          </w:tcPr>
          <w:p>
            <w:pPr>
              <w:spacing w:after="0"/>
              <w:rPr>
                <w:sz w:val="12"/>
                <w:szCs w:val="12"/>
                <w:color w:val="auto"/>
              </w:rPr>
            </w:pPr>
          </w:p>
        </w:tc>
        <w:tc>
          <w:tcPr>
            <w:tcW w:w="2580" w:type="dxa"/>
            <w:vAlign w:val="bottom"/>
            <w:gridSpan w:val="7"/>
          </w:tcPr>
          <w:p>
            <w:pPr>
              <w:spacing w:after="0"/>
              <w:rPr>
                <w:sz w:val="12"/>
                <w:szCs w:val="12"/>
                <w:color w:val="auto"/>
              </w:rPr>
            </w:pPr>
          </w:p>
        </w:tc>
      </w:tr>
      <w:tr>
        <w:trPr>
          <w:trHeight w:val="169"/>
        </w:trPr>
        <w:tc>
          <w:tcPr>
            <w:tcW w:w="1620" w:type="dxa"/>
            <w:vAlign w:val="bottom"/>
            <w:gridSpan w:val="3"/>
          </w:tcPr>
          <w:p>
            <w:pPr>
              <w:spacing w:after="0"/>
              <w:rPr>
                <w:sz w:val="20"/>
                <w:szCs w:val="20"/>
                <w:color w:val="auto"/>
              </w:rPr>
            </w:pPr>
            <w:r>
              <w:rPr>
                <w:rFonts w:ascii="Arial" w:cs="Arial" w:eastAsia="Arial" w:hAnsi="Arial"/>
                <w:sz w:val="12"/>
                <w:szCs w:val="12"/>
                <w:color w:val="auto"/>
              </w:rPr>
              <w:t>101.INS*</w:t>
            </w:r>
          </w:p>
        </w:tc>
        <w:tc>
          <w:tcPr>
            <w:tcW w:w="9880" w:type="dxa"/>
            <w:vAlign w:val="bottom"/>
            <w:gridSpan w:val="14"/>
          </w:tcPr>
          <w:p>
            <w:pPr>
              <w:spacing w:after="0"/>
              <w:rPr>
                <w:sz w:val="20"/>
                <w:szCs w:val="20"/>
                <w:color w:val="auto"/>
              </w:rPr>
            </w:pPr>
            <w:r>
              <w:rPr>
                <w:rFonts w:ascii="Arial" w:cs="Arial" w:eastAsia="Arial" w:hAnsi="Arial"/>
                <w:sz w:val="12"/>
                <w:szCs w:val="12"/>
                <w:color w:val="auto"/>
              </w:rPr>
              <w:t>XBRL Instance Document</w:t>
            </w:r>
          </w:p>
        </w:tc>
      </w:tr>
      <w:tr>
        <w:trPr>
          <w:trHeight w:val="162"/>
        </w:trPr>
        <w:tc>
          <w:tcPr>
            <w:tcW w:w="1620" w:type="dxa"/>
            <w:vAlign w:val="bottom"/>
            <w:gridSpan w:val="3"/>
          </w:tcPr>
          <w:p>
            <w:pPr>
              <w:spacing w:after="0"/>
              <w:rPr>
                <w:sz w:val="20"/>
                <w:szCs w:val="20"/>
                <w:color w:val="auto"/>
              </w:rPr>
            </w:pPr>
            <w:r>
              <w:rPr>
                <w:rFonts w:ascii="Arial" w:cs="Arial" w:eastAsia="Arial" w:hAnsi="Arial"/>
                <w:sz w:val="12"/>
                <w:szCs w:val="12"/>
                <w:color w:val="auto"/>
              </w:rPr>
              <w:t>101.SCH*</w:t>
            </w:r>
          </w:p>
        </w:tc>
        <w:tc>
          <w:tcPr>
            <w:tcW w:w="9880" w:type="dxa"/>
            <w:vAlign w:val="bottom"/>
            <w:gridSpan w:val="14"/>
          </w:tcPr>
          <w:p>
            <w:pPr>
              <w:spacing w:after="0"/>
              <w:rPr>
                <w:sz w:val="20"/>
                <w:szCs w:val="20"/>
                <w:color w:val="auto"/>
              </w:rPr>
            </w:pPr>
            <w:r>
              <w:rPr>
                <w:rFonts w:ascii="Arial" w:cs="Arial" w:eastAsia="Arial" w:hAnsi="Arial"/>
                <w:sz w:val="12"/>
                <w:szCs w:val="12"/>
                <w:color w:val="auto"/>
              </w:rPr>
              <w:t>XBRL Taxonomy Extension Schema Document</w:t>
            </w:r>
          </w:p>
        </w:tc>
      </w:tr>
      <w:tr>
        <w:trPr>
          <w:trHeight w:val="162"/>
        </w:trPr>
        <w:tc>
          <w:tcPr>
            <w:tcW w:w="1620" w:type="dxa"/>
            <w:vAlign w:val="bottom"/>
            <w:gridSpan w:val="3"/>
          </w:tcPr>
          <w:p>
            <w:pPr>
              <w:spacing w:after="0"/>
              <w:rPr>
                <w:sz w:val="20"/>
                <w:szCs w:val="20"/>
                <w:color w:val="auto"/>
              </w:rPr>
            </w:pPr>
            <w:r>
              <w:rPr>
                <w:rFonts w:ascii="Arial" w:cs="Arial" w:eastAsia="Arial" w:hAnsi="Arial"/>
                <w:sz w:val="12"/>
                <w:szCs w:val="12"/>
                <w:color w:val="auto"/>
              </w:rPr>
              <w:t>101.CAL*</w:t>
            </w:r>
          </w:p>
        </w:tc>
        <w:tc>
          <w:tcPr>
            <w:tcW w:w="9880" w:type="dxa"/>
            <w:vAlign w:val="bottom"/>
            <w:gridSpan w:val="14"/>
          </w:tcPr>
          <w:p>
            <w:pPr>
              <w:spacing w:after="0"/>
              <w:rPr>
                <w:sz w:val="20"/>
                <w:szCs w:val="20"/>
                <w:color w:val="auto"/>
              </w:rPr>
            </w:pPr>
            <w:r>
              <w:rPr>
                <w:rFonts w:ascii="Arial" w:cs="Arial" w:eastAsia="Arial" w:hAnsi="Arial"/>
                <w:sz w:val="12"/>
                <w:szCs w:val="12"/>
                <w:color w:val="auto"/>
              </w:rPr>
              <w:t>XBRL Taxonomy Extension Calculation Linkbase Document</w:t>
            </w:r>
          </w:p>
        </w:tc>
      </w:tr>
      <w:tr>
        <w:trPr>
          <w:trHeight w:val="162"/>
        </w:trPr>
        <w:tc>
          <w:tcPr>
            <w:tcW w:w="1620" w:type="dxa"/>
            <w:vAlign w:val="bottom"/>
            <w:gridSpan w:val="3"/>
          </w:tcPr>
          <w:p>
            <w:pPr>
              <w:spacing w:after="0"/>
              <w:rPr>
                <w:sz w:val="20"/>
                <w:szCs w:val="20"/>
                <w:color w:val="auto"/>
              </w:rPr>
            </w:pPr>
            <w:r>
              <w:rPr>
                <w:rFonts w:ascii="Arial" w:cs="Arial" w:eastAsia="Arial" w:hAnsi="Arial"/>
                <w:sz w:val="12"/>
                <w:szCs w:val="12"/>
                <w:color w:val="auto"/>
              </w:rPr>
              <w:t>101.DEF*</w:t>
            </w:r>
          </w:p>
        </w:tc>
        <w:tc>
          <w:tcPr>
            <w:tcW w:w="9880" w:type="dxa"/>
            <w:vAlign w:val="bottom"/>
            <w:gridSpan w:val="14"/>
          </w:tcPr>
          <w:p>
            <w:pPr>
              <w:spacing w:after="0"/>
              <w:rPr>
                <w:sz w:val="20"/>
                <w:szCs w:val="20"/>
                <w:color w:val="auto"/>
              </w:rPr>
            </w:pPr>
            <w:r>
              <w:rPr>
                <w:rFonts w:ascii="Arial" w:cs="Arial" w:eastAsia="Arial" w:hAnsi="Arial"/>
                <w:sz w:val="12"/>
                <w:szCs w:val="12"/>
                <w:color w:val="auto"/>
              </w:rPr>
              <w:t>XBRL Taxonomy Extension Definition Linkbase Document</w:t>
            </w:r>
          </w:p>
        </w:tc>
      </w:tr>
      <w:tr>
        <w:trPr>
          <w:trHeight w:val="162"/>
        </w:trPr>
        <w:tc>
          <w:tcPr>
            <w:tcW w:w="1620" w:type="dxa"/>
            <w:vAlign w:val="bottom"/>
            <w:gridSpan w:val="3"/>
          </w:tcPr>
          <w:p>
            <w:pPr>
              <w:spacing w:after="0"/>
              <w:rPr>
                <w:sz w:val="20"/>
                <w:szCs w:val="20"/>
                <w:color w:val="auto"/>
              </w:rPr>
            </w:pPr>
            <w:r>
              <w:rPr>
                <w:rFonts w:ascii="Arial" w:cs="Arial" w:eastAsia="Arial" w:hAnsi="Arial"/>
                <w:sz w:val="12"/>
                <w:szCs w:val="12"/>
                <w:color w:val="auto"/>
              </w:rPr>
              <w:t>101.LAB*</w:t>
            </w:r>
          </w:p>
        </w:tc>
        <w:tc>
          <w:tcPr>
            <w:tcW w:w="9880" w:type="dxa"/>
            <w:vAlign w:val="bottom"/>
            <w:gridSpan w:val="14"/>
          </w:tcPr>
          <w:p>
            <w:pPr>
              <w:spacing w:after="0"/>
              <w:rPr>
                <w:sz w:val="20"/>
                <w:szCs w:val="20"/>
                <w:color w:val="auto"/>
              </w:rPr>
            </w:pPr>
            <w:r>
              <w:rPr>
                <w:rFonts w:ascii="Arial" w:cs="Arial" w:eastAsia="Arial" w:hAnsi="Arial"/>
                <w:sz w:val="12"/>
                <w:szCs w:val="12"/>
                <w:color w:val="auto"/>
              </w:rPr>
              <w:t>XBRL Taxonomy Extension Label Linkbase Document</w:t>
            </w:r>
          </w:p>
        </w:tc>
      </w:tr>
      <w:tr>
        <w:trPr>
          <w:trHeight w:val="162"/>
        </w:trPr>
        <w:tc>
          <w:tcPr>
            <w:tcW w:w="1620" w:type="dxa"/>
            <w:vAlign w:val="bottom"/>
            <w:gridSpan w:val="3"/>
          </w:tcPr>
          <w:p>
            <w:pPr>
              <w:spacing w:after="0"/>
              <w:rPr>
                <w:sz w:val="20"/>
                <w:szCs w:val="20"/>
                <w:color w:val="auto"/>
              </w:rPr>
            </w:pPr>
            <w:r>
              <w:rPr>
                <w:rFonts w:ascii="Arial" w:cs="Arial" w:eastAsia="Arial" w:hAnsi="Arial"/>
                <w:sz w:val="12"/>
                <w:szCs w:val="12"/>
                <w:color w:val="auto"/>
              </w:rPr>
              <w:t>101.PRE*</w:t>
            </w:r>
          </w:p>
        </w:tc>
        <w:tc>
          <w:tcPr>
            <w:tcW w:w="9880" w:type="dxa"/>
            <w:vAlign w:val="bottom"/>
            <w:gridSpan w:val="14"/>
          </w:tcPr>
          <w:p>
            <w:pPr>
              <w:spacing w:after="0"/>
              <w:rPr>
                <w:sz w:val="20"/>
                <w:szCs w:val="20"/>
                <w:color w:val="auto"/>
              </w:rPr>
            </w:pPr>
            <w:r>
              <w:rPr>
                <w:rFonts w:ascii="Arial" w:cs="Arial" w:eastAsia="Arial" w:hAnsi="Arial"/>
                <w:sz w:val="12"/>
                <w:szCs w:val="12"/>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148590</wp:posOffset>
            </wp:positionV>
            <wp:extent cx="1372870" cy="57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98">
                      <a:extLst>
                        <a:ext uri="{28A0092B-C50C-407E-A947-70E740481C1C}"/>
                      </a:extLst>
                    </a:blip>
                    <a:srcRect/>
                    <a:stretch>
                      <a:fillRect/>
                    </a:stretch>
                  </pic:blipFill>
                  <pic:spPr bwMode="auto">
                    <a:xfrm>
                      <a:off x="0" y="0"/>
                      <a:ext cx="1372870" cy="5715"/>
                    </a:xfrm>
                    <a:prstGeom prst="rect">
                      <a:avLst/>
                    </a:prstGeom>
                    <a:noFill/>
                  </pic:spPr>
                </pic:pic>
              </a:graphicData>
            </a:graphic>
          </wp:anchor>
        </w:drawing>
      </w:r>
    </w:p>
    <w:p>
      <w:pPr>
        <w:spacing w:after="0" w:line="241" w:lineRule="exact"/>
        <w:rPr>
          <w:sz w:val="20"/>
          <w:szCs w:val="20"/>
          <w:color w:val="auto"/>
        </w:rPr>
      </w:pPr>
    </w:p>
    <w:p>
      <w:pPr>
        <w:ind w:left="588" w:hanging="588"/>
        <w:spacing w:after="0"/>
        <w:tabs>
          <w:tab w:leader="none" w:pos="588" w:val="left"/>
        </w:tabs>
        <w:numPr>
          <w:ilvl w:val="0"/>
          <w:numId w:val="19"/>
        </w:numPr>
        <w:rPr>
          <w:rFonts w:ascii="Arial" w:cs="Arial" w:eastAsia="Arial" w:hAnsi="Arial"/>
          <w:sz w:val="12"/>
          <w:szCs w:val="12"/>
          <w:color w:val="auto"/>
        </w:rPr>
      </w:pPr>
      <w:r>
        <w:rPr>
          <w:rFonts w:ascii="Arial" w:cs="Arial" w:eastAsia="Arial" w:hAnsi="Arial"/>
          <w:sz w:val="12"/>
          <w:szCs w:val="12"/>
          <w:color w:val="auto"/>
        </w:rPr>
        <w:t>Filed herewith</w:t>
      </w:r>
    </w:p>
    <w:p>
      <w:pPr>
        <w:spacing w:after="0" w:line="33" w:lineRule="exact"/>
        <w:rPr>
          <w:sz w:val="20"/>
          <w:szCs w:val="20"/>
          <w:color w:val="auto"/>
        </w:rPr>
      </w:pPr>
    </w:p>
    <w:p>
      <w:pPr>
        <w:ind w:left="588" w:right="120" w:hanging="588"/>
        <w:spacing w:after="0" w:line="263" w:lineRule="auto"/>
        <w:tabs>
          <w:tab w:leader="none" w:pos="588" w:val="left"/>
        </w:tabs>
        <w:numPr>
          <w:ilvl w:val="0"/>
          <w:numId w:val="20"/>
        </w:numPr>
        <w:rPr>
          <w:rFonts w:ascii="Arial" w:cs="Arial" w:eastAsia="Arial" w:hAnsi="Arial"/>
          <w:sz w:val="12"/>
          <w:szCs w:val="12"/>
          <w:color w:val="auto"/>
        </w:rPr>
      </w:pPr>
      <w:r>
        <w:rPr>
          <w:rFonts w:ascii="Arial" w:cs="Arial" w:eastAsia="Arial" w:hAnsi="Arial"/>
          <w:sz w:val="12"/>
          <w:szCs w:val="12"/>
          <w:color w:val="auto"/>
        </w:rPr>
        <w:t>Certain portions of this exhibit have been omitted pursuant to a request for confidential treatment granted by, and have been filed separately with, the Securities and Exchange Commission. Also, certain exhibits and schedules to this exhibit have been omitted pursuant to Item 601(b)(2) of Regulation S-K. The Company agrees to furnish a supplemental copy of any such omitted exhibit or schedule to the Securities and Exchange Commission upon request but may request confidential treatment for any exhibit or schedule so furnished.</w:t>
      </w:r>
    </w:p>
    <w:p>
      <w:pPr>
        <w:spacing w:after="0" w:line="5" w:lineRule="exact"/>
        <w:rPr>
          <w:rFonts w:ascii="Arial" w:cs="Arial" w:eastAsia="Arial" w:hAnsi="Arial"/>
          <w:sz w:val="12"/>
          <w:szCs w:val="12"/>
          <w:color w:val="auto"/>
        </w:rPr>
      </w:pPr>
    </w:p>
    <w:p>
      <w:pPr>
        <w:ind w:left="588" w:hanging="588"/>
        <w:spacing w:after="0"/>
        <w:tabs>
          <w:tab w:leader="none" w:pos="588" w:val="left"/>
        </w:tabs>
        <w:numPr>
          <w:ilvl w:val="0"/>
          <w:numId w:val="21"/>
        </w:numPr>
        <w:rPr>
          <w:rFonts w:ascii="Arial" w:cs="Arial" w:eastAsia="Arial" w:hAnsi="Arial"/>
          <w:sz w:val="12"/>
          <w:szCs w:val="12"/>
          <w:color w:val="auto"/>
        </w:rPr>
      </w:pPr>
      <w:r>
        <w:rPr>
          <w:rFonts w:ascii="Arial" w:cs="Arial" w:eastAsia="Arial" w:hAnsi="Arial"/>
          <w:sz w:val="12"/>
          <w:szCs w:val="12"/>
          <w:color w:val="auto"/>
        </w:rPr>
        <w:t>Certain portions of this exhibit have been omitted pursuant to a request for confidential treatment granted by, and have been filed separately with, the Securities and Exchange Commission.</w:t>
      </w:r>
    </w:p>
    <w:p>
      <w:pPr>
        <w:spacing w:after="0" w:line="33" w:lineRule="exact"/>
        <w:rPr>
          <w:sz w:val="20"/>
          <w:szCs w:val="20"/>
          <w:color w:val="auto"/>
        </w:rPr>
      </w:pPr>
    </w:p>
    <w:p>
      <w:pPr>
        <w:ind w:left="588" w:hanging="588"/>
        <w:spacing w:after="0"/>
        <w:tabs>
          <w:tab w:leader="none" w:pos="588" w:val="left"/>
        </w:tabs>
        <w:numPr>
          <w:ilvl w:val="0"/>
          <w:numId w:val="22"/>
        </w:numPr>
        <w:rPr>
          <w:rFonts w:ascii="Arial" w:cs="Arial" w:eastAsia="Arial" w:hAnsi="Arial"/>
          <w:sz w:val="12"/>
          <w:szCs w:val="12"/>
          <w:color w:val="auto"/>
        </w:rPr>
      </w:pPr>
      <w:r>
        <w:rPr>
          <w:rFonts w:ascii="Arial" w:cs="Arial" w:eastAsia="Arial" w:hAnsi="Arial"/>
          <w:sz w:val="12"/>
          <w:szCs w:val="12"/>
          <w:color w:val="auto"/>
        </w:rPr>
        <w:t>Constitutes a management contract or compensation plxan or arrangement.</w:t>
      </w:r>
    </w:p>
    <w:p>
      <w:pPr>
        <w:spacing w:after="0" w:line="398"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ITEM 16. FORM 10-K SUMMARY</w:t>
      </w:r>
    </w:p>
    <w:p>
      <w:pPr>
        <w:spacing w:after="0" w:line="118" w:lineRule="exact"/>
        <w:rPr>
          <w:sz w:val="20"/>
          <w:szCs w:val="20"/>
          <w:color w:val="auto"/>
        </w:rPr>
      </w:pPr>
    </w:p>
    <w:p>
      <w:pPr>
        <w:ind w:left="8"/>
        <w:spacing w:after="0"/>
        <w:rPr>
          <w:sz w:val="20"/>
          <w:szCs w:val="20"/>
          <w:color w:val="auto"/>
        </w:rPr>
      </w:pPr>
      <w:r>
        <w:rPr>
          <w:rFonts w:ascii="Arial" w:cs="Arial" w:eastAsia="Arial" w:hAnsi="Arial"/>
          <w:sz w:val="12"/>
          <w:szCs w:val="12"/>
          <w:color w:val="auto"/>
        </w:rPr>
        <w:t>None.</w:t>
      </w:r>
    </w:p>
    <w:p>
      <w:pPr>
        <w:spacing w:after="0" w:line="150" w:lineRule="exact"/>
        <w:rPr>
          <w:sz w:val="20"/>
          <w:szCs w:val="20"/>
          <w:color w:val="auto"/>
        </w:rPr>
      </w:pPr>
    </w:p>
    <w:p>
      <w:pPr>
        <w:jc w:val="center"/>
        <w:ind w:right="12"/>
        <w:spacing w:after="0"/>
        <w:rPr>
          <w:sz w:val="20"/>
          <w:szCs w:val="20"/>
          <w:color w:val="auto"/>
        </w:rPr>
      </w:pPr>
      <w:r>
        <w:rPr>
          <w:rFonts w:ascii="Arial" w:cs="Arial" w:eastAsia="Arial" w:hAnsi="Arial"/>
          <w:sz w:val="12"/>
          <w:szCs w:val="12"/>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329170" cy="3683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99">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508"/>
          </w:cols>
          <w:pgMar w:left="212" w:top="119" w:right="179" w:bottom="1440" w:gutter="0" w:footer="0" w:header="0"/>
        </w:sectPr>
      </w:pPr>
    </w:p>
    <w:bookmarkStart w:id="108" w:name="page109"/>
    <w:bookmarkEnd w:id="108"/>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74"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SIGNATURES</w:t>
      </w:r>
    </w:p>
    <w:p>
      <w:pPr>
        <w:spacing w:after="0" w:line="150" w:lineRule="exact"/>
        <w:rPr>
          <w:sz w:val="20"/>
          <w:szCs w:val="20"/>
          <w:color w:val="auto"/>
        </w:rPr>
      </w:pPr>
    </w:p>
    <w:p>
      <w:pPr>
        <w:ind w:left="600"/>
        <w:spacing w:after="0"/>
        <w:rPr>
          <w:sz w:val="20"/>
          <w:szCs w:val="20"/>
          <w:color w:val="auto"/>
        </w:rPr>
      </w:pPr>
      <w:r>
        <w:rPr>
          <w:rFonts w:ascii="Arial" w:cs="Arial" w:eastAsia="Arial" w:hAnsi="Arial"/>
          <w:sz w:val="11"/>
          <w:szCs w:val="11"/>
          <w:color w:val="auto"/>
        </w:rPr>
        <w:t>Pursuant to the requirements of Section 13 or 15(d) of the Securities Exchange Act of 1934, the Registrant has duly caused this report to be signed on its behalf by the undersigned, thereunto duly authorized</w:t>
      </w:r>
      <w:r>
        <w:rPr>
          <w:rFonts w:ascii="Arial" w:cs="Arial" w:eastAsia="Arial" w:hAnsi="Arial"/>
          <w:sz w:val="11"/>
          <w:szCs w:val="11"/>
          <w:b w:val="1"/>
          <w:bCs w:val="1"/>
          <w:color w:val="auto"/>
        </w:rPr>
        <w: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4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5300" w:type="dxa"/>
            <w:vAlign w:val="bottom"/>
          </w:tcPr>
          <w:p>
            <w:pPr>
              <w:ind w:left="1960"/>
              <w:spacing w:after="0"/>
              <w:rPr>
                <w:sz w:val="20"/>
                <w:szCs w:val="20"/>
                <w:color w:val="auto"/>
              </w:rPr>
            </w:pPr>
            <w:r>
              <w:rPr>
                <w:rFonts w:ascii="Arial" w:cs="Arial" w:eastAsia="Arial" w:hAnsi="Arial"/>
                <w:sz w:val="12"/>
                <w:szCs w:val="12"/>
                <w:color w:val="auto"/>
              </w:rPr>
              <w:t>UNITI GROUP INC.</w:t>
            </w:r>
          </w:p>
        </w:tc>
      </w:tr>
      <w:tr>
        <w:trPr>
          <w:trHeight w:val="306"/>
        </w:trPr>
        <w:tc>
          <w:tcPr>
            <w:tcW w:w="3420" w:type="dxa"/>
            <w:vAlign w:val="bottom"/>
          </w:tcPr>
          <w:p>
            <w:pPr>
              <w:spacing w:after="0"/>
              <w:rPr>
                <w:sz w:val="20"/>
                <w:szCs w:val="20"/>
                <w:color w:val="auto"/>
              </w:rPr>
            </w:pPr>
            <w:r>
              <w:rPr>
                <w:rFonts w:ascii="Arial" w:cs="Arial" w:eastAsia="Arial" w:hAnsi="Arial"/>
                <w:sz w:val="12"/>
                <w:szCs w:val="12"/>
                <w:color w:val="auto"/>
              </w:rPr>
              <w:t>Date: March 1, 2018</w:t>
            </w:r>
          </w:p>
        </w:tc>
        <w:tc>
          <w:tcPr>
            <w:tcW w:w="2760" w:type="dxa"/>
            <w:vAlign w:val="bottom"/>
          </w:tcPr>
          <w:p>
            <w:pPr>
              <w:ind w:left="2420"/>
              <w:spacing w:after="0"/>
              <w:rPr>
                <w:sz w:val="20"/>
                <w:szCs w:val="20"/>
                <w:color w:val="auto"/>
              </w:rPr>
            </w:pPr>
            <w:r>
              <w:rPr>
                <w:rFonts w:ascii="Arial" w:cs="Arial" w:eastAsia="Arial" w:hAnsi="Arial"/>
                <w:sz w:val="12"/>
                <w:szCs w:val="12"/>
                <w:color w:val="auto"/>
              </w:rPr>
              <w:t>By:</w:t>
            </w:r>
          </w:p>
        </w:tc>
        <w:tc>
          <w:tcPr>
            <w:tcW w:w="53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1"/>
              </w:rPr>
              <w:t>/s/ Kenneth A. Gunderman</w:t>
            </w:r>
          </w:p>
        </w:tc>
      </w:tr>
      <w:tr>
        <w:trPr>
          <w:trHeight w:val="138"/>
        </w:trPr>
        <w:tc>
          <w:tcPr>
            <w:tcW w:w="34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5300" w:type="dxa"/>
            <w:vAlign w:val="bottom"/>
          </w:tcPr>
          <w:p>
            <w:pPr>
              <w:jc w:val="center"/>
              <w:spacing w:after="0"/>
              <w:rPr>
                <w:sz w:val="20"/>
                <w:szCs w:val="20"/>
                <w:color w:val="auto"/>
              </w:rPr>
            </w:pPr>
            <w:r>
              <w:rPr>
                <w:rFonts w:ascii="Arial" w:cs="Arial" w:eastAsia="Arial" w:hAnsi="Arial"/>
                <w:sz w:val="12"/>
                <w:szCs w:val="12"/>
                <w:b w:val="1"/>
                <w:bCs w:val="1"/>
                <w:color w:val="auto"/>
                <w:w w:val="92"/>
              </w:rPr>
              <w:t>Kenneth A. Gunderman</w:t>
            </w:r>
          </w:p>
        </w:tc>
      </w:tr>
      <w:tr>
        <w:trPr>
          <w:trHeight w:val="157"/>
        </w:trPr>
        <w:tc>
          <w:tcPr>
            <w:tcW w:w="34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5300" w:type="dxa"/>
            <w:vAlign w:val="bottom"/>
          </w:tcPr>
          <w:p>
            <w:pPr>
              <w:jc w:val="center"/>
              <w:spacing w:after="0"/>
              <w:rPr>
                <w:sz w:val="20"/>
                <w:szCs w:val="20"/>
                <w:color w:val="auto"/>
              </w:rPr>
            </w:pPr>
            <w:r>
              <w:rPr>
                <w:rFonts w:ascii="Arial" w:cs="Arial" w:eastAsia="Arial" w:hAnsi="Arial"/>
                <w:sz w:val="12"/>
                <w:szCs w:val="12"/>
                <w:b w:val="1"/>
                <w:bCs w:val="1"/>
                <w:color w:val="auto"/>
                <w:w w:val="90"/>
              </w:rPr>
              <w:t>President and Chief Executive Officer</w:t>
            </w:r>
          </w:p>
        </w:tc>
      </w:tr>
    </w:tbl>
    <w:p>
      <w:pPr>
        <w:spacing w:after="0" w:line="135" w:lineRule="exact"/>
        <w:rPr>
          <w:sz w:val="20"/>
          <w:szCs w:val="20"/>
          <w:color w:val="auto"/>
        </w:rPr>
      </w:pPr>
    </w:p>
    <w:p>
      <w:pPr>
        <w:ind w:left="600"/>
        <w:spacing w:after="0"/>
        <w:rPr>
          <w:sz w:val="20"/>
          <w:szCs w:val="20"/>
          <w:color w:val="auto"/>
        </w:rPr>
      </w:pPr>
      <w:r>
        <w:rPr>
          <w:rFonts w:ascii="Arial" w:cs="Arial" w:eastAsia="Arial" w:hAnsi="Arial"/>
          <w:sz w:val="12"/>
          <w:szCs w:val="12"/>
          <w:color w:val="auto"/>
        </w:rPr>
        <w:t>Pursuant to the requirements of the Securities Exchange Act of 1934, this report has been signed below by the following persons on behalf of the Registrant in the capacities and on the dates indicated.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2960" w:type="dxa"/>
            <w:vAlign w:val="bottom"/>
          </w:tcPr>
          <w:p>
            <w:pPr>
              <w:ind w:left="1360"/>
              <w:spacing w:after="0"/>
              <w:rPr>
                <w:sz w:val="20"/>
                <w:szCs w:val="20"/>
                <w:color w:val="auto"/>
              </w:rPr>
            </w:pPr>
            <w:r>
              <w:rPr>
                <w:rFonts w:ascii="Arial" w:cs="Arial" w:eastAsia="Arial" w:hAnsi="Arial"/>
                <w:sz w:val="10"/>
                <w:szCs w:val="10"/>
                <w:b w:val="1"/>
                <w:bCs w:val="1"/>
                <w:color w:val="auto"/>
              </w:rPr>
              <w:t>Name</w:t>
            </w:r>
          </w:p>
        </w:tc>
        <w:tc>
          <w:tcPr>
            <w:tcW w:w="5080" w:type="dxa"/>
            <w:vAlign w:val="bottom"/>
          </w:tcPr>
          <w:p>
            <w:pPr>
              <w:ind w:left="2920"/>
              <w:spacing w:after="0"/>
              <w:rPr>
                <w:sz w:val="20"/>
                <w:szCs w:val="20"/>
                <w:color w:val="auto"/>
              </w:rPr>
            </w:pPr>
            <w:r>
              <w:rPr>
                <w:rFonts w:ascii="Arial" w:cs="Arial" w:eastAsia="Arial" w:hAnsi="Arial"/>
                <w:sz w:val="10"/>
                <w:szCs w:val="10"/>
                <w:b w:val="1"/>
                <w:bCs w:val="1"/>
                <w:color w:val="auto"/>
              </w:rPr>
              <w:t>Title</w:t>
            </w:r>
          </w:p>
        </w:tc>
        <w:tc>
          <w:tcPr>
            <w:tcW w:w="3460" w:type="dxa"/>
            <w:vAlign w:val="bottom"/>
          </w:tcPr>
          <w:p>
            <w:pPr>
              <w:jc w:val="center"/>
              <w:ind w:left="861"/>
              <w:spacing w:after="0"/>
              <w:rPr>
                <w:sz w:val="20"/>
                <w:szCs w:val="20"/>
                <w:color w:val="auto"/>
              </w:rPr>
            </w:pPr>
            <w:r>
              <w:rPr>
                <w:rFonts w:ascii="Arial" w:cs="Arial" w:eastAsia="Arial" w:hAnsi="Arial"/>
                <w:sz w:val="10"/>
                <w:szCs w:val="10"/>
                <w:b w:val="1"/>
                <w:bCs w:val="1"/>
                <w:color w:val="auto"/>
                <w:w w:val="82"/>
              </w:rPr>
              <w:t>Date</w:t>
            </w:r>
          </w:p>
        </w:tc>
      </w:tr>
      <w:tr>
        <w:trPr>
          <w:trHeight w:val="395"/>
        </w:trPr>
        <w:tc>
          <w:tcPr>
            <w:tcW w:w="29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Kenneth A. Gunderman</w:t>
            </w:r>
          </w:p>
        </w:tc>
        <w:tc>
          <w:tcPr>
            <w:tcW w:w="5080" w:type="dxa"/>
            <w:vAlign w:val="bottom"/>
          </w:tcPr>
          <w:p>
            <w:pPr>
              <w:ind w:left="100"/>
              <w:spacing w:after="0"/>
              <w:rPr>
                <w:sz w:val="20"/>
                <w:szCs w:val="20"/>
                <w:color w:val="auto"/>
              </w:rPr>
            </w:pPr>
            <w:r>
              <w:rPr>
                <w:rFonts w:ascii="Arial" w:cs="Arial" w:eastAsia="Arial" w:hAnsi="Arial"/>
                <w:sz w:val="12"/>
                <w:szCs w:val="12"/>
                <w:color w:val="auto"/>
              </w:rPr>
              <w:t>President and Chief Executive Officer</w:t>
            </w:r>
          </w:p>
        </w:tc>
        <w:tc>
          <w:tcPr>
            <w:tcW w:w="3460" w:type="dxa"/>
            <w:vAlign w:val="bottom"/>
          </w:tcPr>
          <w:p>
            <w:pPr>
              <w:jc w:val="center"/>
              <w:ind w:left="861"/>
              <w:spacing w:after="0"/>
              <w:rPr>
                <w:sz w:val="20"/>
                <w:szCs w:val="20"/>
                <w:color w:val="auto"/>
              </w:rPr>
            </w:pPr>
            <w:r>
              <w:rPr>
                <w:rFonts w:ascii="Arial" w:cs="Arial" w:eastAsia="Arial" w:hAnsi="Arial"/>
                <w:sz w:val="12"/>
                <w:szCs w:val="12"/>
                <w:color w:val="auto"/>
                <w:w w:val="91"/>
              </w:rPr>
              <w:t>March 1, 2018</w:t>
            </w:r>
          </w:p>
        </w:tc>
      </w:tr>
      <w:tr>
        <w:trPr>
          <w:trHeight w:val="152"/>
        </w:trPr>
        <w:tc>
          <w:tcPr>
            <w:tcW w:w="2960" w:type="dxa"/>
            <w:vAlign w:val="bottom"/>
          </w:tcPr>
          <w:p>
            <w:pPr>
              <w:ind w:left="140"/>
              <w:spacing w:after="0"/>
              <w:rPr>
                <w:sz w:val="20"/>
                <w:szCs w:val="20"/>
                <w:color w:val="auto"/>
              </w:rPr>
            </w:pPr>
            <w:r>
              <w:rPr>
                <w:rFonts w:ascii="Arial" w:cs="Arial" w:eastAsia="Arial" w:hAnsi="Arial"/>
                <w:sz w:val="10"/>
                <w:szCs w:val="10"/>
                <w:b w:val="1"/>
                <w:bCs w:val="1"/>
                <w:color w:val="auto"/>
              </w:rPr>
              <w:t>Kenneth A. Gunderman</w:t>
            </w:r>
          </w:p>
        </w:tc>
        <w:tc>
          <w:tcPr>
            <w:tcW w:w="5080" w:type="dxa"/>
            <w:vAlign w:val="bottom"/>
          </w:tcPr>
          <w:p>
            <w:pPr>
              <w:ind w:left="100"/>
              <w:spacing w:after="0"/>
              <w:rPr>
                <w:sz w:val="20"/>
                <w:szCs w:val="20"/>
                <w:color w:val="auto"/>
              </w:rPr>
            </w:pPr>
            <w:r>
              <w:rPr>
                <w:rFonts w:ascii="Arial" w:cs="Arial" w:eastAsia="Arial" w:hAnsi="Arial"/>
                <w:sz w:val="12"/>
                <w:szCs w:val="12"/>
                <w:i w:val="1"/>
                <w:iCs w:val="1"/>
                <w:color w:val="auto"/>
              </w:rPr>
              <w:t>(Principal Executive Officer)</w:t>
            </w:r>
          </w:p>
        </w:tc>
        <w:tc>
          <w:tcPr>
            <w:tcW w:w="3460" w:type="dxa"/>
            <w:vAlign w:val="bottom"/>
          </w:tcPr>
          <w:p>
            <w:pPr>
              <w:spacing w:after="0"/>
              <w:rPr>
                <w:sz w:val="13"/>
                <w:szCs w:val="13"/>
                <w:color w:val="auto"/>
              </w:rPr>
            </w:pPr>
          </w:p>
        </w:tc>
      </w:tr>
      <w:tr>
        <w:trPr>
          <w:trHeight w:val="422"/>
        </w:trPr>
        <w:tc>
          <w:tcPr>
            <w:tcW w:w="29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Mark A. Wallace</w:t>
            </w:r>
          </w:p>
        </w:tc>
        <w:tc>
          <w:tcPr>
            <w:tcW w:w="5080" w:type="dxa"/>
            <w:vAlign w:val="bottom"/>
          </w:tcPr>
          <w:p>
            <w:pPr>
              <w:ind w:left="100"/>
              <w:spacing w:after="0"/>
              <w:rPr>
                <w:sz w:val="20"/>
                <w:szCs w:val="20"/>
                <w:color w:val="auto"/>
              </w:rPr>
            </w:pPr>
            <w:r>
              <w:rPr>
                <w:rFonts w:ascii="Arial" w:cs="Arial" w:eastAsia="Arial" w:hAnsi="Arial"/>
                <w:sz w:val="12"/>
                <w:szCs w:val="12"/>
                <w:color w:val="auto"/>
              </w:rPr>
              <w:t>Executive Vice President – Chief Financial Officer and Treasurer</w:t>
            </w:r>
          </w:p>
        </w:tc>
        <w:tc>
          <w:tcPr>
            <w:tcW w:w="3460" w:type="dxa"/>
            <w:vAlign w:val="bottom"/>
          </w:tcPr>
          <w:p>
            <w:pPr>
              <w:jc w:val="center"/>
              <w:ind w:left="861"/>
              <w:spacing w:after="0"/>
              <w:rPr>
                <w:sz w:val="20"/>
                <w:szCs w:val="20"/>
                <w:color w:val="auto"/>
              </w:rPr>
            </w:pPr>
            <w:r>
              <w:rPr>
                <w:rFonts w:ascii="Arial" w:cs="Arial" w:eastAsia="Arial" w:hAnsi="Arial"/>
                <w:sz w:val="12"/>
                <w:szCs w:val="12"/>
                <w:color w:val="auto"/>
                <w:w w:val="91"/>
              </w:rPr>
              <w:t>March 1, 2018</w:t>
            </w:r>
          </w:p>
        </w:tc>
      </w:tr>
      <w:tr>
        <w:trPr>
          <w:trHeight w:val="152"/>
        </w:trPr>
        <w:tc>
          <w:tcPr>
            <w:tcW w:w="2960" w:type="dxa"/>
            <w:vAlign w:val="bottom"/>
          </w:tcPr>
          <w:p>
            <w:pPr>
              <w:ind w:left="140"/>
              <w:spacing w:after="0"/>
              <w:rPr>
                <w:sz w:val="20"/>
                <w:szCs w:val="20"/>
                <w:color w:val="auto"/>
              </w:rPr>
            </w:pPr>
            <w:r>
              <w:rPr>
                <w:rFonts w:ascii="Arial" w:cs="Arial" w:eastAsia="Arial" w:hAnsi="Arial"/>
                <w:sz w:val="10"/>
                <w:szCs w:val="10"/>
                <w:b w:val="1"/>
                <w:bCs w:val="1"/>
                <w:color w:val="auto"/>
              </w:rPr>
              <w:t>Mark A. Wallace</w:t>
            </w:r>
          </w:p>
        </w:tc>
        <w:tc>
          <w:tcPr>
            <w:tcW w:w="5080" w:type="dxa"/>
            <w:vAlign w:val="bottom"/>
          </w:tcPr>
          <w:p>
            <w:pPr>
              <w:ind w:left="100"/>
              <w:spacing w:after="0"/>
              <w:rPr>
                <w:sz w:val="20"/>
                <w:szCs w:val="20"/>
                <w:color w:val="auto"/>
              </w:rPr>
            </w:pPr>
            <w:r>
              <w:rPr>
                <w:rFonts w:ascii="Arial" w:cs="Arial" w:eastAsia="Arial" w:hAnsi="Arial"/>
                <w:sz w:val="12"/>
                <w:szCs w:val="12"/>
                <w:i w:val="1"/>
                <w:iCs w:val="1"/>
                <w:color w:val="auto"/>
              </w:rPr>
              <w:t>(Principal Financial Officer)</w:t>
            </w:r>
          </w:p>
        </w:tc>
        <w:tc>
          <w:tcPr>
            <w:tcW w:w="3460" w:type="dxa"/>
            <w:vAlign w:val="bottom"/>
          </w:tcPr>
          <w:p>
            <w:pPr>
              <w:spacing w:after="0"/>
              <w:rPr>
                <w:sz w:val="13"/>
                <w:szCs w:val="13"/>
                <w:color w:val="auto"/>
              </w:rPr>
            </w:pPr>
          </w:p>
        </w:tc>
      </w:tr>
      <w:tr>
        <w:trPr>
          <w:trHeight w:val="314"/>
        </w:trPr>
        <w:tc>
          <w:tcPr>
            <w:tcW w:w="29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Blake Schuhmacher</w:t>
            </w:r>
          </w:p>
        </w:tc>
        <w:tc>
          <w:tcPr>
            <w:tcW w:w="5080" w:type="dxa"/>
            <w:vAlign w:val="bottom"/>
          </w:tcPr>
          <w:p>
            <w:pPr>
              <w:ind w:left="100"/>
              <w:spacing w:after="0"/>
              <w:rPr>
                <w:sz w:val="20"/>
                <w:szCs w:val="20"/>
                <w:color w:val="auto"/>
              </w:rPr>
            </w:pPr>
            <w:r>
              <w:rPr>
                <w:rFonts w:ascii="Arial" w:cs="Arial" w:eastAsia="Arial" w:hAnsi="Arial"/>
                <w:sz w:val="12"/>
                <w:szCs w:val="12"/>
                <w:color w:val="auto"/>
              </w:rPr>
              <w:t>Vice President – Chief Accounting Officer</w:t>
            </w:r>
          </w:p>
        </w:tc>
        <w:tc>
          <w:tcPr>
            <w:tcW w:w="3460" w:type="dxa"/>
            <w:vAlign w:val="bottom"/>
          </w:tcPr>
          <w:p>
            <w:pPr>
              <w:jc w:val="center"/>
              <w:ind w:left="861"/>
              <w:spacing w:after="0"/>
              <w:rPr>
                <w:sz w:val="20"/>
                <w:szCs w:val="20"/>
                <w:color w:val="auto"/>
              </w:rPr>
            </w:pPr>
            <w:r>
              <w:rPr>
                <w:rFonts w:ascii="Arial" w:cs="Arial" w:eastAsia="Arial" w:hAnsi="Arial"/>
                <w:sz w:val="12"/>
                <w:szCs w:val="12"/>
                <w:color w:val="auto"/>
                <w:w w:val="91"/>
              </w:rPr>
              <w:t>March 1, 2018</w:t>
            </w:r>
          </w:p>
        </w:tc>
      </w:tr>
      <w:tr>
        <w:trPr>
          <w:trHeight w:val="152"/>
        </w:trPr>
        <w:tc>
          <w:tcPr>
            <w:tcW w:w="2960" w:type="dxa"/>
            <w:vAlign w:val="bottom"/>
          </w:tcPr>
          <w:p>
            <w:pPr>
              <w:ind w:left="140"/>
              <w:spacing w:after="0"/>
              <w:rPr>
                <w:sz w:val="20"/>
                <w:szCs w:val="20"/>
                <w:color w:val="auto"/>
              </w:rPr>
            </w:pPr>
            <w:r>
              <w:rPr>
                <w:rFonts w:ascii="Arial" w:cs="Arial" w:eastAsia="Arial" w:hAnsi="Arial"/>
                <w:sz w:val="10"/>
                <w:szCs w:val="10"/>
                <w:b w:val="1"/>
                <w:bCs w:val="1"/>
                <w:color w:val="auto"/>
              </w:rPr>
              <w:t>Blake Schuhmacher</w:t>
            </w:r>
          </w:p>
        </w:tc>
        <w:tc>
          <w:tcPr>
            <w:tcW w:w="5080" w:type="dxa"/>
            <w:vAlign w:val="bottom"/>
          </w:tcPr>
          <w:p>
            <w:pPr>
              <w:ind w:left="100"/>
              <w:spacing w:after="0"/>
              <w:rPr>
                <w:sz w:val="20"/>
                <w:szCs w:val="20"/>
                <w:color w:val="auto"/>
              </w:rPr>
            </w:pPr>
            <w:r>
              <w:rPr>
                <w:rFonts w:ascii="Arial" w:cs="Arial" w:eastAsia="Arial" w:hAnsi="Arial"/>
                <w:sz w:val="12"/>
                <w:szCs w:val="12"/>
                <w:i w:val="1"/>
                <w:iCs w:val="1"/>
                <w:color w:val="auto"/>
              </w:rPr>
              <w:t>(Principal Accounting Officer)</w:t>
            </w:r>
          </w:p>
        </w:tc>
        <w:tc>
          <w:tcPr>
            <w:tcW w:w="3460" w:type="dxa"/>
            <w:vAlign w:val="bottom"/>
          </w:tcPr>
          <w:p>
            <w:pPr>
              <w:spacing w:after="0"/>
              <w:rPr>
                <w:sz w:val="13"/>
                <w:szCs w:val="13"/>
                <w:color w:val="auto"/>
              </w:rPr>
            </w:pPr>
          </w:p>
        </w:tc>
      </w:tr>
      <w:tr>
        <w:trPr>
          <w:trHeight w:val="314"/>
        </w:trPr>
        <w:tc>
          <w:tcPr>
            <w:tcW w:w="29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Francis X. Frantz</w:t>
            </w:r>
          </w:p>
        </w:tc>
        <w:tc>
          <w:tcPr>
            <w:tcW w:w="5080" w:type="dxa"/>
            <w:vAlign w:val="bottom"/>
          </w:tcPr>
          <w:p>
            <w:pPr>
              <w:ind w:left="100"/>
              <w:spacing w:after="0"/>
              <w:rPr>
                <w:sz w:val="20"/>
                <w:szCs w:val="20"/>
                <w:color w:val="auto"/>
              </w:rPr>
            </w:pPr>
            <w:r>
              <w:rPr>
                <w:rFonts w:ascii="Arial" w:cs="Arial" w:eastAsia="Arial" w:hAnsi="Arial"/>
                <w:sz w:val="12"/>
                <w:szCs w:val="12"/>
                <w:color w:val="auto"/>
              </w:rPr>
              <w:t>Chairman and Director</w:t>
            </w:r>
          </w:p>
        </w:tc>
        <w:tc>
          <w:tcPr>
            <w:tcW w:w="3460" w:type="dxa"/>
            <w:vAlign w:val="bottom"/>
          </w:tcPr>
          <w:p>
            <w:pPr>
              <w:jc w:val="center"/>
              <w:ind w:left="861"/>
              <w:spacing w:after="0"/>
              <w:rPr>
                <w:sz w:val="20"/>
                <w:szCs w:val="20"/>
                <w:color w:val="auto"/>
              </w:rPr>
            </w:pPr>
            <w:r>
              <w:rPr>
                <w:rFonts w:ascii="Arial" w:cs="Arial" w:eastAsia="Arial" w:hAnsi="Arial"/>
                <w:sz w:val="12"/>
                <w:szCs w:val="12"/>
                <w:color w:val="auto"/>
                <w:w w:val="91"/>
              </w:rPr>
              <w:t>March 1, 2018</w:t>
            </w:r>
          </w:p>
        </w:tc>
      </w:tr>
      <w:tr>
        <w:trPr>
          <w:trHeight w:val="152"/>
        </w:trPr>
        <w:tc>
          <w:tcPr>
            <w:tcW w:w="2960" w:type="dxa"/>
            <w:vAlign w:val="bottom"/>
          </w:tcPr>
          <w:p>
            <w:pPr>
              <w:ind w:left="140"/>
              <w:spacing w:after="0"/>
              <w:rPr>
                <w:sz w:val="20"/>
                <w:szCs w:val="20"/>
                <w:color w:val="auto"/>
              </w:rPr>
            </w:pPr>
            <w:r>
              <w:rPr>
                <w:rFonts w:ascii="Arial" w:cs="Arial" w:eastAsia="Arial" w:hAnsi="Arial"/>
                <w:sz w:val="10"/>
                <w:szCs w:val="10"/>
                <w:b w:val="1"/>
                <w:bCs w:val="1"/>
                <w:color w:val="auto"/>
              </w:rPr>
              <w:t>Francis X. Frantz</w:t>
            </w:r>
          </w:p>
        </w:tc>
        <w:tc>
          <w:tcPr>
            <w:tcW w:w="5080" w:type="dxa"/>
            <w:vAlign w:val="bottom"/>
          </w:tcPr>
          <w:p>
            <w:pPr>
              <w:spacing w:after="0"/>
              <w:rPr>
                <w:sz w:val="13"/>
                <w:szCs w:val="13"/>
                <w:color w:val="auto"/>
              </w:rPr>
            </w:pPr>
          </w:p>
        </w:tc>
        <w:tc>
          <w:tcPr>
            <w:tcW w:w="3460" w:type="dxa"/>
            <w:vAlign w:val="bottom"/>
          </w:tcPr>
          <w:p>
            <w:pPr>
              <w:spacing w:after="0"/>
              <w:rPr>
                <w:sz w:val="13"/>
                <w:szCs w:val="13"/>
                <w:color w:val="auto"/>
              </w:rPr>
            </w:pPr>
          </w:p>
        </w:tc>
      </w:tr>
      <w:tr>
        <w:trPr>
          <w:trHeight w:val="368"/>
        </w:trPr>
        <w:tc>
          <w:tcPr>
            <w:tcW w:w="29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Jennifer S. Banner</w:t>
            </w:r>
          </w:p>
        </w:tc>
        <w:tc>
          <w:tcPr>
            <w:tcW w:w="5080" w:type="dxa"/>
            <w:vAlign w:val="bottom"/>
          </w:tcPr>
          <w:p>
            <w:pPr>
              <w:ind w:left="100"/>
              <w:spacing w:after="0"/>
              <w:rPr>
                <w:sz w:val="20"/>
                <w:szCs w:val="20"/>
                <w:color w:val="auto"/>
              </w:rPr>
            </w:pPr>
            <w:r>
              <w:rPr>
                <w:rFonts w:ascii="Arial" w:cs="Arial" w:eastAsia="Arial" w:hAnsi="Arial"/>
                <w:sz w:val="12"/>
                <w:szCs w:val="12"/>
                <w:color w:val="auto"/>
              </w:rPr>
              <w:t>Director</w:t>
            </w:r>
          </w:p>
        </w:tc>
        <w:tc>
          <w:tcPr>
            <w:tcW w:w="3460" w:type="dxa"/>
            <w:vAlign w:val="bottom"/>
          </w:tcPr>
          <w:p>
            <w:pPr>
              <w:jc w:val="center"/>
              <w:ind w:left="861"/>
              <w:spacing w:after="0"/>
              <w:rPr>
                <w:sz w:val="20"/>
                <w:szCs w:val="20"/>
                <w:color w:val="auto"/>
              </w:rPr>
            </w:pPr>
            <w:r>
              <w:rPr>
                <w:rFonts w:ascii="Arial" w:cs="Arial" w:eastAsia="Arial" w:hAnsi="Arial"/>
                <w:sz w:val="12"/>
                <w:szCs w:val="12"/>
                <w:color w:val="auto"/>
                <w:w w:val="91"/>
              </w:rPr>
              <w:t>March 1, 2018</w:t>
            </w:r>
          </w:p>
        </w:tc>
      </w:tr>
      <w:tr>
        <w:trPr>
          <w:trHeight w:val="152"/>
        </w:trPr>
        <w:tc>
          <w:tcPr>
            <w:tcW w:w="2960" w:type="dxa"/>
            <w:vAlign w:val="bottom"/>
          </w:tcPr>
          <w:p>
            <w:pPr>
              <w:ind w:left="140"/>
              <w:spacing w:after="0"/>
              <w:rPr>
                <w:sz w:val="20"/>
                <w:szCs w:val="20"/>
                <w:color w:val="auto"/>
              </w:rPr>
            </w:pPr>
            <w:r>
              <w:rPr>
                <w:rFonts w:ascii="Arial" w:cs="Arial" w:eastAsia="Arial" w:hAnsi="Arial"/>
                <w:sz w:val="10"/>
                <w:szCs w:val="10"/>
                <w:b w:val="1"/>
                <w:bCs w:val="1"/>
                <w:color w:val="auto"/>
              </w:rPr>
              <w:t>Jennifer S. Banner</w:t>
            </w:r>
          </w:p>
        </w:tc>
        <w:tc>
          <w:tcPr>
            <w:tcW w:w="5080" w:type="dxa"/>
            <w:vAlign w:val="bottom"/>
          </w:tcPr>
          <w:p>
            <w:pPr>
              <w:spacing w:after="0"/>
              <w:rPr>
                <w:sz w:val="13"/>
                <w:szCs w:val="13"/>
                <w:color w:val="auto"/>
              </w:rPr>
            </w:pPr>
          </w:p>
        </w:tc>
        <w:tc>
          <w:tcPr>
            <w:tcW w:w="3460" w:type="dxa"/>
            <w:vAlign w:val="bottom"/>
          </w:tcPr>
          <w:p>
            <w:pPr>
              <w:spacing w:after="0"/>
              <w:rPr>
                <w:sz w:val="13"/>
                <w:szCs w:val="13"/>
                <w:color w:val="auto"/>
              </w:rPr>
            </w:pPr>
          </w:p>
        </w:tc>
      </w:tr>
      <w:tr>
        <w:trPr>
          <w:trHeight w:val="377"/>
        </w:trPr>
        <w:tc>
          <w:tcPr>
            <w:tcW w:w="29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Scott G. Bruce</w:t>
            </w:r>
          </w:p>
        </w:tc>
        <w:tc>
          <w:tcPr>
            <w:tcW w:w="5080" w:type="dxa"/>
            <w:vAlign w:val="bottom"/>
          </w:tcPr>
          <w:p>
            <w:pPr>
              <w:ind w:left="100"/>
              <w:spacing w:after="0"/>
              <w:rPr>
                <w:sz w:val="20"/>
                <w:szCs w:val="20"/>
                <w:color w:val="auto"/>
              </w:rPr>
            </w:pPr>
            <w:r>
              <w:rPr>
                <w:rFonts w:ascii="Arial" w:cs="Arial" w:eastAsia="Arial" w:hAnsi="Arial"/>
                <w:sz w:val="12"/>
                <w:szCs w:val="12"/>
                <w:color w:val="auto"/>
              </w:rPr>
              <w:t>Director</w:t>
            </w:r>
          </w:p>
        </w:tc>
        <w:tc>
          <w:tcPr>
            <w:tcW w:w="3460" w:type="dxa"/>
            <w:vAlign w:val="bottom"/>
          </w:tcPr>
          <w:p>
            <w:pPr>
              <w:jc w:val="center"/>
              <w:ind w:left="861"/>
              <w:spacing w:after="0"/>
              <w:rPr>
                <w:sz w:val="20"/>
                <w:szCs w:val="20"/>
                <w:color w:val="auto"/>
              </w:rPr>
            </w:pPr>
            <w:r>
              <w:rPr>
                <w:rFonts w:ascii="Arial" w:cs="Arial" w:eastAsia="Arial" w:hAnsi="Arial"/>
                <w:sz w:val="12"/>
                <w:szCs w:val="12"/>
                <w:color w:val="auto"/>
                <w:w w:val="91"/>
              </w:rPr>
              <w:t>March 1, 2018</w:t>
            </w:r>
          </w:p>
        </w:tc>
      </w:tr>
      <w:tr>
        <w:trPr>
          <w:trHeight w:val="152"/>
        </w:trPr>
        <w:tc>
          <w:tcPr>
            <w:tcW w:w="2960" w:type="dxa"/>
            <w:vAlign w:val="bottom"/>
          </w:tcPr>
          <w:p>
            <w:pPr>
              <w:ind w:left="140"/>
              <w:spacing w:after="0"/>
              <w:rPr>
                <w:sz w:val="20"/>
                <w:szCs w:val="20"/>
                <w:color w:val="auto"/>
              </w:rPr>
            </w:pPr>
            <w:r>
              <w:rPr>
                <w:rFonts w:ascii="Arial" w:cs="Arial" w:eastAsia="Arial" w:hAnsi="Arial"/>
                <w:sz w:val="10"/>
                <w:szCs w:val="10"/>
                <w:b w:val="1"/>
                <w:bCs w:val="1"/>
                <w:color w:val="auto"/>
              </w:rPr>
              <w:t>Scott G. Bruce</w:t>
            </w:r>
          </w:p>
        </w:tc>
        <w:tc>
          <w:tcPr>
            <w:tcW w:w="5080" w:type="dxa"/>
            <w:vAlign w:val="bottom"/>
          </w:tcPr>
          <w:p>
            <w:pPr>
              <w:spacing w:after="0"/>
              <w:rPr>
                <w:sz w:val="13"/>
                <w:szCs w:val="13"/>
                <w:color w:val="auto"/>
              </w:rPr>
            </w:pPr>
          </w:p>
        </w:tc>
        <w:tc>
          <w:tcPr>
            <w:tcW w:w="3460" w:type="dxa"/>
            <w:vAlign w:val="bottom"/>
          </w:tcPr>
          <w:p>
            <w:pPr>
              <w:spacing w:after="0"/>
              <w:rPr>
                <w:sz w:val="13"/>
                <w:szCs w:val="13"/>
                <w:color w:val="auto"/>
              </w:rPr>
            </w:pPr>
          </w:p>
        </w:tc>
      </w:tr>
      <w:tr>
        <w:trPr>
          <w:trHeight w:val="368"/>
        </w:trPr>
        <w:tc>
          <w:tcPr>
            <w:tcW w:w="29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Andrew Frey</w:t>
            </w:r>
          </w:p>
        </w:tc>
        <w:tc>
          <w:tcPr>
            <w:tcW w:w="5080" w:type="dxa"/>
            <w:vAlign w:val="bottom"/>
          </w:tcPr>
          <w:p>
            <w:pPr>
              <w:ind w:left="100"/>
              <w:spacing w:after="0"/>
              <w:rPr>
                <w:sz w:val="20"/>
                <w:szCs w:val="20"/>
                <w:color w:val="auto"/>
              </w:rPr>
            </w:pPr>
            <w:r>
              <w:rPr>
                <w:rFonts w:ascii="Arial" w:cs="Arial" w:eastAsia="Arial" w:hAnsi="Arial"/>
                <w:sz w:val="12"/>
                <w:szCs w:val="12"/>
                <w:color w:val="auto"/>
              </w:rPr>
              <w:t>Director</w:t>
            </w:r>
          </w:p>
        </w:tc>
        <w:tc>
          <w:tcPr>
            <w:tcW w:w="3460" w:type="dxa"/>
            <w:vAlign w:val="bottom"/>
          </w:tcPr>
          <w:p>
            <w:pPr>
              <w:jc w:val="center"/>
              <w:ind w:left="861"/>
              <w:spacing w:after="0"/>
              <w:rPr>
                <w:sz w:val="20"/>
                <w:szCs w:val="20"/>
                <w:color w:val="auto"/>
              </w:rPr>
            </w:pPr>
            <w:r>
              <w:rPr>
                <w:rFonts w:ascii="Arial" w:cs="Arial" w:eastAsia="Arial" w:hAnsi="Arial"/>
                <w:sz w:val="12"/>
                <w:szCs w:val="12"/>
                <w:color w:val="auto"/>
                <w:w w:val="91"/>
              </w:rPr>
              <w:t>March 1, 2018</w:t>
            </w:r>
          </w:p>
        </w:tc>
      </w:tr>
      <w:tr>
        <w:trPr>
          <w:trHeight w:val="152"/>
        </w:trPr>
        <w:tc>
          <w:tcPr>
            <w:tcW w:w="2960" w:type="dxa"/>
            <w:vAlign w:val="bottom"/>
          </w:tcPr>
          <w:p>
            <w:pPr>
              <w:ind w:left="140"/>
              <w:spacing w:after="0"/>
              <w:rPr>
                <w:sz w:val="20"/>
                <w:szCs w:val="20"/>
                <w:color w:val="auto"/>
              </w:rPr>
            </w:pPr>
            <w:r>
              <w:rPr>
                <w:rFonts w:ascii="Arial" w:cs="Arial" w:eastAsia="Arial" w:hAnsi="Arial"/>
                <w:sz w:val="10"/>
                <w:szCs w:val="10"/>
                <w:b w:val="1"/>
                <w:bCs w:val="1"/>
                <w:color w:val="auto"/>
              </w:rPr>
              <w:t>Andrew Frey</w:t>
            </w:r>
          </w:p>
        </w:tc>
        <w:tc>
          <w:tcPr>
            <w:tcW w:w="5080" w:type="dxa"/>
            <w:vAlign w:val="bottom"/>
          </w:tcPr>
          <w:p>
            <w:pPr>
              <w:spacing w:after="0"/>
              <w:rPr>
                <w:sz w:val="13"/>
                <w:szCs w:val="13"/>
                <w:color w:val="auto"/>
              </w:rPr>
            </w:pPr>
          </w:p>
        </w:tc>
        <w:tc>
          <w:tcPr>
            <w:tcW w:w="3460" w:type="dxa"/>
            <w:vAlign w:val="bottom"/>
          </w:tcPr>
          <w:p>
            <w:pPr>
              <w:spacing w:after="0"/>
              <w:rPr>
                <w:sz w:val="13"/>
                <w:szCs w:val="13"/>
                <w:color w:val="auto"/>
              </w:rPr>
            </w:pPr>
          </w:p>
        </w:tc>
      </w:tr>
      <w:tr>
        <w:trPr>
          <w:trHeight w:val="368"/>
        </w:trPr>
        <w:tc>
          <w:tcPr>
            <w:tcW w:w="29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David L. Solomon</w:t>
            </w:r>
          </w:p>
        </w:tc>
        <w:tc>
          <w:tcPr>
            <w:tcW w:w="5080" w:type="dxa"/>
            <w:vAlign w:val="bottom"/>
          </w:tcPr>
          <w:p>
            <w:pPr>
              <w:ind w:left="100"/>
              <w:spacing w:after="0"/>
              <w:rPr>
                <w:sz w:val="20"/>
                <w:szCs w:val="20"/>
                <w:color w:val="auto"/>
              </w:rPr>
            </w:pPr>
            <w:r>
              <w:rPr>
                <w:rFonts w:ascii="Arial" w:cs="Arial" w:eastAsia="Arial" w:hAnsi="Arial"/>
                <w:sz w:val="12"/>
                <w:szCs w:val="12"/>
                <w:color w:val="auto"/>
              </w:rPr>
              <w:t>Director</w:t>
            </w:r>
          </w:p>
        </w:tc>
        <w:tc>
          <w:tcPr>
            <w:tcW w:w="3460" w:type="dxa"/>
            <w:vAlign w:val="bottom"/>
          </w:tcPr>
          <w:p>
            <w:pPr>
              <w:jc w:val="center"/>
              <w:ind w:left="861"/>
              <w:spacing w:after="0"/>
              <w:rPr>
                <w:sz w:val="20"/>
                <w:szCs w:val="20"/>
                <w:color w:val="auto"/>
              </w:rPr>
            </w:pPr>
            <w:r>
              <w:rPr>
                <w:rFonts w:ascii="Arial" w:cs="Arial" w:eastAsia="Arial" w:hAnsi="Arial"/>
                <w:sz w:val="12"/>
                <w:szCs w:val="12"/>
                <w:color w:val="auto"/>
                <w:w w:val="91"/>
              </w:rPr>
              <w:t>March 1, 2018</w:t>
            </w:r>
          </w:p>
        </w:tc>
      </w:tr>
      <w:tr>
        <w:trPr>
          <w:trHeight w:val="143"/>
        </w:trPr>
        <w:tc>
          <w:tcPr>
            <w:tcW w:w="2960" w:type="dxa"/>
            <w:vAlign w:val="bottom"/>
          </w:tcPr>
          <w:p>
            <w:pPr>
              <w:ind w:left="140"/>
              <w:spacing w:after="0"/>
              <w:rPr>
                <w:sz w:val="20"/>
                <w:szCs w:val="20"/>
                <w:color w:val="auto"/>
              </w:rPr>
            </w:pPr>
            <w:r>
              <w:rPr>
                <w:rFonts w:ascii="Arial" w:cs="Arial" w:eastAsia="Arial" w:hAnsi="Arial"/>
                <w:sz w:val="10"/>
                <w:szCs w:val="10"/>
                <w:b w:val="1"/>
                <w:bCs w:val="1"/>
                <w:color w:val="auto"/>
              </w:rPr>
              <w:t>David L. Solomon</w:t>
            </w:r>
          </w:p>
        </w:tc>
        <w:tc>
          <w:tcPr>
            <w:tcW w:w="5080" w:type="dxa"/>
            <w:vAlign w:val="bottom"/>
          </w:tcPr>
          <w:p>
            <w:pPr>
              <w:spacing w:after="0"/>
              <w:rPr>
                <w:sz w:val="12"/>
                <w:szCs w:val="12"/>
                <w:color w:val="auto"/>
              </w:rPr>
            </w:pPr>
          </w:p>
        </w:tc>
        <w:tc>
          <w:tcPr>
            <w:tcW w:w="3460" w:type="dxa"/>
            <w:vAlign w:val="bottom"/>
          </w:tcPr>
          <w:p>
            <w:pPr>
              <w:spacing w:after="0"/>
              <w:rPr>
                <w:sz w:val="12"/>
                <w:szCs w:val="12"/>
                <w:color w:val="auto"/>
              </w:rPr>
            </w:pPr>
          </w:p>
        </w:tc>
      </w:tr>
      <w:tr>
        <w:trPr>
          <w:trHeight w:val="629"/>
        </w:trPr>
        <w:tc>
          <w:tcPr>
            <w:tcW w:w="2960" w:type="dxa"/>
            <w:vAlign w:val="bottom"/>
          </w:tcPr>
          <w:p>
            <w:pPr>
              <w:spacing w:after="0"/>
              <w:rPr>
                <w:sz w:val="24"/>
                <w:szCs w:val="24"/>
                <w:color w:val="auto"/>
              </w:rPr>
            </w:pPr>
          </w:p>
        </w:tc>
        <w:tc>
          <w:tcPr>
            <w:tcW w:w="5080" w:type="dxa"/>
            <w:vAlign w:val="bottom"/>
          </w:tcPr>
          <w:p>
            <w:pPr>
              <w:ind w:left="2680"/>
              <w:spacing w:after="0"/>
              <w:rPr>
                <w:sz w:val="20"/>
                <w:szCs w:val="20"/>
                <w:color w:val="auto"/>
              </w:rPr>
            </w:pPr>
            <w:r>
              <w:rPr>
                <w:rFonts w:ascii="Arial" w:cs="Arial" w:eastAsia="Arial" w:hAnsi="Arial"/>
                <w:sz w:val="12"/>
                <w:szCs w:val="12"/>
                <w:color w:val="auto"/>
              </w:rPr>
              <w:t>109</w:t>
            </w:r>
          </w:p>
        </w:tc>
        <w:tc>
          <w:tcPr>
            <w:tcW w:w="3460" w:type="dxa"/>
            <w:vAlign w:val="bottom"/>
          </w:tcPr>
          <w:p>
            <w:pPr>
              <w:spacing w:after="0"/>
              <w:rPr>
                <w:sz w:val="24"/>
                <w:szCs w:val="24"/>
                <w:color w:val="auto"/>
              </w:rPr>
            </w:pPr>
          </w:p>
        </w:tc>
      </w:tr>
      <w:tr>
        <w:trPr>
          <w:trHeight w:val="72"/>
        </w:trPr>
        <w:tc>
          <w:tcPr>
            <w:tcW w:w="2960" w:type="dxa"/>
            <w:vAlign w:val="bottom"/>
            <w:tcBorders>
              <w:bottom w:val="single" w:sz="8" w:color="9A9A9A"/>
            </w:tcBorders>
          </w:tcPr>
          <w:p>
            <w:pPr>
              <w:spacing w:after="0"/>
              <w:rPr>
                <w:sz w:val="6"/>
                <w:szCs w:val="6"/>
                <w:color w:val="auto"/>
              </w:rPr>
            </w:pPr>
          </w:p>
        </w:tc>
        <w:tc>
          <w:tcPr>
            <w:tcW w:w="5080" w:type="dxa"/>
            <w:vAlign w:val="bottom"/>
            <w:tcBorders>
              <w:bottom w:val="single" w:sz="8" w:color="9A9A9A"/>
            </w:tcBorders>
          </w:tcPr>
          <w:p>
            <w:pPr>
              <w:spacing w:after="0"/>
              <w:rPr>
                <w:sz w:val="6"/>
                <w:szCs w:val="6"/>
                <w:color w:val="auto"/>
              </w:rPr>
            </w:pPr>
          </w:p>
        </w:tc>
        <w:tc>
          <w:tcPr>
            <w:tcW w:w="346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7280275</wp:posOffset>
            </wp:positionH>
            <wp:positionV relativeFrom="paragraph">
              <wp:posOffset>-23495</wp:posOffset>
            </wp:positionV>
            <wp:extent cx="31115" cy="3683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00">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01">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0"/>
          </w:cols>
          <w:pgMar w:left="220" w:top="131" w:right="179" w:bottom="1440" w:gutter="0" w:footer="0" w:header="0"/>
        </w:sectPr>
      </w:pPr>
    </w:p>
    <w:bookmarkStart w:id="109" w:name="page110"/>
    <w:bookmarkEnd w:id="109"/>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6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Uniti Group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Schedule I – Condensed Financial Information of</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The Registrant (Parent Company)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Condensed Balance Sheets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20" w:type="dxa"/>
            <w:vAlign w:val="bottom"/>
            <w:gridSpan w:val="2"/>
          </w:tcPr>
          <w:p>
            <w:pPr>
              <w:spacing w:after="0"/>
              <w:rPr>
                <w:sz w:val="20"/>
                <w:szCs w:val="20"/>
                <w:color w:val="auto"/>
              </w:rPr>
            </w:pPr>
            <w:r>
              <w:rPr>
                <w:rFonts w:ascii="Arial" w:cs="Arial" w:eastAsia="Arial" w:hAnsi="Arial"/>
                <w:sz w:val="10"/>
                <w:szCs w:val="10"/>
                <w:color w:val="auto"/>
              </w:rPr>
              <w:t>(Thousands, except par value)</w:t>
            </w: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980" w:type="dxa"/>
            <w:vAlign w:val="bottom"/>
            <w:gridSpan w:val="2"/>
          </w:tcPr>
          <w:p>
            <w:pPr>
              <w:jc w:val="right"/>
              <w:ind w:right="920"/>
              <w:spacing w:after="0"/>
              <w:rPr>
                <w:sz w:val="20"/>
                <w:szCs w:val="20"/>
                <w:color w:val="auto"/>
              </w:rPr>
            </w:pPr>
            <w:r>
              <w:rPr>
                <w:rFonts w:ascii="Arial" w:cs="Arial" w:eastAsia="Arial" w:hAnsi="Arial"/>
                <w:sz w:val="10"/>
                <w:szCs w:val="10"/>
                <w:b w:val="1"/>
                <w:bCs w:val="1"/>
                <w:color w:val="auto"/>
              </w:rPr>
              <w:t>December 31, 2017</w:t>
            </w:r>
          </w:p>
        </w:tc>
        <w:tc>
          <w:tcPr>
            <w:tcW w:w="360" w:type="dxa"/>
            <w:vAlign w:val="bottom"/>
          </w:tcPr>
          <w:p>
            <w:pPr>
              <w:spacing w:after="0"/>
              <w:rPr>
                <w:sz w:val="10"/>
                <w:szCs w:val="10"/>
                <w:color w:val="auto"/>
              </w:rPr>
            </w:pPr>
          </w:p>
        </w:tc>
        <w:tc>
          <w:tcPr>
            <w:tcW w:w="1820" w:type="dxa"/>
            <w:vAlign w:val="bottom"/>
            <w:gridSpan w:val="2"/>
          </w:tcPr>
          <w:p>
            <w:pPr>
              <w:jc w:val="right"/>
              <w:ind w:right="760"/>
              <w:spacing w:after="0"/>
              <w:rPr>
                <w:sz w:val="20"/>
                <w:szCs w:val="20"/>
                <w:color w:val="auto"/>
              </w:rPr>
            </w:pPr>
            <w:r>
              <w:rPr>
                <w:rFonts w:ascii="Arial" w:cs="Arial" w:eastAsia="Arial" w:hAnsi="Arial"/>
                <w:sz w:val="10"/>
                <w:szCs w:val="10"/>
                <w:b w:val="1"/>
                <w:bCs w:val="1"/>
                <w:color w:val="auto"/>
              </w:rPr>
              <w:t>December 31, 2016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2"/>
                <w:szCs w:val="12"/>
                <w:b w:val="1"/>
                <w:bCs w:val="1"/>
                <w:color w:val="auto"/>
              </w:rPr>
              <w:t>Assets:</w:t>
            </w:r>
          </w:p>
        </w:tc>
        <w:tc>
          <w:tcPr>
            <w:tcW w:w="160" w:type="dxa"/>
            <w:vAlign w:val="bottom"/>
            <w:tcBorders>
              <w:top w:val="single" w:sz="8" w:color="CFF0FC"/>
            </w:tcBorders>
            <w:shd w:val="clear" w:color="auto" w:fill="CFF0FC"/>
          </w:tcPr>
          <w:p>
            <w:pPr>
              <w:spacing w:after="0"/>
              <w:rPr>
                <w:sz w:val="12"/>
                <w:szCs w:val="12"/>
                <w:color w:val="auto"/>
              </w:rPr>
            </w:pPr>
          </w:p>
        </w:tc>
        <w:tc>
          <w:tcPr>
            <w:tcW w:w="340" w:type="dxa"/>
            <w:vAlign w:val="bottom"/>
            <w:tcBorders>
              <w:top w:val="single" w:sz="8" w:color="auto"/>
            </w:tcBorders>
            <w:shd w:val="clear" w:color="auto" w:fill="CFF0FC"/>
          </w:tcPr>
          <w:p>
            <w:pPr>
              <w:spacing w:after="0"/>
              <w:rPr>
                <w:sz w:val="12"/>
                <w:szCs w:val="12"/>
                <w:color w:val="auto"/>
              </w:rPr>
            </w:pPr>
          </w:p>
        </w:tc>
        <w:tc>
          <w:tcPr>
            <w:tcW w:w="1720" w:type="dxa"/>
            <w:vAlign w:val="bottom"/>
            <w:tcBorders>
              <w:top w:val="single" w:sz="8" w:color="auto"/>
            </w:tcBorders>
            <w:shd w:val="clear" w:color="auto" w:fill="CFF0FC"/>
          </w:tcPr>
          <w:p>
            <w:pPr>
              <w:spacing w:after="0"/>
              <w:rPr>
                <w:sz w:val="12"/>
                <w:szCs w:val="12"/>
                <w:color w:val="auto"/>
              </w:rPr>
            </w:pPr>
          </w:p>
        </w:tc>
        <w:tc>
          <w:tcPr>
            <w:tcW w:w="260" w:type="dxa"/>
            <w:vAlign w:val="bottom"/>
            <w:tcBorders>
              <w:top w:val="single" w:sz="8" w:color="CFF0FC"/>
            </w:tcBorders>
            <w:shd w:val="clear" w:color="auto" w:fill="CFF0FC"/>
          </w:tcPr>
          <w:p>
            <w:pPr>
              <w:spacing w:after="0"/>
              <w:rPr>
                <w:sz w:val="12"/>
                <w:szCs w:val="12"/>
                <w:color w:val="auto"/>
              </w:rPr>
            </w:pPr>
          </w:p>
        </w:tc>
        <w:tc>
          <w:tcPr>
            <w:tcW w:w="360" w:type="dxa"/>
            <w:vAlign w:val="bottom"/>
            <w:tcBorders>
              <w:top w:val="single" w:sz="8" w:color="auto"/>
            </w:tcBorders>
            <w:shd w:val="clear" w:color="auto" w:fill="CFF0FC"/>
          </w:tcPr>
          <w:p>
            <w:pPr>
              <w:spacing w:after="0"/>
              <w:rPr>
                <w:sz w:val="12"/>
                <w:szCs w:val="12"/>
                <w:color w:val="auto"/>
              </w:rPr>
            </w:pPr>
          </w:p>
        </w:tc>
        <w:tc>
          <w:tcPr>
            <w:tcW w:w="170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0" w:type="dxa"/>
            <w:vAlign w:val="bottom"/>
          </w:tcPr>
          <w:p>
            <w:pPr>
              <w:ind w:left="140"/>
              <w:spacing w:after="0"/>
              <w:rPr>
                <w:sz w:val="20"/>
                <w:szCs w:val="20"/>
                <w:color w:val="auto"/>
              </w:rPr>
            </w:pPr>
            <w:r>
              <w:rPr>
                <w:rFonts w:ascii="Arial" w:cs="Arial" w:eastAsia="Arial" w:hAnsi="Arial"/>
                <w:sz w:val="12"/>
                <w:szCs w:val="12"/>
                <w:color w:val="auto"/>
              </w:rPr>
              <w:t>Cash and cash equivalents</w:t>
            </w:r>
          </w:p>
        </w:tc>
        <w:tc>
          <w:tcPr>
            <w:tcW w:w="50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720" w:type="dxa"/>
            <w:vAlign w:val="bottom"/>
          </w:tcPr>
          <w:p>
            <w:pPr>
              <w:jc w:val="right"/>
              <w:spacing w:after="0"/>
              <w:rPr>
                <w:sz w:val="20"/>
                <w:szCs w:val="20"/>
                <w:color w:val="auto"/>
              </w:rPr>
            </w:pPr>
            <w:r>
              <w:rPr>
                <w:rFonts w:ascii="Arial" w:cs="Arial" w:eastAsia="Arial" w:hAnsi="Arial"/>
                <w:sz w:val="12"/>
                <w:szCs w:val="12"/>
                <w:color w:val="auto"/>
              </w:rPr>
              <w:t>2,188</w:t>
            </w:r>
          </w:p>
        </w:tc>
        <w:tc>
          <w:tcPr>
            <w:tcW w:w="260" w:type="dxa"/>
            <w:vAlign w:val="bottom"/>
          </w:tcPr>
          <w:p>
            <w:pPr>
              <w:spacing w:after="0"/>
              <w:rPr>
                <w:sz w:val="13"/>
                <w:szCs w:val="13"/>
                <w:color w:val="auto"/>
              </w:rPr>
            </w:pPr>
          </w:p>
        </w:tc>
        <w:tc>
          <w:tcPr>
            <w:tcW w:w="360" w:type="dxa"/>
            <w:vAlign w:val="bottom"/>
          </w:tcPr>
          <w:p>
            <w:pPr>
              <w:jc w:val="right"/>
              <w:ind w:right="250"/>
              <w:spacing w:after="0"/>
              <w:rPr>
                <w:sz w:val="20"/>
                <w:szCs w:val="20"/>
                <w:color w:val="auto"/>
              </w:rPr>
            </w:pPr>
            <w:r>
              <w:rPr>
                <w:rFonts w:ascii="Arial" w:cs="Arial" w:eastAsia="Arial" w:hAnsi="Arial"/>
                <w:sz w:val="10"/>
                <w:szCs w:val="10"/>
                <w:color w:val="auto"/>
                <w:w w:val="71"/>
              </w:rPr>
              <w:t>$</w:t>
            </w:r>
          </w:p>
        </w:tc>
        <w:tc>
          <w:tcPr>
            <w:tcW w:w="1700" w:type="dxa"/>
            <w:vAlign w:val="bottom"/>
          </w:tcPr>
          <w:p>
            <w:pPr>
              <w:jc w:val="right"/>
              <w:spacing w:after="0"/>
              <w:rPr>
                <w:sz w:val="20"/>
                <w:szCs w:val="20"/>
                <w:color w:val="auto"/>
              </w:rPr>
            </w:pPr>
            <w:r>
              <w:rPr>
                <w:rFonts w:ascii="Arial" w:cs="Arial" w:eastAsia="Arial" w:hAnsi="Arial"/>
                <w:sz w:val="12"/>
                <w:szCs w:val="12"/>
                <w:color w:val="auto"/>
              </w:rPr>
              <w:t>131,145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0" w:type="dxa"/>
            <w:vAlign w:val="bottom"/>
            <w:shd w:val="clear" w:color="auto" w:fill="CFF0FC"/>
          </w:tcPr>
          <w:p>
            <w:pPr>
              <w:ind w:left="140"/>
              <w:spacing w:after="0"/>
              <w:rPr>
                <w:sz w:val="20"/>
                <w:szCs w:val="20"/>
                <w:color w:val="auto"/>
              </w:rPr>
            </w:pPr>
            <w:r>
              <w:rPr>
                <w:rFonts w:ascii="Arial" w:cs="Arial" w:eastAsia="Arial" w:hAnsi="Arial"/>
                <w:sz w:val="12"/>
                <w:szCs w:val="12"/>
                <w:color w:val="auto"/>
              </w:rPr>
              <w:t>Accounts receivable, net</w:t>
            </w:r>
          </w:p>
        </w:tc>
        <w:tc>
          <w:tcPr>
            <w:tcW w:w="1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980" w:type="dxa"/>
            <w:vAlign w:val="bottom"/>
            <w:gridSpan w:val="2"/>
            <w:shd w:val="clear" w:color="auto" w:fill="CFF0FC"/>
          </w:tcPr>
          <w:p>
            <w:pPr>
              <w:jc w:val="right"/>
              <w:ind w:right="280"/>
              <w:spacing w:after="0"/>
              <w:rPr>
                <w:sz w:val="20"/>
                <w:szCs w:val="20"/>
                <w:color w:val="auto"/>
              </w:rPr>
            </w:pPr>
            <w:r>
              <w:rPr>
                <w:rFonts w:ascii="Arial" w:cs="Arial" w:eastAsia="Arial" w:hAnsi="Arial"/>
                <w:sz w:val="12"/>
                <w:szCs w:val="12"/>
                <w:color w:val="auto"/>
              </w:rPr>
              <w:t>—</w:t>
            </w:r>
          </w:p>
        </w:tc>
        <w:tc>
          <w:tcPr>
            <w:tcW w:w="360" w:type="dxa"/>
            <w:vAlign w:val="bottom"/>
            <w:shd w:val="clear" w:color="auto" w:fill="CFF0FC"/>
          </w:tcPr>
          <w:p>
            <w:pPr>
              <w:spacing w:after="0"/>
              <w:rPr>
                <w:sz w:val="13"/>
                <w:szCs w:val="13"/>
                <w:color w:val="auto"/>
              </w:rPr>
            </w:pPr>
          </w:p>
        </w:tc>
        <w:tc>
          <w:tcPr>
            <w:tcW w:w="18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0" w:type="dxa"/>
            <w:vAlign w:val="bottom"/>
          </w:tcPr>
          <w:p>
            <w:pPr>
              <w:ind w:left="140"/>
              <w:spacing w:after="0"/>
              <w:rPr>
                <w:sz w:val="20"/>
                <w:szCs w:val="20"/>
                <w:color w:val="auto"/>
              </w:rPr>
            </w:pPr>
            <w:r>
              <w:rPr>
                <w:rFonts w:ascii="Arial" w:cs="Arial" w:eastAsia="Arial" w:hAnsi="Arial"/>
                <w:sz w:val="12"/>
                <w:szCs w:val="12"/>
                <w:color w:val="auto"/>
              </w:rPr>
              <w:t>Other assets</w:t>
            </w: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980" w:type="dxa"/>
            <w:vAlign w:val="bottom"/>
            <w:gridSpan w:val="2"/>
          </w:tcPr>
          <w:p>
            <w:pPr>
              <w:jc w:val="right"/>
              <w:ind w:right="220"/>
              <w:spacing w:after="0"/>
              <w:rPr>
                <w:sz w:val="20"/>
                <w:szCs w:val="20"/>
                <w:color w:val="auto"/>
              </w:rPr>
            </w:pPr>
            <w:r>
              <w:rPr>
                <w:rFonts w:ascii="Arial" w:cs="Arial" w:eastAsia="Arial" w:hAnsi="Arial"/>
                <w:sz w:val="12"/>
                <w:szCs w:val="12"/>
                <w:color w:val="auto"/>
              </w:rPr>
              <w:t>(9)</w:t>
            </w:r>
          </w:p>
        </w:tc>
        <w:tc>
          <w:tcPr>
            <w:tcW w:w="360" w:type="dxa"/>
            <w:vAlign w:val="bottom"/>
          </w:tcPr>
          <w:p>
            <w:pPr>
              <w:spacing w:after="0"/>
              <w:rPr>
                <w:sz w:val="13"/>
                <w:szCs w:val="13"/>
                <w:color w:val="auto"/>
              </w:rPr>
            </w:pPr>
          </w:p>
        </w:tc>
        <w:tc>
          <w:tcPr>
            <w:tcW w:w="1700" w:type="dxa"/>
            <w:vAlign w:val="bottom"/>
          </w:tcPr>
          <w:p>
            <w:pPr>
              <w:jc w:val="right"/>
              <w:spacing w:after="0"/>
              <w:rPr>
                <w:sz w:val="20"/>
                <w:szCs w:val="20"/>
                <w:color w:val="auto"/>
              </w:rPr>
            </w:pPr>
            <w:r>
              <w:rPr>
                <w:rFonts w:ascii="Arial" w:cs="Arial" w:eastAsia="Arial" w:hAnsi="Arial"/>
                <w:sz w:val="12"/>
                <w:szCs w:val="12"/>
                <w:color w:val="auto"/>
              </w:rPr>
              <w:t>1,066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0" w:type="dxa"/>
            <w:vAlign w:val="bottom"/>
            <w:shd w:val="clear" w:color="auto" w:fill="CFF0FC"/>
          </w:tcPr>
          <w:p>
            <w:pPr>
              <w:ind w:left="140"/>
              <w:spacing w:after="0"/>
              <w:rPr>
                <w:sz w:val="20"/>
                <w:szCs w:val="20"/>
                <w:color w:val="auto"/>
              </w:rPr>
            </w:pPr>
            <w:r>
              <w:rPr>
                <w:rFonts w:ascii="Arial" w:cs="Arial" w:eastAsia="Arial" w:hAnsi="Arial"/>
                <w:sz w:val="12"/>
                <w:szCs w:val="12"/>
                <w:color w:val="auto"/>
              </w:rPr>
              <w:t>Investment in consolidated subsidiaries</w:t>
            </w:r>
          </w:p>
        </w:tc>
        <w:tc>
          <w:tcPr>
            <w:tcW w:w="1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98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(1,120,120)</w:t>
            </w:r>
          </w:p>
        </w:tc>
        <w:tc>
          <w:tcPr>
            <w:tcW w:w="360" w:type="dxa"/>
            <w:vAlign w:val="bottom"/>
            <w:shd w:val="clear" w:color="auto" w:fill="CFF0FC"/>
          </w:tcPr>
          <w:p>
            <w:pPr>
              <w:spacing w:after="0"/>
              <w:rPr>
                <w:sz w:val="13"/>
                <w:szCs w:val="13"/>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2,801,234</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Total Assets</w:t>
            </w: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6820" w:type="dxa"/>
            <w:vAlign w:val="bottom"/>
            <w:gridSpan w:val="2"/>
            <w:vMerge w:val="continue"/>
          </w:tcPr>
          <w:p>
            <w:pPr>
              <w:spacing w:after="0"/>
              <w:rPr>
                <w:sz w:val="12"/>
                <w:szCs w:val="12"/>
                <w:color w:val="auto"/>
              </w:rPr>
            </w:pPr>
          </w:p>
        </w:tc>
        <w:tc>
          <w:tcPr>
            <w:tcW w:w="50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980" w:type="dxa"/>
            <w:vAlign w:val="bottom"/>
            <w:gridSpan w:val="2"/>
          </w:tcPr>
          <w:p>
            <w:pPr>
              <w:jc w:val="right"/>
              <w:ind w:right="220"/>
              <w:spacing w:after="0"/>
              <w:rPr>
                <w:sz w:val="20"/>
                <w:szCs w:val="20"/>
                <w:color w:val="auto"/>
              </w:rPr>
            </w:pPr>
            <w:r>
              <w:rPr>
                <w:rFonts w:ascii="Arial" w:cs="Arial" w:eastAsia="Arial" w:hAnsi="Arial"/>
                <w:sz w:val="12"/>
                <w:szCs w:val="12"/>
                <w:color w:val="auto"/>
              </w:rPr>
              <w:t>(1,117,941)</w:t>
            </w:r>
          </w:p>
        </w:tc>
        <w:tc>
          <w:tcPr>
            <w:tcW w:w="360" w:type="dxa"/>
            <w:vAlign w:val="bottom"/>
          </w:tcPr>
          <w:p>
            <w:pPr>
              <w:jc w:val="right"/>
              <w:ind w:right="250"/>
              <w:spacing w:after="0"/>
              <w:rPr>
                <w:sz w:val="20"/>
                <w:szCs w:val="20"/>
                <w:color w:val="auto"/>
              </w:rPr>
            </w:pPr>
            <w:r>
              <w:rPr>
                <w:rFonts w:ascii="Arial" w:cs="Arial" w:eastAsia="Arial" w:hAnsi="Arial"/>
                <w:sz w:val="10"/>
                <w:szCs w:val="10"/>
                <w:color w:val="auto"/>
                <w:w w:val="71"/>
              </w:rPr>
              <w:t>$</w:t>
            </w:r>
          </w:p>
        </w:tc>
        <w:tc>
          <w:tcPr>
            <w:tcW w:w="1700" w:type="dxa"/>
            <w:vAlign w:val="bottom"/>
          </w:tcPr>
          <w:p>
            <w:pPr>
              <w:jc w:val="right"/>
              <w:spacing w:after="0"/>
              <w:rPr>
                <w:sz w:val="20"/>
                <w:szCs w:val="20"/>
                <w:color w:val="auto"/>
              </w:rPr>
            </w:pPr>
            <w:r>
              <w:rPr>
                <w:rFonts w:ascii="Arial" w:cs="Arial" w:eastAsia="Arial" w:hAnsi="Arial"/>
                <w:sz w:val="12"/>
                <w:szCs w:val="12"/>
                <w:color w:val="auto"/>
              </w:rPr>
              <w:t>2,933,442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vMerge w:val="restart"/>
          </w:tcPr>
          <w:p>
            <w:pPr>
              <w:spacing w:after="0"/>
              <w:rPr>
                <w:sz w:val="13"/>
                <w:szCs w:val="13"/>
                <w:color w:val="auto"/>
              </w:rPr>
            </w:pPr>
          </w:p>
        </w:tc>
        <w:tc>
          <w:tcPr>
            <w:tcW w:w="680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340" w:type="dxa"/>
            <w:vAlign w:val="bottom"/>
            <w:tcBorders>
              <w:top w:val="single" w:sz="8" w:color="auto"/>
            </w:tcBorders>
            <w:shd w:val="clear" w:color="auto" w:fill="CFF0FC"/>
          </w:tcPr>
          <w:p>
            <w:pPr>
              <w:spacing w:after="0"/>
              <w:rPr>
                <w:sz w:val="13"/>
                <w:szCs w:val="13"/>
                <w:color w:val="auto"/>
              </w:rPr>
            </w:pPr>
          </w:p>
        </w:tc>
        <w:tc>
          <w:tcPr>
            <w:tcW w:w="172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360" w:type="dxa"/>
            <w:vAlign w:val="bottom"/>
            <w:tcBorders>
              <w:top w:val="single" w:sz="8" w:color="auto"/>
            </w:tcBorders>
            <w:shd w:val="clear" w:color="auto" w:fill="CFF0FC"/>
          </w:tcPr>
          <w:p>
            <w:pPr>
              <w:spacing w:after="0"/>
              <w:rPr>
                <w:sz w:val="13"/>
                <w:szCs w:val="13"/>
                <w:color w:val="auto"/>
              </w:rPr>
            </w:pPr>
          </w:p>
        </w:tc>
        <w:tc>
          <w:tcPr>
            <w:tcW w:w="170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6800" w:type="dxa"/>
            <w:vAlign w:val="bottom"/>
          </w:tcPr>
          <w:p>
            <w:pPr>
              <w:spacing w:after="0"/>
              <w:rPr>
                <w:sz w:val="20"/>
                <w:szCs w:val="20"/>
                <w:color w:val="auto"/>
              </w:rPr>
            </w:pPr>
            <w:r>
              <w:rPr>
                <w:rFonts w:ascii="Arial" w:cs="Arial" w:eastAsia="Arial" w:hAnsi="Arial"/>
                <w:sz w:val="12"/>
                <w:szCs w:val="12"/>
                <w:b w:val="1"/>
                <w:bCs w:val="1"/>
                <w:color w:val="auto"/>
              </w:rPr>
              <w:t>Liabilities:</w:t>
            </w: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0" w:type="dxa"/>
            <w:vAlign w:val="bottom"/>
            <w:shd w:val="clear" w:color="auto" w:fill="CFF0FC"/>
          </w:tcPr>
          <w:p>
            <w:pPr>
              <w:ind w:left="140"/>
              <w:spacing w:after="0"/>
              <w:rPr>
                <w:sz w:val="20"/>
                <w:szCs w:val="20"/>
                <w:color w:val="auto"/>
              </w:rPr>
            </w:pPr>
            <w:r>
              <w:rPr>
                <w:rFonts w:ascii="Arial" w:cs="Arial" w:eastAsia="Arial" w:hAnsi="Arial"/>
                <w:sz w:val="12"/>
                <w:szCs w:val="12"/>
                <w:color w:val="auto"/>
              </w:rPr>
              <w:t>Accrued interest payable</w:t>
            </w:r>
          </w:p>
        </w:tc>
        <w:tc>
          <w:tcPr>
            <w:tcW w:w="500" w:type="dxa"/>
            <w:vAlign w:val="bottom"/>
            <w:gridSpan w:val="2"/>
            <w:shd w:val="clear" w:color="auto" w:fill="CFF0FC"/>
          </w:tcPr>
          <w:p>
            <w:pPr>
              <w:jc w:val="right"/>
              <w:ind w:right="280"/>
              <w:spacing w:after="0"/>
              <w:rPr>
                <w:sz w:val="20"/>
                <w:szCs w:val="20"/>
                <w:color w:val="auto"/>
              </w:rPr>
            </w:pPr>
            <w:r>
              <w:rPr>
                <w:rFonts w:ascii="Arial" w:cs="Arial" w:eastAsia="Arial" w:hAnsi="Arial"/>
                <w:sz w:val="12"/>
                <w:szCs w:val="12"/>
                <w:color w:val="auto"/>
              </w:rPr>
              <w:t>$</w:t>
            </w:r>
          </w:p>
        </w:tc>
        <w:tc>
          <w:tcPr>
            <w:tcW w:w="1980" w:type="dxa"/>
            <w:vAlign w:val="bottom"/>
            <w:gridSpan w:val="2"/>
            <w:shd w:val="clear" w:color="auto" w:fill="CFF0FC"/>
          </w:tcPr>
          <w:p>
            <w:pPr>
              <w:jc w:val="right"/>
              <w:ind w:right="280"/>
              <w:spacing w:after="0"/>
              <w:rPr>
                <w:sz w:val="20"/>
                <w:szCs w:val="20"/>
                <w:color w:val="auto"/>
              </w:rPr>
            </w:pPr>
            <w:r>
              <w:rPr>
                <w:rFonts w:ascii="Arial" w:cs="Arial" w:eastAsia="Arial" w:hAnsi="Arial"/>
                <w:sz w:val="12"/>
                <w:szCs w:val="12"/>
                <w:color w:val="auto"/>
              </w:rPr>
              <w:t>—</w:t>
            </w:r>
          </w:p>
        </w:tc>
        <w:tc>
          <w:tcPr>
            <w:tcW w:w="360" w:type="dxa"/>
            <w:vAlign w:val="bottom"/>
            <w:shd w:val="clear" w:color="auto" w:fill="CFF0FC"/>
          </w:tcPr>
          <w:p>
            <w:pPr>
              <w:jc w:val="right"/>
              <w:ind w:right="250"/>
              <w:spacing w:after="0"/>
              <w:rPr>
                <w:sz w:val="20"/>
                <w:szCs w:val="20"/>
                <w:color w:val="auto"/>
              </w:rPr>
            </w:pPr>
            <w:r>
              <w:rPr>
                <w:rFonts w:ascii="Arial" w:cs="Arial" w:eastAsia="Arial" w:hAnsi="Arial"/>
                <w:sz w:val="10"/>
                <w:szCs w:val="10"/>
                <w:color w:val="auto"/>
                <w:w w:val="71"/>
              </w:rPr>
              <w:t>$</w:t>
            </w:r>
          </w:p>
        </w:tc>
        <w:tc>
          <w:tcPr>
            <w:tcW w:w="1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27,812</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0" w:type="dxa"/>
            <w:vAlign w:val="bottom"/>
          </w:tcPr>
          <w:p>
            <w:pPr>
              <w:ind w:left="140"/>
              <w:spacing w:after="0"/>
              <w:rPr>
                <w:sz w:val="20"/>
                <w:szCs w:val="20"/>
                <w:color w:val="auto"/>
              </w:rPr>
            </w:pPr>
            <w:r>
              <w:rPr>
                <w:rFonts w:ascii="Arial" w:cs="Arial" w:eastAsia="Arial" w:hAnsi="Arial"/>
                <w:sz w:val="12"/>
                <w:szCs w:val="12"/>
                <w:color w:val="auto"/>
              </w:rPr>
              <w:t>Derivative liability</w:t>
            </w: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98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3"/>
                <w:szCs w:val="13"/>
                <w:color w:val="auto"/>
              </w:rPr>
            </w:pPr>
          </w:p>
        </w:tc>
        <w:tc>
          <w:tcPr>
            <w:tcW w:w="1700" w:type="dxa"/>
            <w:vAlign w:val="bottom"/>
          </w:tcPr>
          <w:p>
            <w:pPr>
              <w:jc w:val="right"/>
              <w:spacing w:after="0"/>
              <w:rPr>
                <w:sz w:val="20"/>
                <w:szCs w:val="20"/>
                <w:color w:val="auto"/>
              </w:rPr>
            </w:pPr>
            <w:r>
              <w:rPr>
                <w:rFonts w:ascii="Arial" w:cs="Arial" w:eastAsia="Arial" w:hAnsi="Arial"/>
                <w:sz w:val="12"/>
                <w:szCs w:val="12"/>
                <w:color w:val="auto"/>
              </w:rPr>
              <w:t>6,102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0" w:type="dxa"/>
            <w:vAlign w:val="bottom"/>
            <w:shd w:val="clear" w:color="auto" w:fill="CFF0FC"/>
          </w:tcPr>
          <w:p>
            <w:pPr>
              <w:ind w:left="140"/>
              <w:spacing w:after="0"/>
              <w:rPr>
                <w:sz w:val="20"/>
                <w:szCs w:val="20"/>
                <w:color w:val="auto"/>
              </w:rPr>
            </w:pPr>
            <w:r>
              <w:rPr>
                <w:rFonts w:ascii="Arial" w:cs="Arial" w:eastAsia="Arial" w:hAnsi="Arial"/>
                <w:sz w:val="12"/>
                <w:szCs w:val="12"/>
                <w:color w:val="auto"/>
              </w:rPr>
              <w:t>Dividends payable</w:t>
            </w:r>
          </w:p>
        </w:tc>
        <w:tc>
          <w:tcPr>
            <w:tcW w:w="1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107,078</w:t>
            </w:r>
          </w:p>
        </w:tc>
        <w:tc>
          <w:tcPr>
            <w:tcW w:w="26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94,607</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0" w:type="dxa"/>
            <w:vAlign w:val="bottom"/>
          </w:tcPr>
          <w:p>
            <w:pPr>
              <w:ind w:left="140"/>
              <w:spacing w:after="0"/>
              <w:rPr>
                <w:sz w:val="20"/>
                <w:szCs w:val="20"/>
                <w:color w:val="auto"/>
              </w:rPr>
            </w:pPr>
            <w:r>
              <w:rPr>
                <w:rFonts w:ascii="Arial" w:cs="Arial" w:eastAsia="Arial" w:hAnsi="Arial"/>
                <w:sz w:val="12"/>
                <w:szCs w:val="12"/>
                <w:color w:val="auto"/>
              </w:rPr>
              <w:t>Contingent consideration</w:t>
            </w: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98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3"/>
                <w:szCs w:val="13"/>
                <w:color w:val="auto"/>
              </w:rPr>
            </w:pPr>
          </w:p>
        </w:tc>
        <w:tc>
          <w:tcPr>
            <w:tcW w:w="1700" w:type="dxa"/>
            <w:vAlign w:val="bottom"/>
          </w:tcPr>
          <w:p>
            <w:pPr>
              <w:jc w:val="right"/>
              <w:spacing w:after="0"/>
              <w:rPr>
                <w:sz w:val="20"/>
                <w:szCs w:val="20"/>
                <w:color w:val="auto"/>
              </w:rPr>
            </w:pPr>
            <w:r>
              <w:rPr>
                <w:rFonts w:ascii="Arial" w:cs="Arial" w:eastAsia="Arial" w:hAnsi="Arial"/>
                <w:sz w:val="12"/>
                <w:szCs w:val="12"/>
                <w:color w:val="auto"/>
              </w:rPr>
              <w:t>98,600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0" w:type="dxa"/>
            <w:vAlign w:val="bottom"/>
            <w:shd w:val="clear" w:color="auto" w:fill="CFF0FC"/>
          </w:tcPr>
          <w:p>
            <w:pPr>
              <w:ind w:left="140"/>
              <w:spacing w:after="0"/>
              <w:rPr>
                <w:sz w:val="20"/>
                <w:szCs w:val="20"/>
                <w:color w:val="auto"/>
              </w:rPr>
            </w:pPr>
            <w:r>
              <w:rPr>
                <w:rFonts w:ascii="Arial" w:cs="Arial" w:eastAsia="Arial" w:hAnsi="Arial"/>
                <w:sz w:val="12"/>
                <w:szCs w:val="12"/>
                <w:color w:val="auto"/>
              </w:rPr>
              <w:t>Notes and other debt, net</w:t>
            </w:r>
          </w:p>
        </w:tc>
        <w:tc>
          <w:tcPr>
            <w:tcW w:w="1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980" w:type="dxa"/>
            <w:vAlign w:val="bottom"/>
            <w:gridSpan w:val="2"/>
            <w:shd w:val="clear" w:color="auto" w:fill="CFF0FC"/>
          </w:tcPr>
          <w:p>
            <w:pPr>
              <w:jc w:val="right"/>
              <w:ind w:right="280"/>
              <w:spacing w:after="0"/>
              <w:rPr>
                <w:sz w:val="20"/>
                <w:szCs w:val="20"/>
                <w:color w:val="auto"/>
              </w:rPr>
            </w:pPr>
            <w:r>
              <w:rPr>
                <w:rFonts w:ascii="Arial" w:cs="Arial" w:eastAsia="Arial" w:hAnsi="Arial"/>
                <w:sz w:val="12"/>
                <w:szCs w:val="12"/>
                <w:color w:val="auto"/>
              </w:rPr>
              <w:t>—</w:t>
            </w:r>
          </w:p>
        </w:tc>
        <w:tc>
          <w:tcPr>
            <w:tcW w:w="360" w:type="dxa"/>
            <w:vAlign w:val="bottom"/>
            <w:shd w:val="clear" w:color="auto" w:fill="CFF0FC"/>
          </w:tcPr>
          <w:p>
            <w:pPr>
              <w:spacing w:after="0"/>
              <w:rPr>
                <w:sz w:val="13"/>
                <w:szCs w:val="13"/>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4,028,214</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0" w:type="dxa"/>
            <w:vAlign w:val="bottom"/>
          </w:tcPr>
          <w:p>
            <w:pPr>
              <w:ind w:left="300"/>
              <w:spacing w:after="0"/>
              <w:rPr>
                <w:sz w:val="20"/>
                <w:szCs w:val="20"/>
                <w:color w:val="auto"/>
              </w:rPr>
            </w:pPr>
            <w:r>
              <w:rPr>
                <w:rFonts w:ascii="Arial" w:cs="Arial" w:eastAsia="Arial" w:hAnsi="Arial"/>
                <w:sz w:val="12"/>
                <w:szCs w:val="12"/>
                <w:color w:val="auto"/>
              </w:rPr>
              <w:t>Total liabilities</w:t>
            </w:r>
          </w:p>
        </w:tc>
        <w:tc>
          <w:tcPr>
            <w:tcW w:w="160" w:type="dxa"/>
            <w:vAlign w:val="bottom"/>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107,078</w:t>
            </w:r>
          </w:p>
        </w:tc>
        <w:tc>
          <w:tcPr>
            <w:tcW w:w="26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4,255,335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6800" w:type="dxa"/>
            <w:vAlign w:val="bottom"/>
            <w:shd w:val="clear" w:color="auto" w:fill="CFF0FC"/>
          </w:tcPr>
          <w:p>
            <w:pPr>
              <w:spacing w:after="0"/>
              <w:rPr>
                <w:sz w:val="20"/>
                <w:szCs w:val="20"/>
                <w:color w:val="auto"/>
              </w:rPr>
            </w:pPr>
            <w:r>
              <w:rPr>
                <w:rFonts w:ascii="Arial" w:cs="Arial" w:eastAsia="Arial" w:hAnsi="Arial"/>
                <w:sz w:val="12"/>
                <w:szCs w:val="12"/>
                <w:b w:val="1"/>
                <w:bCs w:val="1"/>
                <w:color w:val="auto"/>
                <w:w w:val="96"/>
              </w:rPr>
              <w:t>Convertible Preferred Stock</w:t>
            </w:r>
            <w:r>
              <w:rPr>
                <w:rFonts w:ascii="Arial" w:cs="Arial" w:eastAsia="Arial" w:hAnsi="Arial"/>
                <w:sz w:val="12"/>
                <w:szCs w:val="12"/>
                <w:color w:val="auto"/>
                <w:w w:val="96"/>
              </w:rPr>
              <w:t>, Series A, $0.0001 par value, 88 shares authorized, issued and outstanding, $87,500 liquidation value</w:t>
            </w:r>
          </w:p>
        </w:tc>
        <w:tc>
          <w:tcPr>
            <w:tcW w:w="1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83,530</w:t>
            </w:r>
          </w:p>
        </w:tc>
        <w:tc>
          <w:tcPr>
            <w:tcW w:w="26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80,552</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vMerge w:val="restart"/>
          </w:tcPr>
          <w:p>
            <w:pPr>
              <w:spacing w:after="0"/>
              <w:rPr>
                <w:sz w:val="13"/>
                <w:szCs w:val="13"/>
                <w:color w:val="auto"/>
              </w:rPr>
            </w:pPr>
          </w:p>
        </w:tc>
        <w:tc>
          <w:tcPr>
            <w:tcW w:w="6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6800" w:type="dxa"/>
            <w:vAlign w:val="bottom"/>
            <w:shd w:val="clear" w:color="auto" w:fill="CFF0FC"/>
          </w:tcPr>
          <w:p>
            <w:pPr>
              <w:spacing w:after="0"/>
              <w:rPr>
                <w:sz w:val="20"/>
                <w:szCs w:val="20"/>
                <w:color w:val="auto"/>
              </w:rPr>
            </w:pPr>
            <w:r>
              <w:rPr>
                <w:rFonts w:ascii="Arial" w:cs="Arial" w:eastAsia="Arial" w:hAnsi="Arial"/>
                <w:sz w:val="12"/>
                <w:szCs w:val="12"/>
                <w:b w:val="1"/>
                <w:bCs w:val="1"/>
                <w:color w:val="auto"/>
              </w:rPr>
              <w:t>Shareholders' Deficit:</w:t>
            </w:r>
          </w:p>
        </w:tc>
        <w:tc>
          <w:tcPr>
            <w:tcW w:w="1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7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7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0" w:type="dxa"/>
            <w:vAlign w:val="bottom"/>
          </w:tcPr>
          <w:p>
            <w:pPr>
              <w:ind w:left="140"/>
              <w:spacing w:after="0"/>
              <w:rPr>
                <w:sz w:val="20"/>
                <w:szCs w:val="20"/>
                <w:color w:val="auto"/>
              </w:rPr>
            </w:pPr>
            <w:r>
              <w:rPr>
                <w:rFonts w:ascii="Arial" w:cs="Arial" w:eastAsia="Arial" w:hAnsi="Arial"/>
                <w:sz w:val="12"/>
                <w:szCs w:val="12"/>
                <w:color w:val="auto"/>
              </w:rPr>
              <w:t>Preferred stock, $0.0001 par value, 50,000 shares authorized, no shares issued and outstanding</w:t>
            </w: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98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3"/>
                <w:szCs w:val="13"/>
                <w:color w:val="auto"/>
              </w:rPr>
            </w:pPr>
          </w:p>
        </w:tc>
        <w:tc>
          <w:tcPr>
            <w:tcW w:w="1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800" w:type="dxa"/>
            <w:vAlign w:val="bottom"/>
            <w:shd w:val="clear" w:color="auto" w:fill="CFF0FC"/>
          </w:tcPr>
          <w:p>
            <w:pPr>
              <w:ind w:left="140"/>
              <w:spacing w:after="0"/>
              <w:rPr>
                <w:sz w:val="20"/>
                <w:szCs w:val="20"/>
                <w:color w:val="auto"/>
              </w:rPr>
            </w:pPr>
            <w:r>
              <w:rPr>
                <w:rFonts w:ascii="Arial" w:cs="Arial" w:eastAsia="Arial" w:hAnsi="Arial"/>
                <w:sz w:val="12"/>
                <w:szCs w:val="12"/>
                <w:color w:val="auto"/>
                <w:w w:val="95"/>
              </w:rPr>
              <w:t>Common stock, $0.0001 par value, 500,000 shares authorized, issued and outstanding: 174,852 shares at December 31, 2017 and</w:t>
            </w:r>
          </w:p>
        </w:tc>
        <w:tc>
          <w:tcPr>
            <w:tcW w:w="16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7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0" w:type="dxa"/>
            <w:vAlign w:val="bottom"/>
            <w:shd w:val="clear" w:color="auto" w:fill="CFF0FC"/>
          </w:tcPr>
          <w:p>
            <w:pPr>
              <w:ind w:left="140"/>
              <w:spacing w:after="0"/>
              <w:rPr>
                <w:sz w:val="20"/>
                <w:szCs w:val="20"/>
                <w:color w:val="auto"/>
              </w:rPr>
            </w:pPr>
            <w:r>
              <w:rPr>
                <w:rFonts w:ascii="Arial" w:cs="Arial" w:eastAsia="Arial" w:hAnsi="Arial"/>
                <w:sz w:val="12"/>
                <w:szCs w:val="12"/>
                <w:color w:val="auto"/>
              </w:rPr>
              <w:t>155,139 at December 31, 2016</w:t>
            </w:r>
          </w:p>
        </w:tc>
        <w:tc>
          <w:tcPr>
            <w:tcW w:w="1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w:t>
            </w:r>
          </w:p>
        </w:tc>
        <w:tc>
          <w:tcPr>
            <w:tcW w:w="26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0" w:type="dxa"/>
            <w:vAlign w:val="bottom"/>
          </w:tcPr>
          <w:p>
            <w:pPr>
              <w:ind w:left="140"/>
              <w:spacing w:after="0"/>
              <w:rPr>
                <w:sz w:val="20"/>
                <w:szCs w:val="20"/>
                <w:color w:val="auto"/>
              </w:rPr>
            </w:pPr>
            <w:r>
              <w:rPr>
                <w:rFonts w:ascii="Arial" w:cs="Arial" w:eastAsia="Arial" w:hAnsi="Arial"/>
                <w:sz w:val="12"/>
                <w:szCs w:val="12"/>
                <w:color w:val="auto"/>
              </w:rPr>
              <w:t>Additional paid-in capital</w:t>
            </w: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right"/>
              <w:spacing w:after="0"/>
              <w:rPr>
                <w:sz w:val="20"/>
                <w:szCs w:val="20"/>
                <w:color w:val="auto"/>
              </w:rPr>
            </w:pPr>
            <w:r>
              <w:rPr>
                <w:rFonts w:ascii="Arial" w:cs="Arial" w:eastAsia="Arial" w:hAnsi="Arial"/>
                <w:sz w:val="12"/>
                <w:szCs w:val="12"/>
                <w:color w:val="auto"/>
              </w:rPr>
              <w:t>644,328</w:t>
            </w: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00" w:type="dxa"/>
            <w:vAlign w:val="bottom"/>
          </w:tcPr>
          <w:p>
            <w:pPr>
              <w:jc w:val="right"/>
              <w:spacing w:after="0"/>
              <w:rPr>
                <w:sz w:val="20"/>
                <w:szCs w:val="20"/>
                <w:color w:val="auto"/>
              </w:rPr>
            </w:pPr>
            <w:r>
              <w:rPr>
                <w:rFonts w:ascii="Arial" w:cs="Arial" w:eastAsia="Arial" w:hAnsi="Arial"/>
                <w:sz w:val="12"/>
                <w:szCs w:val="12"/>
                <w:color w:val="auto"/>
              </w:rPr>
              <w:t>141,092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0" w:type="dxa"/>
            <w:vAlign w:val="bottom"/>
            <w:shd w:val="clear" w:color="auto" w:fill="CFF0FC"/>
          </w:tcPr>
          <w:p>
            <w:pPr>
              <w:ind w:left="140"/>
              <w:spacing w:after="0"/>
              <w:rPr>
                <w:sz w:val="20"/>
                <w:szCs w:val="20"/>
                <w:color w:val="auto"/>
              </w:rPr>
            </w:pPr>
            <w:r>
              <w:rPr>
                <w:rFonts w:ascii="Arial" w:cs="Arial" w:eastAsia="Arial" w:hAnsi="Arial"/>
                <w:sz w:val="12"/>
                <w:szCs w:val="12"/>
                <w:color w:val="auto"/>
              </w:rPr>
              <w:t>Accumulated other comprehensive income</w:t>
            </w:r>
          </w:p>
        </w:tc>
        <w:tc>
          <w:tcPr>
            <w:tcW w:w="1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7,821</w:t>
            </w:r>
          </w:p>
        </w:tc>
        <w:tc>
          <w:tcPr>
            <w:tcW w:w="26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8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(6,369)</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0" w:type="dxa"/>
            <w:vAlign w:val="bottom"/>
          </w:tcPr>
          <w:p>
            <w:pPr>
              <w:ind w:left="140"/>
              <w:spacing w:after="0"/>
              <w:rPr>
                <w:sz w:val="20"/>
                <w:szCs w:val="20"/>
                <w:color w:val="auto"/>
              </w:rPr>
            </w:pPr>
            <w:r>
              <w:rPr>
                <w:rFonts w:ascii="Arial" w:cs="Arial" w:eastAsia="Arial" w:hAnsi="Arial"/>
                <w:sz w:val="12"/>
                <w:szCs w:val="12"/>
                <w:color w:val="auto"/>
              </w:rPr>
              <w:t>Distributions in excess of accumulated earnings</w:t>
            </w: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980" w:type="dxa"/>
            <w:vAlign w:val="bottom"/>
            <w:gridSpan w:val="2"/>
          </w:tcPr>
          <w:p>
            <w:pPr>
              <w:jc w:val="right"/>
              <w:ind w:right="220"/>
              <w:spacing w:after="0"/>
              <w:rPr>
                <w:sz w:val="20"/>
                <w:szCs w:val="20"/>
                <w:color w:val="auto"/>
              </w:rPr>
            </w:pPr>
            <w:r>
              <w:rPr>
                <w:rFonts w:ascii="Arial" w:cs="Arial" w:eastAsia="Arial" w:hAnsi="Arial"/>
                <w:sz w:val="12"/>
                <w:szCs w:val="12"/>
                <w:color w:val="auto"/>
              </w:rPr>
              <w:t>(1,960,715)</w:t>
            </w:r>
          </w:p>
        </w:tc>
        <w:tc>
          <w:tcPr>
            <w:tcW w:w="360" w:type="dxa"/>
            <w:vAlign w:val="bottom"/>
          </w:tcPr>
          <w:p>
            <w:pPr>
              <w:spacing w:after="0"/>
              <w:rPr>
                <w:sz w:val="13"/>
                <w:szCs w:val="13"/>
                <w:color w:val="auto"/>
              </w:rPr>
            </w:pPr>
          </w:p>
        </w:tc>
        <w:tc>
          <w:tcPr>
            <w:tcW w:w="1820" w:type="dxa"/>
            <w:vAlign w:val="bottom"/>
            <w:gridSpan w:val="2"/>
          </w:tcPr>
          <w:p>
            <w:pPr>
              <w:jc w:val="right"/>
              <w:ind w:right="80"/>
              <w:spacing w:after="0"/>
              <w:rPr>
                <w:sz w:val="20"/>
                <w:szCs w:val="20"/>
                <w:color w:val="auto"/>
              </w:rPr>
            </w:pPr>
            <w:r>
              <w:rPr>
                <w:rFonts w:ascii="Arial" w:cs="Arial" w:eastAsia="Arial" w:hAnsi="Arial"/>
                <w:sz w:val="12"/>
                <w:szCs w:val="12"/>
                <w:color w:val="auto"/>
              </w:rPr>
              <w:t>(1,537,183)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vMerge w:val="restart"/>
            <w:shd w:val="clear" w:color="auto" w:fill="CFF0FC"/>
          </w:tcPr>
          <w:p>
            <w:pPr>
              <w:ind w:left="300"/>
              <w:spacing w:after="0"/>
              <w:rPr>
                <w:sz w:val="20"/>
                <w:szCs w:val="20"/>
                <w:color w:val="auto"/>
              </w:rPr>
            </w:pPr>
            <w:r>
              <w:rPr>
                <w:rFonts w:ascii="Arial" w:cs="Arial" w:eastAsia="Arial" w:hAnsi="Arial"/>
                <w:sz w:val="12"/>
                <w:szCs w:val="12"/>
                <w:color w:val="auto"/>
              </w:rPr>
              <w:t>Total Uniti shareholders' deficit</w:t>
            </w:r>
          </w:p>
        </w:tc>
        <w:tc>
          <w:tcPr>
            <w:tcW w:w="16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6800" w:type="dxa"/>
            <w:vAlign w:val="bottom"/>
            <w:vMerge w:val="continue"/>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98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(1,308,549)</w:t>
            </w:r>
          </w:p>
        </w:tc>
        <w:tc>
          <w:tcPr>
            <w:tcW w:w="360" w:type="dxa"/>
            <w:vAlign w:val="bottom"/>
            <w:shd w:val="clear" w:color="auto" w:fill="CFF0FC"/>
          </w:tcPr>
          <w:p>
            <w:pPr>
              <w:spacing w:after="0"/>
              <w:rPr>
                <w:sz w:val="12"/>
                <w:szCs w:val="12"/>
                <w:color w:val="auto"/>
              </w:rPr>
            </w:pPr>
          </w:p>
        </w:tc>
        <w:tc>
          <w:tcPr>
            <w:tcW w:w="18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(1,402,445)</w:t>
            </w:r>
          </w:p>
        </w:tc>
        <w:tc>
          <w:tcPr>
            <w:tcW w:w="0" w:type="dxa"/>
            <w:vAlign w:val="bottom"/>
          </w:tcPr>
          <w:p>
            <w:pPr>
              <w:spacing w:after="0"/>
              <w:rPr>
                <w:sz w:val="1"/>
                <w:szCs w:val="1"/>
                <w:color w:val="auto"/>
              </w:rPr>
            </w:pPr>
          </w:p>
        </w:tc>
      </w:tr>
      <w:tr>
        <w:trPr>
          <w:trHeight w:val="20"/>
        </w:trPr>
        <w:tc>
          <w:tcPr>
            <w:tcW w:w="68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Total Liabilities, Convertible Preferred Stock, and Shareholders' Deficit</w:t>
            </w: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820" w:type="dxa"/>
            <w:vAlign w:val="bottom"/>
            <w:gridSpan w:val="2"/>
            <w:vMerge w:val="continue"/>
          </w:tcPr>
          <w:p>
            <w:pPr>
              <w:spacing w:after="0"/>
              <w:rPr>
                <w:sz w:val="12"/>
                <w:szCs w:val="12"/>
                <w:color w:val="auto"/>
              </w:rPr>
            </w:pPr>
          </w:p>
        </w:tc>
        <w:tc>
          <w:tcPr>
            <w:tcW w:w="50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980" w:type="dxa"/>
            <w:vAlign w:val="bottom"/>
            <w:gridSpan w:val="2"/>
          </w:tcPr>
          <w:p>
            <w:pPr>
              <w:jc w:val="right"/>
              <w:ind w:right="220"/>
              <w:spacing w:after="0"/>
              <w:rPr>
                <w:sz w:val="20"/>
                <w:szCs w:val="20"/>
                <w:color w:val="auto"/>
              </w:rPr>
            </w:pPr>
            <w:r>
              <w:rPr>
                <w:rFonts w:ascii="Arial" w:cs="Arial" w:eastAsia="Arial" w:hAnsi="Arial"/>
                <w:sz w:val="12"/>
                <w:szCs w:val="12"/>
                <w:color w:val="auto"/>
              </w:rPr>
              <w:t>(1,117,941)</w:t>
            </w:r>
          </w:p>
        </w:tc>
        <w:tc>
          <w:tcPr>
            <w:tcW w:w="360" w:type="dxa"/>
            <w:vAlign w:val="bottom"/>
          </w:tcPr>
          <w:p>
            <w:pPr>
              <w:jc w:val="right"/>
              <w:ind w:right="250"/>
              <w:spacing w:after="0"/>
              <w:rPr>
                <w:sz w:val="20"/>
                <w:szCs w:val="20"/>
                <w:color w:val="auto"/>
              </w:rPr>
            </w:pPr>
            <w:r>
              <w:rPr>
                <w:rFonts w:ascii="Arial" w:cs="Arial" w:eastAsia="Arial" w:hAnsi="Arial"/>
                <w:sz w:val="10"/>
                <w:szCs w:val="10"/>
                <w:color w:val="auto"/>
                <w:w w:val="71"/>
              </w:rPr>
              <w:t>$</w:t>
            </w:r>
          </w:p>
        </w:tc>
        <w:tc>
          <w:tcPr>
            <w:tcW w:w="1700" w:type="dxa"/>
            <w:vAlign w:val="bottom"/>
          </w:tcPr>
          <w:p>
            <w:pPr>
              <w:jc w:val="right"/>
              <w:spacing w:after="0"/>
              <w:rPr>
                <w:sz w:val="20"/>
                <w:szCs w:val="20"/>
                <w:color w:val="auto"/>
              </w:rPr>
            </w:pPr>
            <w:r>
              <w:rPr>
                <w:rFonts w:ascii="Arial" w:cs="Arial" w:eastAsia="Arial" w:hAnsi="Arial"/>
                <w:sz w:val="12"/>
                <w:szCs w:val="12"/>
                <w:color w:val="auto"/>
              </w:rPr>
              <w:t>2,933,442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See notes to Consolidated Financial Statements of Uniti Group Inc. included in Financial Statements and Supplementary Data.</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02">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30" w:right="199" w:bottom="1440" w:gutter="0" w:footer="0" w:header="0"/>
        </w:sectPr>
      </w:pPr>
    </w:p>
    <w:bookmarkStart w:id="110" w:name="page111"/>
    <w:bookmarkEnd w:id="110"/>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6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Uniti Group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Schedule I – Condensed Financial Information of</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The Registrant (Parent Company)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Condensed Statements of Comprehensive Income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12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0"/>
                <w:szCs w:val="10"/>
                <w:b w:val="1"/>
                <w:bCs w:val="1"/>
                <w:color w:val="auto"/>
              </w:rPr>
              <w:t>Year Ended December 31,</w:t>
            </w:r>
          </w:p>
        </w:tc>
        <w:tc>
          <w:tcPr>
            <w:tcW w:w="112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60" w:type="dxa"/>
            <w:vAlign w:val="bottom"/>
            <w:gridSpan w:val="2"/>
          </w:tcPr>
          <w:p>
            <w:pPr>
              <w:jc w:val="right"/>
              <w:ind w:right="720"/>
              <w:spacing w:after="0"/>
              <w:rPr>
                <w:sz w:val="20"/>
                <w:szCs w:val="20"/>
                <w:color w:val="auto"/>
              </w:rPr>
            </w:pPr>
            <w:r>
              <w:rPr>
                <w:rFonts w:ascii="Arial" w:cs="Arial" w:eastAsia="Arial" w:hAnsi="Arial"/>
                <w:sz w:val="10"/>
                <w:szCs w:val="10"/>
                <w:b w:val="1"/>
                <w:bCs w:val="1"/>
                <w:color w:val="auto"/>
              </w:rPr>
              <w:t>Period from</w:t>
            </w:r>
          </w:p>
        </w:tc>
        <w:tc>
          <w:tcPr>
            <w:tcW w:w="0" w:type="dxa"/>
            <w:vAlign w:val="bottom"/>
          </w:tcPr>
          <w:p>
            <w:pPr>
              <w:spacing w:after="0"/>
              <w:rPr>
                <w:sz w:val="1"/>
                <w:szCs w:val="1"/>
                <w:color w:val="auto"/>
              </w:rPr>
            </w:pPr>
          </w:p>
        </w:tc>
      </w:tr>
      <w:tr>
        <w:trPr>
          <w:trHeight w:val="151"/>
        </w:trPr>
        <w:tc>
          <w:tcPr>
            <w:tcW w:w="5800" w:type="dxa"/>
            <w:vAlign w:val="bottom"/>
            <w:gridSpan w:val="2"/>
          </w:tcPr>
          <w:p>
            <w:pPr>
              <w:spacing w:after="0"/>
              <w:rPr>
                <w:sz w:val="20"/>
                <w:szCs w:val="20"/>
                <w:color w:val="auto"/>
              </w:rPr>
            </w:pPr>
            <w:r>
              <w:rPr>
                <w:rFonts w:ascii="Arial" w:cs="Arial" w:eastAsia="Arial" w:hAnsi="Arial"/>
                <w:sz w:val="10"/>
                <w:szCs w:val="10"/>
                <w:color w:val="auto"/>
              </w:rPr>
              <w:t>(Thousands)</w:t>
            </w:r>
          </w:p>
        </w:tc>
        <w:tc>
          <w:tcPr>
            <w:tcW w:w="400" w:type="dxa"/>
            <w:vAlign w:val="bottom"/>
          </w:tcPr>
          <w:p>
            <w:pPr>
              <w:spacing w:after="0"/>
              <w:rPr>
                <w:sz w:val="13"/>
                <w:szCs w:val="13"/>
                <w:color w:val="auto"/>
              </w:rPr>
            </w:pPr>
          </w:p>
        </w:tc>
        <w:tc>
          <w:tcPr>
            <w:tcW w:w="1300" w:type="dxa"/>
            <w:vAlign w:val="bottom"/>
          </w:tcPr>
          <w:p>
            <w:pPr>
              <w:jc w:val="right"/>
              <w:ind w:right="702"/>
              <w:spacing w:after="0"/>
              <w:rPr>
                <w:sz w:val="20"/>
                <w:szCs w:val="20"/>
                <w:color w:val="auto"/>
              </w:rPr>
            </w:pPr>
            <w:r>
              <w:rPr>
                <w:rFonts w:ascii="Arial" w:cs="Arial" w:eastAsia="Arial" w:hAnsi="Arial"/>
                <w:sz w:val="10"/>
                <w:szCs w:val="10"/>
                <w:b w:val="1"/>
                <w:bCs w:val="1"/>
                <w:color w:val="auto"/>
              </w:rPr>
              <w:t>2017</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120" w:type="dxa"/>
            <w:vAlign w:val="bottom"/>
          </w:tcPr>
          <w:p>
            <w:pPr>
              <w:jc w:val="right"/>
              <w:ind w:right="701"/>
              <w:spacing w:after="0"/>
              <w:rPr>
                <w:sz w:val="20"/>
                <w:szCs w:val="20"/>
                <w:color w:val="auto"/>
              </w:rPr>
            </w:pPr>
            <w:r>
              <w:rPr>
                <w:rFonts w:ascii="Arial" w:cs="Arial" w:eastAsia="Arial" w:hAnsi="Arial"/>
                <w:sz w:val="10"/>
                <w:szCs w:val="10"/>
                <w:b w:val="1"/>
                <w:bCs w:val="1"/>
                <w:color w:val="auto"/>
              </w:rPr>
              <w:t>2016</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60" w:type="dxa"/>
            <w:vAlign w:val="bottom"/>
            <w:gridSpan w:val="2"/>
          </w:tcPr>
          <w:p>
            <w:pPr>
              <w:jc w:val="right"/>
              <w:ind w:right="360"/>
              <w:spacing w:after="0"/>
              <w:rPr>
                <w:sz w:val="20"/>
                <w:szCs w:val="20"/>
                <w:color w:val="auto"/>
              </w:rPr>
            </w:pPr>
            <w:r>
              <w:rPr>
                <w:rFonts w:ascii="Arial" w:cs="Arial" w:eastAsia="Arial" w:hAnsi="Arial"/>
                <w:sz w:val="10"/>
                <w:szCs w:val="10"/>
                <w:b w:val="1"/>
                <w:bCs w:val="1"/>
                <w:color w:val="auto"/>
                <w:w w:val="94"/>
              </w:rPr>
              <w:t>April 24 - December 31, 2015</w:t>
            </w:r>
          </w:p>
        </w:tc>
        <w:tc>
          <w:tcPr>
            <w:tcW w:w="0" w:type="dxa"/>
            <w:vAlign w:val="bottom"/>
          </w:tcPr>
          <w:p>
            <w:pPr>
              <w:spacing w:after="0"/>
              <w:rPr>
                <w:sz w:val="1"/>
                <w:szCs w:val="1"/>
                <w:color w:val="auto"/>
              </w:rPr>
            </w:pPr>
          </w:p>
        </w:tc>
      </w:tr>
      <w:tr>
        <w:trPr>
          <w:trHeight w:val="142"/>
        </w:trPr>
        <w:tc>
          <w:tcPr>
            <w:tcW w:w="56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2"/>
                <w:szCs w:val="12"/>
                <w:b w:val="1"/>
                <w:bCs w:val="1"/>
                <w:color w:val="auto"/>
              </w:rPr>
              <w:t>Costs and Expenses:</w:t>
            </w:r>
          </w:p>
        </w:tc>
        <w:tc>
          <w:tcPr>
            <w:tcW w:w="140" w:type="dxa"/>
            <w:vAlign w:val="bottom"/>
            <w:tcBorders>
              <w:top w:val="single" w:sz="8" w:color="CFF0FC"/>
            </w:tcBorders>
            <w:shd w:val="clear" w:color="auto" w:fill="CFF0FC"/>
          </w:tcPr>
          <w:p>
            <w:pPr>
              <w:spacing w:after="0"/>
              <w:rPr>
                <w:sz w:val="12"/>
                <w:szCs w:val="12"/>
                <w:color w:val="auto"/>
              </w:rPr>
            </w:pPr>
          </w:p>
        </w:tc>
        <w:tc>
          <w:tcPr>
            <w:tcW w:w="400" w:type="dxa"/>
            <w:vAlign w:val="bottom"/>
            <w:tcBorders>
              <w:top w:val="single" w:sz="8" w:color="auto"/>
            </w:tcBorders>
            <w:shd w:val="clear" w:color="auto" w:fill="CFF0FC"/>
          </w:tcPr>
          <w:p>
            <w:pPr>
              <w:spacing w:after="0"/>
              <w:rPr>
                <w:sz w:val="12"/>
                <w:szCs w:val="12"/>
                <w:color w:val="auto"/>
              </w:rPr>
            </w:pPr>
          </w:p>
        </w:tc>
        <w:tc>
          <w:tcPr>
            <w:tcW w:w="130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580" w:type="dxa"/>
            <w:vAlign w:val="bottom"/>
            <w:tcBorders>
              <w:top w:val="single" w:sz="8" w:color="auto"/>
            </w:tcBorders>
            <w:shd w:val="clear" w:color="auto" w:fill="CFF0FC"/>
          </w:tcPr>
          <w:p>
            <w:pPr>
              <w:spacing w:after="0"/>
              <w:rPr>
                <w:sz w:val="12"/>
                <w:szCs w:val="12"/>
                <w:color w:val="auto"/>
              </w:rPr>
            </w:pPr>
          </w:p>
        </w:tc>
        <w:tc>
          <w:tcPr>
            <w:tcW w:w="112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154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800" w:type="dxa"/>
            <w:vAlign w:val="bottom"/>
            <w:gridSpan w:val="2"/>
          </w:tcPr>
          <w:p>
            <w:pPr>
              <w:ind w:left="160"/>
              <w:spacing w:after="0"/>
              <w:rPr>
                <w:sz w:val="20"/>
                <w:szCs w:val="20"/>
                <w:color w:val="auto"/>
              </w:rPr>
            </w:pPr>
            <w:r>
              <w:rPr>
                <w:rFonts w:ascii="Arial" w:cs="Arial" w:eastAsia="Arial" w:hAnsi="Arial"/>
                <w:sz w:val="12"/>
                <w:szCs w:val="12"/>
                <w:color w:val="auto"/>
              </w:rPr>
              <w:t>Interest expense</w:t>
            </w:r>
          </w:p>
        </w:tc>
        <w:tc>
          <w:tcPr>
            <w:tcW w:w="400" w:type="dxa"/>
            <w:vAlign w:val="bottom"/>
          </w:tcPr>
          <w:p>
            <w:pPr>
              <w:jc w:val="right"/>
              <w:ind w:right="290"/>
              <w:spacing w:after="0"/>
              <w:rPr>
                <w:sz w:val="20"/>
                <w:szCs w:val="20"/>
                <w:color w:val="auto"/>
              </w:rPr>
            </w:pPr>
            <w:r>
              <w:rPr>
                <w:rFonts w:ascii="Arial" w:cs="Arial" w:eastAsia="Arial" w:hAnsi="Arial"/>
                <w:sz w:val="10"/>
                <w:szCs w:val="10"/>
                <w:color w:val="auto"/>
                <w:w w:val="71"/>
              </w:rPr>
              <w:t>$</w:t>
            </w:r>
          </w:p>
        </w:tc>
        <w:tc>
          <w:tcPr>
            <w:tcW w:w="1300" w:type="dxa"/>
            <w:vAlign w:val="bottom"/>
          </w:tcPr>
          <w:p>
            <w:pPr>
              <w:jc w:val="right"/>
              <w:spacing w:after="0"/>
              <w:rPr>
                <w:sz w:val="20"/>
                <w:szCs w:val="20"/>
                <w:color w:val="auto"/>
              </w:rPr>
            </w:pPr>
            <w:r>
              <w:rPr>
                <w:rFonts w:ascii="Arial" w:cs="Arial" w:eastAsia="Arial" w:hAnsi="Arial"/>
                <w:sz w:val="12"/>
                <w:szCs w:val="12"/>
                <w:color w:val="auto"/>
              </w:rPr>
              <w:t>119,702</w:t>
            </w:r>
          </w:p>
        </w:tc>
        <w:tc>
          <w:tcPr>
            <w:tcW w:w="140" w:type="dxa"/>
            <w:vAlign w:val="bottom"/>
          </w:tcPr>
          <w:p>
            <w:pPr>
              <w:spacing w:after="0"/>
              <w:rPr>
                <w:sz w:val="13"/>
                <w:szCs w:val="13"/>
                <w:color w:val="auto"/>
              </w:rPr>
            </w:pPr>
          </w:p>
        </w:tc>
        <w:tc>
          <w:tcPr>
            <w:tcW w:w="680" w:type="dxa"/>
            <w:vAlign w:val="bottom"/>
            <w:gridSpan w:val="2"/>
          </w:tcPr>
          <w:p>
            <w:pPr>
              <w:jc w:val="right"/>
              <w:ind w:right="520"/>
              <w:spacing w:after="0"/>
              <w:rPr>
                <w:sz w:val="20"/>
                <w:szCs w:val="20"/>
                <w:color w:val="auto"/>
              </w:rPr>
            </w:pPr>
            <w:r>
              <w:rPr>
                <w:rFonts w:ascii="Arial" w:cs="Arial" w:eastAsia="Arial" w:hAnsi="Arial"/>
                <w:sz w:val="12"/>
                <w:szCs w:val="12"/>
                <w:color w:val="auto"/>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267,959</w:t>
            </w:r>
          </w:p>
        </w:tc>
        <w:tc>
          <w:tcPr>
            <w:tcW w:w="240" w:type="dxa"/>
            <w:vAlign w:val="bottom"/>
          </w:tcPr>
          <w:p>
            <w:pPr>
              <w:spacing w:after="0"/>
              <w:rPr>
                <w:sz w:val="13"/>
                <w:szCs w:val="13"/>
                <w:color w:val="auto"/>
              </w:rPr>
            </w:pP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1540" w:type="dxa"/>
            <w:vAlign w:val="bottom"/>
          </w:tcPr>
          <w:p>
            <w:pPr>
              <w:jc w:val="right"/>
              <w:spacing w:after="0"/>
              <w:rPr>
                <w:sz w:val="20"/>
                <w:szCs w:val="20"/>
                <w:color w:val="auto"/>
              </w:rPr>
            </w:pPr>
            <w:r>
              <w:rPr>
                <w:rFonts w:ascii="Arial" w:cs="Arial" w:eastAsia="Arial" w:hAnsi="Arial"/>
                <w:sz w:val="12"/>
                <w:szCs w:val="12"/>
                <w:color w:val="auto"/>
              </w:rPr>
              <w:t>181,797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80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General and administrative expense</w:t>
            </w:r>
          </w:p>
        </w:tc>
        <w:tc>
          <w:tcPr>
            <w:tcW w:w="40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40</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4,829</w:t>
            </w: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1,934</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800" w:type="dxa"/>
            <w:vAlign w:val="bottom"/>
            <w:gridSpan w:val="2"/>
          </w:tcPr>
          <w:p>
            <w:pPr>
              <w:ind w:left="160"/>
              <w:spacing w:after="0"/>
              <w:rPr>
                <w:sz w:val="20"/>
                <w:szCs w:val="20"/>
                <w:color w:val="auto"/>
              </w:rPr>
            </w:pPr>
            <w:r>
              <w:rPr>
                <w:rFonts w:ascii="Arial" w:cs="Arial" w:eastAsia="Arial" w:hAnsi="Arial"/>
                <w:sz w:val="12"/>
                <w:szCs w:val="12"/>
                <w:color w:val="auto"/>
              </w:rPr>
              <w:t>Transaction related costs</w:t>
            </w:r>
          </w:p>
        </w:tc>
        <w:tc>
          <w:tcPr>
            <w:tcW w:w="400" w:type="dxa"/>
            <w:vAlign w:val="bottom"/>
          </w:tcPr>
          <w:p>
            <w:pPr>
              <w:spacing w:after="0"/>
              <w:rPr>
                <w:sz w:val="13"/>
                <w:szCs w:val="13"/>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3,945</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580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Other expense</w:t>
            </w:r>
          </w:p>
        </w:tc>
        <w:tc>
          <w:tcPr>
            <w:tcW w:w="40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9,253</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36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3"/>
                <w:szCs w:val="13"/>
                <w:color w:val="auto"/>
              </w:rPr>
            </w:pPr>
          </w:p>
        </w:tc>
        <w:tc>
          <w:tcPr>
            <w:tcW w:w="166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2"/>
        </w:trPr>
        <w:tc>
          <w:tcPr>
            <w:tcW w:w="5800" w:type="dxa"/>
            <w:vAlign w:val="bottom"/>
            <w:tcBorders>
              <w:bottom w:val="single" w:sz="8" w:color="CFF0FC"/>
            </w:tcBorders>
            <w:gridSpan w:val="2"/>
          </w:tcPr>
          <w:p>
            <w:pPr>
              <w:spacing w:after="0"/>
              <w:rPr>
                <w:sz w:val="20"/>
                <w:szCs w:val="20"/>
                <w:color w:val="auto"/>
              </w:rPr>
            </w:pPr>
            <w:r>
              <w:rPr>
                <w:rFonts w:ascii="Arial" w:cs="Arial" w:eastAsia="Arial" w:hAnsi="Arial"/>
                <w:sz w:val="12"/>
                <w:szCs w:val="12"/>
                <w:color w:val="auto"/>
              </w:rPr>
              <w:t>Total costs and expenses</w:t>
            </w:r>
          </w:p>
        </w:tc>
        <w:tc>
          <w:tcPr>
            <w:tcW w:w="400" w:type="dxa"/>
            <w:vAlign w:val="bottom"/>
            <w:tcBorders>
              <w:top w:val="single" w:sz="8" w:color="auto"/>
              <w:bottom w:val="single" w:sz="8" w:color="auto"/>
            </w:tcBorders>
          </w:tcPr>
          <w:p>
            <w:pPr>
              <w:spacing w:after="0"/>
              <w:rPr>
                <w:sz w:val="12"/>
                <w:szCs w:val="12"/>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128,995</w:t>
            </w:r>
          </w:p>
        </w:tc>
        <w:tc>
          <w:tcPr>
            <w:tcW w:w="14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58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276,733</w:t>
            </w:r>
          </w:p>
        </w:tc>
        <w:tc>
          <w:tcPr>
            <w:tcW w:w="240" w:type="dxa"/>
            <w:vAlign w:val="bottom"/>
            <w:tcBorders>
              <w:bottom w:val="single" w:sz="8" w:color="CFF0FC"/>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183,731</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800" w:type="dxa"/>
            <w:vAlign w:val="bottom"/>
            <w:gridSpan w:val="2"/>
            <w:shd w:val="clear" w:color="auto" w:fill="CFF0FC"/>
          </w:tcPr>
          <w:p>
            <w:pPr>
              <w:spacing w:after="0"/>
              <w:rPr>
                <w:sz w:val="20"/>
                <w:szCs w:val="20"/>
                <w:color w:val="auto"/>
              </w:rPr>
            </w:pPr>
            <w:r>
              <w:rPr>
                <w:rFonts w:ascii="Arial" w:cs="Arial" w:eastAsia="Arial" w:hAnsi="Arial"/>
                <w:sz w:val="12"/>
                <w:szCs w:val="12"/>
                <w:b w:val="1"/>
                <w:bCs w:val="1"/>
                <w:color w:val="auto"/>
              </w:rPr>
              <w:t>Operating loss</w:t>
            </w:r>
          </w:p>
        </w:tc>
        <w:tc>
          <w:tcPr>
            <w:tcW w:w="400" w:type="dxa"/>
            <w:vAlign w:val="bottom"/>
            <w:shd w:val="clear" w:color="auto" w:fill="CFF0FC"/>
          </w:tcPr>
          <w:p>
            <w:pPr>
              <w:spacing w:after="0"/>
              <w:rPr>
                <w:sz w:val="12"/>
                <w:szCs w:val="12"/>
                <w:color w:val="auto"/>
              </w:rPr>
            </w:pPr>
          </w:p>
        </w:tc>
        <w:tc>
          <w:tcPr>
            <w:tcW w:w="144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(128,995)</w:t>
            </w: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(276,733)</w:t>
            </w:r>
          </w:p>
        </w:tc>
        <w:tc>
          <w:tcPr>
            <w:tcW w:w="140" w:type="dxa"/>
            <w:vAlign w:val="bottom"/>
            <w:shd w:val="clear" w:color="auto" w:fill="CFF0FC"/>
          </w:tcPr>
          <w:p>
            <w:pPr>
              <w:spacing w:after="0"/>
              <w:rPr>
                <w:sz w:val="12"/>
                <w:szCs w:val="12"/>
                <w:color w:val="auto"/>
              </w:rPr>
            </w:pPr>
          </w:p>
        </w:tc>
        <w:tc>
          <w:tcPr>
            <w:tcW w:w="166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(183,731)</w:t>
            </w:r>
          </w:p>
        </w:tc>
        <w:tc>
          <w:tcPr>
            <w:tcW w:w="0" w:type="dxa"/>
            <w:vAlign w:val="bottom"/>
          </w:tcPr>
          <w:p>
            <w:pPr>
              <w:spacing w:after="0"/>
              <w:rPr>
                <w:sz w:val="1"/>
                <w:szCs w:val="1"/>
                <w:color w:val="auto"/>
              </w:rPr>
            </w:pPr>
          </w:p>
        </w:tc>
      </w:tr>
      <w:tr>
        <w:trPr>
          <w:trHeight w:val="153"/>
        </w:trPr>
        <w:tc>
          <w:tcPr>
            <w:tcW w:w="5800" w:type="dxa"/>
            <w:vAlign w:val="bottom"/>
            <w:tcBorders>
              <w:bottom w:val="single" w:sz="8" w:color="CFF0FC"/>
            </w:tcBorders>
            <w:gridSpan w:val="2"/>
          </w:tcPr>
          <w:p>
            <w:pPr>
              <w:spacing w:after="0"/>
              <w:rPr>
                <w:sz w:val="20"/>
                <w:szCs w:val="20"/>
                <w:color w:val="auto"/>
              </w:rPr>
            </w:pPr>
            <w:r>
              <w:rPr>
                <w:rFonts w:ascii="Arial" w:cs="Arial" w:eastAsia="Arial" w:hAnsi="Arial"/>
                <w:sz w:val="12"/>
                <w:szCs w:val="12"/>
                <w:color w:val="auto"/>
              </w:rPr>
              <w:t>Earnings from consolidated subsidiaries</w:t>
            </w:r>
          </w:p>
        </w:tc>
        <w:tc>
          <w:tcPr>
            <w:tcW w:w="4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119,556</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276,521</w:t>
            </w:r>
          </w:p>
        </w:tc>
        <w:tc>
          <w:tcPr>
            <w:tcW w:w="24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208,601</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8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(Loss) income before income taxes</w:t>
            </w:r>
          </w:p>
        </w:tc>
        <w:tc>
          <w:tcPr>
            <w:tcW w:w="400" w:type="dxa"/>
            <w:vAlign w:val="bottom"/>
            <w:shd w:val="clear" w:color="auto" w:fill="CFF0FC"/>
          </w:tcPr>
          <w:p>
            <w:pPr>
              <w:spacing w:after="0"/>
              <w:rPr>
                <w:sz w:val="12"/>
                <w:szCs w:val="12"/>
                <w:color w:val="auto"/>
              </w:rPr>
            </w:pPr>
          </w:p>
        </w:tc>
        <w:tc>
          <w:tcPr>
            <w:tcW w:w="144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(9,439)</w:t>
            </w: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(212)</w:t>
            </w:r>
          </w:p>
        </w:tc>
        <w:tc>
          <w:tcPr>
            <w:tcW w:w="140" w:type="dxa"/>
            <w:vAlign w:val="bottom"/>
            <w:shd w:val="clear" w:color="auto" w:fill="CFF0FC"/>
          </w:tcPr>
          <w:p>
            <w:pPr>
              <w:spacing w:after="0"/>
              <w:rPr>
                <w:sz w:val="12"/>
                <w:szCs w:val="12"/>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24,870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800" w:type="dxa"/>
            <w:vAlign w:val="bottom"/>
            <w:gridSpan w:val="2"/>
          </w:tcPr>
          <w:p>
            <w:pPr>
              <w:spacing w:after="0"/>
              <w:rPr>
                <w:sz w:val="20"/>
                <w:szCs w:val="20"/>
                <w:color w:val="auto"/>
              </w:rPr>
            </w:pPr>
            <w:r>
              <w:rPr>
                <w:rFonts w:ascii="Arial" w:cs="Arial" w:eastAsia="Arial" w:hAnsi="Arial"/>
                <w:sz w:val="12"/>
                <w:szCs w:val="12"/>
                <w:color w:val="auto"/>
              </w:rPr>
              <w:t>Net (loss) income</w:t>
            </w:r>
          </w:p>
        </w:tc>
        <w:tc>
          <w:tcPr>
            <w:tcW w:w="400" w:type="dxa"/>
            <w:vAlign w:val="bottom"/>
          </w:tcPr>
          <w:p>
            <w:pPr>
              <w:spacing w:after="0"/>
              <w:rPr>
                <w:sz w:val="13"/>
                <w:szCs w:val="13"/>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2"/>
                <w:szCs w:val="12"/>
                <w:color w:val="auto"/>
              </w:rPr>
              <w:t>(9,439)</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2"/>
                <w:szCs w:val="12"/>
                <w:color w:val="auto"/>
              </w:rPr>
              <w:t>(212)</w:t>
            </w:r>
          </w:p>
        </w:tc>
        <w:tc>
          <w:tcPr>
            <w:tcW w:w="14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Arial" w:cs="Arial" w:eastAsia="Arial" w:hAnsi="Arial"/>
                <w:sz w:val="12"/>
                <w:szCs w:val="12"/>
                <w:color w:val="auto"/>
              </w:rPr>
              <w:t>24,870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800" w:type="dxa"/>
            <w:vAlign w:val="bottom"/>
            <w:gridSpan w:val="2"/>
            <w:vMerge w:val="restart"/>
            <w:shd w:val="clear" w:color="auto" w:fill="CFF0FC"/>
          </w:tcPr>
          <w:p>
            <w:pPr>
              <w:spacing w:after="0"/>
              <w:rPr>
                <w:sz w:val="20"/>
                <w:szCs w:val="20"/>
                <w:color w:val="auto"/>
              </w:rPr>
            </w:pPr>
            <w:r>
              <w:rPr>
                <w:rFonts w:ascii="Arial" w:cs="Arial" w:eastAsia="Arial" w:hAnsi="Arial"/>
                <w:sz w:val="12"/>
                <w:szCs w:val="12"/>
                <w:b w:val="1"/>
                <w:bCs w:val="1"/>
                <w:color w:val="auto"/>
              </w:rPr>
              <w:t>Comprehensive (loss) income</w:t>
            </w:r>
          </w:p>
        </w:tc>
        <w:tc>
          <w:tcPr>
            <w:tcW w:w="4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800" w:type="dxa"/>
            <w:vAlign w:val="bottom"/>
            <w:gridSpan w:val="2"/>
            <w:vMerge w:val="continue"/>
            <w:shd w:val="clear" w:color="auto" w:fill="CFF0FC"/>
          </w:tcPr>
          <w:p>
            <w:pPr>
              <w:spacing w:after="0"/>
              <w:rPr>
                <w:sz w:val="12"/>
                <w:szCs w:val="12"/>
                <w:color w:val="auto"/>
              </w:rPr>
            </w:pPr>
          </w:p>
        </w:tc>
        <w:tc>
          <w:tcPr>
            <w:tcW w:w="400" w:type="dxa"/>
            <w:vAlign w:val="bottom"/>
            <w:shd w:val="clear" w:color="auto" w:fill="CFF0FC"/>
          </w:tcPr>
          <w:p>
            <w:pPr>
              <w:jc w:val="right"/>
              <w:ind w:right="290"/>
              <w:spacing w:after="0"/>
              <w:rPr>
                <w:sz w:val="20"/>
                <w:szCs w:val="20"/>
                <w:color w:val="auto"/>
              </w:rPr>
            </w:pPr>
            <w:r>
              <w:rPr>
                <w:rFonts w:ascii="Arial" w:cs="Arial" w:eastAsia="Arial" w:hAnsi="Arial"/>
                <w:sz w:val="10"/>
                <w:szCs w:val="10"/>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4,751</w:t>
            </w:r>
          </w:p>
        </w:tc>
        <w:tc>
          <w:tcPr>
            <w:tcW w:w="14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520"/>
              <w:spacing w:after="0"/>
              <w:rPr>
                <w:sz w:val="20"/>
                <w:szCs w:val="20"/>
                <w:color w:val="auto"/>
              </w:rPr>
            </w:pPr>
            <w:r>
              <w:rPr>
                <w:rFonts w:ascii="Arial" w:cs="Arial" w:eastAsia="Arial" w:hAnsi="Arial"/>
                <w:sz w:val="12"/>
                <w:szCs w:val="12"/>
                <w:color w:val="auto"/>
              </w:rPr>
              <w:t>$</w:t>
            </w: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(1,154)</w:t>
            </w:r>
          </w:p>
        </w:tc>
        <w:tc>
          <w:tcPr>
            <w:tcW w:w="140" w:type="dxa"/>
            <w:vAlign w:val="bottom"/>
            <w:shd w:val="clear" w:color="auto" w:fill="CFF0FC"/>
          </w:tcPr>
          <w:p>
            <w:pPr>
              <w:jc w:val="right"/>
              <w:ind w:right="30"/>
              <w:spacing w:after="0"/>
              <w:rPr>
                <w:sz w:val="20"/>
                <w:szCs w:val="20"/>
                <w:color w:val="auto"/>
              </w:rPr>
            </w:pPr>
            <w:r>
              <w:rPr>
                <w:rFonts w:ascii="Arial" w:cs="Arial" w:eastAsia="Arial" w:hAnsi="Arial"/>
                <w:sz w:val="10"/>
                <w:szCs w:val="10"/>
                <w:color w:val="auto"/>
                <w:w w:val="71"/>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19,443</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566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54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See notes to Consolidated Financial Statements of Uniti Group Inc. included in Financial Statements and Supplementary Data.</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03">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111" w:name="page112"/>
    <w:bookmarkEnd w:id="111"/>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6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Uniti Group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Schedule I – Condensed Financial Information of</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The Registrant (Parent Company)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Condensed Statements of Cash Flows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5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12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0"/>
                <w:szCs w:val="10"/>
                <w:b w:val="1"/>
                <w:bCs w:val="1"/>
                <w:color w:val="auto"/>
              </w:rPr>
              <w:t>Year Ended December 31,</w:t>
            </w:r>
          </w:p>
        </w:tc>
        <w:tc>
          <w:tcPr>
            <w:tcW w:w="112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60" w:type="dxa"/>
            <w:vAlign w:val="bottom"/>
            <w:gridSpan w:val="2"/>
          </w:tcPr>
          <w:p>
            <w:pPr>
              <w:jc w:val="right"/>
              <w:ind w:right="720"/>
              <w:spacing w:after="0"/>
              <w:rPr>
                <w:sz w:val="20"/>
                <w:szCs w:val="20"/>
                <w:color w:val="auto"/>
              </w:rPr>
            </w:pPr>
            <w:r>
              <w:rPr>
                <w:rFonts w:ascii="Arial" w:cs="Arial" w:eastAsia="Arial" w:hAnsi="Arial"/>
                <w:sz w:val="10"/>
                <w:szCs w:val="10"/>
                <w:b w:val="1"/>
                <w:bCs w:val="1"/>
                <w:color w:val="auto"/>
              </w:rPr>
              <w:t>Period from</w:t>
            </w:r>
          </w:p>
        </w:tc>
        <w:tc>
          <w:tcPr>
            <w:tcW w:w="0" w:type="dxa"/>
            <w:vAlign w:val="bottom"/>
          </w:tcPr>
          <w:p>
            <w:pPr>
              <w:spacing w:after="0"/>
              <w:rPr>
                <w:sz w:val="1"/>
                <w:szCs w:val="1"/>
                <w:color w:val="auto"/>
              </w:rPr>
            </w:pPr>
          </w:p>
        </w:tc>
      </w:tr>
      <w:tr>
        <w:trPr>
          <w:trHeight w:val="151"/>
        </w:trPr>
        <w:tc>
          <w:tcPr>
            <w:tcW w:w="5800" w:type="dxa"/>
            <w:vAlign w:val="bottom"/>
            <w:gridSpan w:val="3"/>
          </w:tcPr>
          <w:p>
            <w:pPr>
              <w:spacing w:after="0"/>
              <w:rPr>
                <w:sz w:val="20"/>
                <w:szCs w:val="20"/>
                <w:color w:val="auto"/>
              </w:rPr>
            </w:pPr>
            <w:r>
              <w:rPr>
                <w:rFonts w:ascii="Arial" w:cs="Arial" w:eastAsia="Arial" w:hAnsi="Arial"/>
                <w:sz w:val="10"/>
                <w:szCs w:val="10"/>
                <w:color w:val="auto"/>
              </w:rPr>
              <w:t>(Thousands)</w:t>
            </w:r>
          </w:p>
        </w:tc>
        <w:tc>
          <w:tcPr>
            <w:tcW w:w="400" w:type="dxa"/>
            <w:vAlign w:val="bottom"/>
          </w:tcPr>
          <w:p>
            <w:pPr>
              <w:spacing w:after="0"/>
              <w:rPr>
                <w:sz w:val="13"/>
                <w:szCs w:val="13"/>
                <w:color w:val="auto"/>
              </w:rPr>
            </w:pPr>
          </w:p>
        </w:tc>
        <w:tc>
          <w:tcPr>
            <w:tcW w:w="1300" w:type="dxa"/>
            <w:vAlign w:val="bottom"/>
          </w:tcPr>
          <w:p>
            <w:pPr>
              <w:jc w:val="right"/>
              <w:ind w:right="701"/>
              <w:spacing w:after="0"/>
              <w:rPr>
                <w:sz w:val="20"/>
                <w:szCs w:val="20"/>
                <w:color w:val="auto"/>
              </w:rPr>
            </w:pPr>
            <w:r>
              <w:rPr>
                <w:rFonts w:ascii="Arial" w:cs="Arial" w:eastAsia="Arial" w:hAnsi="Arial"/>
                <w:sz w:val="10"/>
                <w:szCs w:val="10"/>
                <w:b w:val="1"/>
                <w:bCs w:val="1"/>
                <w:color w:val="auto"/>
              </w:rPr>
              <w:t>2017</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120" w:type="dxa"/>
            <w:vAlign w:val="bottom"/>
          </w:tcPr>
          <w:p>
            <w:pPr>
              <w:jc w:val="right"/>
              <w:ind w:right="701"/>
              <w:spacing w:after="0"/>
              <w:rPr>
                <w:sz w:val="20"/>
                <w:szCs w:val="20"/>
                <w:color w:val="auto"/>
              </w:rPr>
            </w:pPr>
            <w:r>
              <w:rPr>
                <w:rFonts w:ascii="Arial" w:cs="Arial" w:eastAsia="Arial" w:hAnsi="Arial"/>
                <w:sz w:val="10"/>
                <w:szCs w:val="10"/>
                <w:b w:val="1"/>
                <w:bCs w:val="1"/>
                <w:color w:val="auto"/>
              </w:rPr>
              <w:t>2016</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60" w:type="dxa"/>
            <w:vAlign w:val="bottom"/>
            <w:gridSpan w:val="2"/>
          </w:tcPr>
          <w:p>
            <w:pPr>
              <w:jc w:val="right"/>
              <w:ind w:right="360"/>
              <w:spacing w:after="0"/>
              <w:rPr>
                <w:sz w:val="20"/>
                <w:szCs w:val="20"/>
                <w:color w:val="auto"/>
              </w:rPr>
            </w:pPr>
            <w:r>
              <w:rPr>
                <w:rFonts w:ascii="Arial" w:cs="Arial" w:eastAsia="Arial" w:hAnsi="Arial"/>
                <w:sz w:val="10"/>
                <w:szCs w:val="10"/>
                <w:b w:val="1"/>
                <w:bCs w:val="1"/>
                <w:color w:val="auto"/>
                <w:w w:val="94"/>
              </w:rPr>
              <w:t>April 24 - December 31, 2015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2"/>
                <w:szCs w:val="12"/>
                <w:b w:val="1"/>
                <w:bCs w:val="1"/>
                <w:color w:val="auto"/>
              </w:rPr>
              <w:t>Cash flow from operating activities</w:t>
            </w:r>
          </w:p>
        </w:tc>
        <w:tc>
          <w:tcPr>
            <w:tcW w:w="140" w:type="dxa"/>
            <w:vAlign w:val="bottom"/>
            <w:tcBorders>
              <w:top w:val="single" w:sz="8" w:color="CFF0FC"/>
            </w:tcBorders>
            <w:shd w:val="clear" w:color="auto" w:fill="CFF0FC"/>
          </w:tcPr>
          <w:p>
            <w:pPr>
              <w:spacing w:after="0"/>
              <w:rPr>
                <w:sz w:val="12"/>
                <w:szCs w:val="12"/>
                <w:color w:val="auto"/>
              </w:rPr>
            </w:pPr>
          </w:p>
        </w:tc>
        <w:tc>
          <w:tcPr>
            <w:tcW w:w="400" w:type="dxa"/>
            <w:vAlign w:val="bottom"/>
            <w:tcBorders>
              <w:top w:val="single" w:sz="8" w:color="auto"/>
            </w:tcBorders>
            <w:shd w:val="clear" w:color="auto" w:fill="CFF0FC"/>
          </w:tcPr>
          <w:p>
            <w:pPr>
              <w:spacing w:after="0"/>
              <w:rPr>
                <w:sz w:val="12"/>
                <w:szCs w:val="12"/>
                <w:color w:val="auto"/>
              </w:rPr>
            </w:pPr>
          </w:p>
        </w:tc>
        <w:tc>
          <w:tcPr>
            <w:tcW w:w="130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580" w:type="dxa"/>
            <w:vAlign w:val="bottom"/>
            <w:tcBorders>
              <w:top w:val="single" w:sz="8" w:color="auto"/>
            </w:tcBorders>
            <w:shd w:val="clear" w:color="auto" w:fill="CFF0FC"/>
          </w:tcPr>
          <w:p>
            <w:pPr>
              <w:spacing w:after="0"/>
              <w:rPr>
                <w:sz w:val="12"/>
                <w:szCs w:val="12"/>
                <w:color w:val="auto"/>
              </w:rPr>
            </w:pPr>
          </w:p>
        </w:tc>
        <w:tc>
          <w:tcPr>
            <w:tcW w:w="112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154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800" w:type="dxa"/>
            <w:vAlign w:val="bottom"/>
            <w:gridSpan w:val="3"/>
          </w:tcPr>
          <w:p>
            <w:pPr>
              <w:spacing w:after="0"/>
              <w:rPr>
                <w:sz w:val="20"/>
                <w:szCs w:val="20"/>
                <w:color w:val="auto"/>
              </w:rPr>
            </w:pPr>
            <w:r>
              <w:rPr>
                <w:rFonts w:ascii="Arial" w:cs="Arial" w:eastAsia="Arial" w:hAnsi="Arial"/>
                <w:sz w:val="12"/>
                <w:szCs w:val="12"/>
                <w:color w:val="auto"/>
              </w:rPr>
              <w:t>Net cash (used in) provided by operating activities</w:t>
            </w:r>
          </w:p>
        </w:tc>
        <w:tc>
          <w:tcPr>
            <w:tcW w:w="400" w:type="dxa"/>
            <w:vAlign w:val="bottom"/>
          </w:tcPr>
          <w:p>
            <w:pPr>
              <w:jc w:val="right"/>
              <w:ind w:right="290"/>
              <w:spacing w:after="0"/>
              <w:rPr>
                <w:sz w:val="20"/>
                <w:szCs w:val="20"/>
                <w:color w:val="auto"/>
              </w:rPr>
            </w:pPr>
            <w:r>
              <w:rPr>
                <w:rFonts w:ascii="Arial" w:cs="Arial" w:eastAsia="Arial" w:hAnsi="Arial"/>
                <w:sz w:val="10"/>
                <w:szCs w:val="10"/>
                <w:color w:val="auto"/>
                <w:w w:val="71"/>
              </w:rPr>
              <w:t>$</w:t>
            </w:r>
          </w:p>
        </w:tc>
        <w:tc>
          <w:tcPr>
            <w:tcW w:w="1440" w:type="dxa"/>
            <w:vAlign w:val="bottom"/>
            <w:gridSpan w:val="2"/>
          </w:tcPr>
          <w:p>
            <w:pPr>
              <w:jc w:val="right"/>
              <w:ind w:right="100"/>
              <w:spacing w:after="0"/>
              <w:rPr>
                <w:sz w:val="20"/>
                <w:szCs w:val="20"/>
                <w:color w:val="auto"/>
              </w:rPr>
            </w:pPr>
            <w:r>
              <w:rPr>
                <w:rFonts w:ascii="Arial" w:cs="Arial" w:eastAsia="Arial" w:hAnsi="Arial"/>
                <w:sz w:val="12"/>
                <w:szCs w:val="12"/>
                <w:color w:val="auto"/>
              </w:rPr>
              <w:t>(602,530)</w:t>
            </w:r>
          </w:p>
        </w:tc>
        <w:tc>
          <w:tcPr>
            <w:tcW w:w="680" w:type="dxa"/>
            <w:vAlign w:val="bottom"/>
            <w:gridSpan w:val="2"/>
          </w:tcPr>
          <w:p>
            <w:pPr>
              <w:jc w:val="right"/>
              <w:ind w:right="520"/>
              <w:spacing w:after="0"/>
              <w:rPr>
                <w:sz w:val="20"/>
                <w:szCs w:val="20"/>
                <w:color w:val="auto"/>
              </w:rPr>
            </w:pPr>
            <w:r>
              <w:rPr>
                <w:rFonts w:ascii="Arial" w:cs="Arial" w:eastAsia="Arial" w:hAnsi="Arial"/>
                <w:sz w:val="12"/>
                <w:szCs w:val="12"/>
                <w:color w:val="auto"/>
              </w:rPr>
              <w:t>$</w:t>
            </w:r>
          </w:p>
        </w:tc>
        <w:tc>
          <w:tcPr>
            <w:tcW w:w="1360" w:type="dxa"/>
            <w:vAlign w:val="bottom"/>
            <w:gridSpan w:val="2"/>
          </w:tcPr>
          <w:p>
            <w:pPr>
              <w:jc w:val="right"/>
              <w:ind w:right="200"/>
              <w:spacing w:after="0"/>
              <w:rPr>
                <w:sz w:val="20"/>
                <w:szCs w:val="20"/>
                <w:color w:val="auto"/>
              </w:rPr>
            </w:pPr>
            <w:r>
              <w:rPr>
                <w:rFonts w:ascii="Arial" w:cs="Arial" w:eastAsia="Arial" w:hAnsi="Arial"/>
                <w:sz w:val="12"/>
                <w:szCs w:val="12"/>
                <w:color w:val="auto"/>
              </w:rPr>
              <w:t>(59,076)</w:t>
            </w: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1540" w:type="dxa"/>
            <w:vAlign w:val="bottom"/>
          </w:tcPr>
          <w:p>
            <w:pPr>
              <w:jc w:val="right"/>
              <w:spacing w:after="0"/>
              <w:rPr>
                <w:sz w:val="20"/>
                <w:szCs w:val="20"/>
                <w:color w:val="auto"/>
              </w:rPr>
            </w:pPr>
            <w:r>
              <w:rPr>
                <w:rFonts w:ascii="Arial" w:cs="Arial" w:eastAsia="Arial" w:hAnsi="Arial"/>
                <w:sz w:val="12"/>
                <w:szCs w:val="12"/>
                <w:color w:val="auto"/>
              </w:rPr>
              <w:t>106,332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64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400" w:type="dxa"/>
            <w:vAlign w:val="bottom"/>
            <w:tcBorders>
              <w:top w:val="single" w:sz="8" w:color="auto"/>
            </w:tcBorders>
            <w:shd w:val="clear" w:color="auto" w:fill="CFF0FC"/>
          </w:tcPr>
          <w:p>
            <w:pPr>
              <w:spacing w:after="0"/>
              <w:rPr>
                <w:sz w:val="12"/>
                <w:szCs w:val="12"/>
                <w:color w:val="auto"/>
              </w:rPr>
            </w:pPr>
          </w:p>
        </w:tc>
        <w:tc>
          <w:tcPr>
            <w:tcW w:w="130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580" w:type="dxa"/>
            <w:vAlign w:val="bottom"/>
            <w:tcBorders>
              <w:top w:val="single" w:sz="8" w:color="auto"/>
            </w:tcBorders>
            <w:shd w:val="clear" w:color="auto" w:fill="CFF0FC"/>
          </w:tcPr>
          <w:p>
            <w:pPr>
              <w:spacing w:after="0"/>
              <w:rPr>
                <w:sz w:val="12"/>
                <w:szCs w:val="12"/>
                <w:color w:val="auto"/>
              </w:rPr>
            </w:pPr>
          </w:p>
        </w:tc>
        <w:tc>
          <w:tcPr>
            <w:tcW w:w="112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154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5780" w:type="dxa"/>
            <w:vAlign w:val="bottom"/>
            <w:gridSpan w:val="2"/>
          </w:tcPr>
          <w:p>
            <w:pPr>
              <w:spacing w:after="0"/>
              <w:rPr>
                <w:sz w:val="20"/>
                <w:szCs w:val="20"/>
                <w:color w:val="auto"/>
              </w:rPr>
            </w:pPr>
            <w:r>
              <w:rPr>
                <w:rFonts w:ascii="Arial" w:cs="Arial" w:eastAsia="Arial" w:hAnsi="Arial"/>
                <w:sz w:val="12"/>
                <w:szCs w:val="12"/>
                <w:b w:val="1"/>
                <w:bCs w:val="1"/>
                <w:color w:val="auto"/>
              </w:rPr>
              <w:t>Cash flow from investing activities</w:t>
            </w:r>
          </w:p>
        </w:tc>
        <w:tc>
          <w:tcPr>
            <w:tcW w:w="4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780" w:type="dxa"/>
            <w:vAlign w:val="bottom"/>
            <w:gridSpan w:val="2"/>
            <w:shd w:val="clear" w:color="auto" w:fill="CFF0FC"/>
          </w:tcPr>
          <w:p>
            <w:pPr>
              <w:ind w:left="140"/>
              <w:spacing w:after="0"/>
              <w:rPr>
                <w:sz w:val="20"/>
                <w:szCs w:val="20"/>
                <w:color w:val="auto"/>
              </w:rPr>
            </w:pPr>
            <w:r>
              <w:rPr>
                <w:rFonts w:ascii="Arial" w:cs="Arial" w:eastAsia="Arial" w:hAnsi="Arial"/>
                <w:sz w:val="12"/>
                <w:szCs w:val="12"/>
                <w:color w:val="auto"/>
              </w:rPr>
              <w:t>Consideration paid to Windstream Services</w:t>
            </w:r>
          </w:p>
        </w:tc>
        <w:tc>
          <w:tcPr>
            <w:tcW w:w="40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66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(1,035,029)</w:t>
            </w:r>
          </w:p>
        </w:tc>
        <w:tc>
          <w:tcPr>
            <w:tcW w:w="0" w:type="dxa"/>
            <w:vAlign w:val="bottom"/>
          </w:tcPr>
          <w:p>
            <w:pPr>
              <w:spacing w:after="0"/>
              <w:rPr>
                <w:sz w:val="1"/>
                <w:szCs w:val="1"/>
                <w:color w:val="auto"/>
              </w:rPr>
            </w:pPr>
          </w:p>
        </w:tc>
      </w:tr>
      <w:tr>
        <w:trPr>
          <w:trHeight w:val="20"/>
        </w:trPr>
        <w:tc>
          <w:tcPr>
            <w:tcW w:w="5800" w:type="dxa"/>
            <w:vAlign w:val="bottom"/>
            <w:gridSpan w:val="3"/>
            <w:vMerge w:val="restart"/>
          </w:tcPr>
          <w:p>
            <w:pPr>
              <w:spacing w:after="0"/>
              <w:rPr>
                <w:sz w:val="20"/>
                <w:szCs w:val="20"/>
                <w:color w:val="auto"/>
              </w:rPr>
            </w:pPr>
            <w:r>
              <w:rPr>
                <w:rFonts w:ascii="Arial" w:cs="Arial" w:eastAsia="Arial" w:hAnsi="Arial"/>
                <w:sz w:val="12"/>
                <w:szCs w:val="12"/>
                <w:color w:val="auto"/>
              </w:rPr>
              <w:t>Net cash used in investing activities</w:t>
            </w:r>
          </w:p>
        </w:tc>
        <w:tc>
          <w:tcPr>
            <w:tcW w:w="4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800" w:type="dxa"/>
            <w:vAlign w:val="bottom"/>
            <w:gridSpan w:val="3"/>
            <w:vMerge w:val="continue"/>
          </w:tcPr>
          <w:p>
            <w:pPr>
              <w:spacing w:after="0"/>
              <w:rPr>
                <w:sz w:val="12"/>
                <w:szCs w:val="12"/>
                <w:color w:val="auto"/>
              </w:rPr>
            </w:pPr>
          </w:p>
        </w:tc>
        <w:tc>
          <w:tcPr>
            <w:tcW w:w="40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2"/>
          </w:tcPr>
          <w:p>
            <w:pPr>
              <w:jc w:val="right"/>
              <w:ind w:right="80"/>
              <w:spacing w:after="0"/>
              <w:rPr>
                <w:sz w:val="20"/>
                <w:szCs w:val="20"/>
                <w:color w:val="auto"/>
              </w:rPr>
            </w:pPr>
            <w:r>
              <w:rPr>
                <w:rFonts w:ascii="Arial" w:cs="Arial" w:eastAsia="Arial" w:hAnsi="Arial"/>
                <w:sz w:val="12"/>
                <w:szCs w:val="12"/>
                <w:color w:val="auto"/>
              </w:rPr>
              <w:t>(1,035,029)</w:t>
            </w:r>
          </w:p>
        </w:tc>
        <w:tc>
          <w:tcPr>
            <w:tcW w:w="0" w:type="dxa"/>
            <w:vAlign w:val="bottom"/>
          </w:tcPr>
          <w:p>
            <w:pPr>
              <w:spacing w:after="0"/>
              <w:rPr>
                <w:sz w:val="1"/>
                <w:szCs w:val="1"/>
                <w:color w:val="auto"/>
              </w:rPr>
            </w:pPr>
          </w:p>
        </w:tc>
      </w:tr>
      <w:tr>
        <w:trPr>
          <w:trHeight w:val="153"/>
        </w:trPr>
        <w:tc>
          <w:tcPr>
            <w:tcW w:w="20" w:type="dxa"/>
            <w:vAlign w:val="bottom"/>
            <w:vMerge w:val="restart"/>
          </w:tcPr>
          <w:p>
            <w:pPr>
              <w:spacing w:after="0"/>
              <w:rPr>
                <w:sz w:val="13"/>
                <w:szCs w:val="13"/>
                <w:color w:val="auto"/>
              </w:rPr>
            </w:pPr>
          </w:p>
        </w:tc>
        <w:tc>
          <w:tcPr>
            <w:tcW w:w="56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3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5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5780" w:type="dxa"/>
            <w:vAlign w:val="bottom"/>
            <w:gridSpan w:val="2"/>
          </w:tcPr>
          <w:p>
            <w:pPr>
              <w:spacing w:after="0"/>
              <w:rPr>
                <w:sz w:val="20"/>
                <w:szCs w:val="20"/>
                <w:color w:val="auto"/>
              </w:rPr>
            </w:pPr>
            <w:r>
              <w:rPr>
                <w:rFonts w:ascii="Arial" w:cs="Arial" w:eastAsia="Arial" w:hAnsi="Arial"/>
                <w:sz w:val="12"/>
                <w:szCs w:val="12"/>
                <w:b w:val="1"/>
                <w:bCs w:val="1"/>
                <w:color w:val="auto"/>
              </w:rPr>
              <w:t>Cash flow from financing activities</w:t>
            </w:r>
          </w:p>
        </w:tc>
        <w:tc>
          <w:tcPr>
            <w:tcW w:w="4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780" w:type="dxa"/>
            <w:vAlign w:val="bottom"/>
            <w:gridSpan w:val="2"/>
            <w:shd w:val="clear" w:color="auto" w:fill="CFF0FC"/>
          </w:tcPr>
          <w:p>
            <w:pPr>
              <w:ind w:left="140"/>
              <w:spacing w:after="0"/>
              <w:rPr>
                <w:sz w:val="20"/>
                <w:szCs w:val="20"/>
                <w:color w:val="auto"/>
              </w:rPr>
            </w:pPr>
            <w:r>
              <w:rPr>
                <w:rFonts w:ascii="Arial" w:cs="Arial" w:eastAsia="Arial" w:hAnsi="Arial"/>
                <w:sz w:val="12"/>
                <w:szCs w:val="12"/>
                <w:color w:val="auto"/>
              </w:rPr>
              <w:t>Principal payment on debt</w:t>
            </w:r>
          </w:p>
        </w:tc>
        <w:tc>
          <w:tcPr>
            <w:tcW w:w="400" w:type="dxa"/>
            <w:vAlign w:val="bottom"/>
            <w:shd w:val="clear" w:color="auto" w:fill="CFF0FC"/>
          </w:tcPr>
          <w:p>
            <w:pPr>
              <w:spacing w:after="0"/>
              <w:rPr>
                <w:sz w:val="13"/>
                <w:szCs w:val="13"/>
                <w:color w:val="auto"/>
              </w:rPr>
            </w:pPr>
          </w:p>
        </w:tc>
        <w:tc>
          <w:tcPr>
            <w:tcW w:w="144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(5,270)</w:t>
            </w: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(22,027)</w:t>
            </w:r>
          </w:p>
        </w:tc>
        <w:tc>
          <w:tcPr>
            <w:tcW w:w="140" w:type="dxa"/>
            <w:vAlign w:val="bottom"/>
            <w:shd w:val="clear" w:color="auto" w:fill="CFF0FC"/>
          </w:tcPr>
          <w:p>
            <w:pPr>
              <w:spacing w:after="0"/>
              <w:rPr>
                <w:sz w:val="13"/>
                <w:szCs w:val="13"/>
                <w:color w:val="auto"/>
              </w:rPr>
            </w:pPr>
          </w:p>
        </w:tc>
        <w:tc>
          <w:tcPr>
            <w:tcW w:w="166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(10,700)</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780" w:type="dxa"/>
            <w:vAlign w:val="bottom"/>
            <w:gridSpan w:val="2"/>
          </w:tcPr>
          <w:p>
            <w:pPr>
              <w:ind w:left="140"/>
              <w:spacing w:after="0"/>
              <w:rPr>
                <w:sz w:val="20"/>
                <w:szCs w:val="20"/>
                <w:color w:val="auto"/>
              </w:rPr>
            </w:pPr>
            <w:r>
              <w:rPr>
                <w:rFonts w:ascii="Arial" w:cs="Arial" w:eastAsia="Arial" w:hAnsi="Arial"/>
                <w:sz w:val="12"/>
                <w:szCs w:val="12"/>
                <w:color w:val="auto"/>
              </w:rPr>
              <w:t>Dividends paid</w:t>
            </w:r>
          </w:p>
        </w:tc>
        <w:tc>
          <w:tcPr>
            <w:tcW w:w="400" w:type="dxa"/>
            <w:vAlign w:val="bottom"/>
          </w:tcPr>
          <w:p>
            <w:pPr>
              <w:spacing w:after="0"/>
              <w:rPr>
                <w:sz w:val="13"/>
                <w:szCs w:val="13"/>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2"/>
                <w:szCs w:val="12"/>
                <w:color w:val="auto"/>
              </w:rPr>
              <w:t>(400,210)</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2"/>
                <w:szCs w:val="12"/>
                <w:color w:val="auto"/>
              </w:rPr>
              <w:t>(367,830)</w:t>
            </w:r>
          </w:p>
        </w:tc>
        <w:tc>
          <w:tcPr>
            <w:tcW w:w="140" w:type="dxa"/>
            <w:vAlign w:val="bottom"/>
          </w:tcPr>
          <w:p>
            <w:pPr>
              <w:spacing w:after="0"/>
              <w:rPr>
                <w:sz w:val="13"/>
                <w:szCs w:val="13"/>
                <w:color w:val="auto"/>
              </w:rPr>
            </w:pPr>
          </w:p>
        </w:tc>
        <w:tc>
          <w:tcPr>
            <w:tcW w:w="1660" w:type="dxa"/>
            <w:vAlign w:val="bottom"/>
            <w:gridSpan w:val="2"/>
          </w:tcPr>
          <w:p>
            <w:pPr>
              <w:jc w:val="right"/>
              <w:ind w:right="80"/>
              <w:spacing w:after="0"/>
              <w:rPr>
                <w:sz w:val="20"/>
                <w:szCs w:val="20"/>
                <w:color w:val="auto"/>
              </w:rPr>
            </w:pPr>
            <w:r>
              <w:rPr>
                <w:rFonts w:ascii="Arial" w:cs="Arial" w:eastAsia="Arial" w:hAnsi="Arial"/>
                <w:sz w:val="12"/>
                <w:szCs w:val="12"/>
                <w:color w:val="auto"/>
              </w:rPr>
              <w:t>(156,854)</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780" w:type="dxa"/>
            <w:vAlign w:val="bottom"/>
            <w:gridSpan w:val="2"/>
            <w:shd w:val="clear" w:color="auto" w:fill="CFF0FC"/>
          </w:tcPr>
          <w:p>
            <w:pPr>
              <w:ind w:left="140"/>
              <w:spacing w:after="0"/>
              <w:rPr>
                <w:sz w:val="20"/>
                <w:szCs w:val="20"/>
                <w:color w:val="auto"/>
              </w:rPr>
            </w:pPr>
            <w:r>
              <w:rPr>
                <w:rFonts w:ascii="Arial" w:cs="Arial" w:eastAsia="Arial" w:hAnsi="Arial"/>
                <w:sz w:val="12"/>
                <w:szCs w:val="12"/>
                <w:color w:val="auto"/>
              </w:rPr>
              <w:t>Proceeds from issuance of Term Loans</w:t>
            </w:r>
          </w:p>
        </w:tc>
        <w:tc>
          <w:tcPr>
            <w:tcW w:w="400" w:type="dxa"/>
            <w:vAlign w:val="bottom"/>
            <w:shd w:val="clear" w:color="auto" w:fill="CFF0FC"/>
          </w:tcPr>
          <w:p>
            <w:pPr>
              <w:spacing w:after="0"/>
              <w:rPr>
                <w:sz w:val="13"/>
                <w:szCs w:val="13"/>
                <w:color w:val="auto"/>
              </w:rPr>
            </w:pPr>
          </w:p>
        </w:tc>
        <w:tc>
          <w:tcPr>
            <w:tcW w:w="144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36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3"/>
                <w:szCs w:val="13"/>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1,127,000</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780" w:type="dxa"/>
            <w:vAlign w:val="bottom"/>
            <w:gridSpan w:val="2"/>
          </w:tcPr>
          <w:p>
            <w:pPr>
              <w:ind w:left="140"/>
              <w:spacing w:after="0"/>
              <w:rPr>
                <w:sz w:val="20"/>
                <w:szCs w:val="20"/>
                <w:color w:val="auto"/>
              </w:rPr>
            </w:pPr>
            <w:r>
              <w:rPr>
                <w:rFonts w:ascii="Arial" w:cs="Arial" w:eastAsia="Arial" w:hAnsi="Arial"/>
                <w:sz w:val="12"/>
                <w:szCs w:val="12"/>
                <w:color w:val="auto"/>
              </w:rPr>
              <w:t>Proceeds from issuance of Notes</w:t>
            </w:r>
          </w:p>
        </w:tc>
        <w:tc>
          <w:tcPr>
            <w:tcW w:w="40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201,000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548,875</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780" w:type="dxa"/>
            <w:vAlign w:val="bottom"/>
            <w:gridSpan w:val="2"/>
            <w:shd w:val="clear" w:color="auto" w:fill="CFF0FC"/>
          </w:tcPr>
          <w:p>
            <w:pPr>
              <w:ind w:left="140"/>
              <w:spacing w:after="0"/>
              <w:rPr>
                <w:sz w:val="20"/>
                <w:szCs w:val="20"/>
                <w:color w:val="auto"/>
              </w:rPr>
            </w:pPr>
            <w:r>
              <w:rPr>
                <w:rFonts w:ascii="Arial" w:cs="Arial" w:eastAsia="Arial" w:hAnsi="Arial"/>
                <w:sz w:val="12"/>
                <w:szCs w:val="12"/>
                <w:color w:val="auto"/>
              </w:rPr>
              <w:t>Borrowings under revolving credit facility</w:t>
            </w:r>
          </w:p>
        </w:tc>
        <w:tc>
          <w:tcPr>
            <w:tcW w:w="40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350,000</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641,000</w:t>
            </w: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66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780" w:type="dxa"/>
            <w:vAlign w:val="bottom"/>
            <w:gridSpan w:val="2"/>
          </w:tcPr>
          <w:p>
            <w:pPr>
              <w:ind w:left="140"/>
              <w:spacing w:after="0"/>
              <w:rPr>
                <w:sz w:val="20"/>
                <w:szCs w:val="20"/>
                <w:color w:val="auto"/>
              </w:rPr>
            </w:pPr>
            <w:r>
              <w:rPr>
                <w:rFonts w:ascii="Arial" w:cs="Arial" w:eastAsia="Arial" w:hAnsi="Arial"/>
                <w:sz w:val="12"/>
                <w:szCs w:val="12"/>
                <w:color w:val="auto"/>
              </w:rPr>
              <w:t>Payments under revolving credit facility</w:t>
            </w:r>
          </w:p>
        </w:tc>
        <w:tc>
          <w:tcPr>
            <w:tcW w:w="400" w:type="dxa"/>
            <w:vAlign w:val="bottom"/>
          </w:tcPr>
          <w:p>
            <w:pPr>
              <w:spacing w:after="0"/>
              <w:rPr>
                <w:sz w:val="13"/>
                <w:szCs w:val="13"/>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2"/>
                <w:szCs w:val="12"/>
                <w:color w:val="auto"/>
              </w:rPr>
              <w:t>(125,000)</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2"/>
                <w:szCs w:val="12"/>
                <w:color w:val="auto"/>
              </w:rPr>
              <w:t>(641,000)</w:t>
            </w:r>
          </w:p>
        </w:tc>
        <w:tc>
          <w:tcPr>
            <w:tcW w:w="140" w:type="dxa"/>
            <w:vAlign w:val="bottom"/>
          </w:tcPr>
          <w:p>
            <w:pPr>
              <w:spacing w:after="0"/>
              <w:rPr>
                <w:sz w:val="13"/>
                <w:szCs w:val="13"/>
                <w:color w:val="auto"/>
              </w:rPr>
            </w:pPr>
          </w:p>
        </w:tc>
        <w:tc>
          <w:tcPr>
            <w:tcW w:w="16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780" w:type="dxa"/>
            <w:vAlign w:val="bottom"/>
            <w:gridSpan w:val="2"/>
            <w:shd w:val="clear" w:color="auto" w:fill="CFF0FC"/>
          </w:tcPr>
          <w:p>
            <w:pPr>
              <w:ind w:left="140"/>
              <w:spacing w:after="0"/>
              <w:rPr>
                <w:sz w:val="20"/>
                <w:szCs w:val="20"/>
                <w:color w:val="auto"/>
              </w:rPr>
            </w:pPr>
            <w:r>
              <w:rPr>
                <w:rFonts w:ascii="Arial" w:cs="Arial" w:eastAsia="Arial" w:hAnsi="Arial"/>
                <w:sz w:val="12"/>
                <w:szCs w:val="12"/>
                <w:color w:val="auto"/>
              </w:rPr>
              <w:t>Payments of contingent consideration</w:t>
            </w:r>
          </w:p>
        </w:tc>
        <w:tc>
          <w:tcPr>
            <w:tcW w:w="400" w:type="dxa"/>
            <w:vAlign w:val="bottom"/>
            <w:shd w:val="clear" w:color="auto" w:fill="CFF0FC"/>
          </w:tcPr>
          <w:p>
            <w:pPr>
              <w:spacing w:after="0"/>
              <w:rPr>
                <w:sz w:val="13"/>
                <w:szCs w:val="13"/>
                <w:color w:val="auto"/>
              </w:rPr>
            </w:pPr>
          </w:p>
        </w:tc>
        <w:tc>
          <w:tcPr>
            <w:tcW w:w="144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(18,791)</w:t>
            </w: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36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3"/>
                <w:szCs w:val="13"/>
                <w:color w:val="auto"/>
              </w:rPr>
            </w:pPr>
          </w:p>
        </w:tc>
        <w:tc>
          <w:tcPr>
            <w:tcW w:w="166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780" w:type="dxa"/>
            <w:vAlign w:val="bottom"/>
            <w:gridSpan w:val="2"/>
          </w:tcPr>
          <w:p>
            <w:pPr>
              <w:ind w:left="140"/>
              <w:spacing w:after="0"/>
              <w:rPr>
                <w:sz w:val="20"/>
                <w:szCs w:val="20"/>
                <w:color w:val="auto"/>
              </w:rPr>
            </w:pPr>
            <w:r>
              <w:rPr>
                <w:rFonts w:ascii="Arial" w:cs="Arial" w:eastAsia="Arial" w:hAnsi="Arial"/>
                <w:sz w:val="12"/>
                <w:szCs w:val="12"/>
                <w:color w:val="auto"/>
              </w:rPr>
              <w:t>Purchase of noncontrolling interests</w:t>
            </w:r>
          </w:p>
        </w:tc>
        <w:tc>
          <w:tcPr>
            <w:tcW w:w="400" w:type="dxa"/>
            <w:vAlign w:val="bottom"/>
          </w:tcPr>
          <w:p>
            <w:pPr>
              <w:spacing w:after="0"/>
              <w:rPr>
                <w:sz w:val="13"/>
                <w:szCs w:val="13"/>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2"/>
                <w:szCs w:val="12"/>
                <w:color w:val="auto"/>
              </w:rPr>
              <w:t>(560)</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6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780" w:type="dxa"/>
            <w:vAlign w:val="bottom"/>
            <w:gridSpan w:val="2"/>
            <w:shd w:val="clear" w:color="auto" w:fill="CFF0FC"/>
          </w:tcPr>
          <w:p>
            <w:pPr>
              <w:ind w:left="140"/>
              <w:spacing w:after="0"/>
              <w:rPr>
                <w:sz w:val="20"/>
                <w:szCs w:val="20"/>
                <w:color w:val="auto"/>
              </w:rPr>
            </w:pPr>
            <w:r>
              <w:rPr>
                <w:rFonts w:ascii="Arial" w:cs="Arial" w:eastAsia="Arial" w:hAnsi="Arial"/>
                <w:sz w:val="12"/>
                <w:szCs w:val="12"/>
                <w:color w:val="auto"/>
              </w:rPr>
              <w:t>Deferred financing costs</w:t>
            </w:r>
          </w:p>
        </w:tc>
        <w:tc>
          <w:tcPr>
            <w:tcW w:w="400" w:type="dxa"/>
            <w:vAlign w:val="bottom"/>
            <w:shd w:val="clear" w:color="auto" w:fill="CFF0FC"/>
          </w:tcPr>
          <w:p>
            <w:pPr>
              <w:spacing w:after="0"/>
              <w:rPr>
                <w:sz w:val="13"/>
                <w:szCs w:val="13"/>
                <w:color w:val="auto"/>
              </w:rPr>
            </w:pPr>
          </w:p>
        </w:tc>
        <w:tc>
          <w:tcPr>
            <w:tcW w:w="144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(24,686)</w:t>
            </w: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(20,557)</w:t>
            </w:r>
          </w:p>
        </w:tc>
        <w:tc>
          <w:tcPr>
            <w:tcW w:w="140" w:type="dxa"/>
            <w:vAlign w:val="bottom"/>
            <w:shd w:val="clear" w:color="auto" w:fill="CFF0FC"/>
          </w:tcPr>
          <w:p>
            <w:pPr>
              <w:spacing w:after="0"/>
              <w:rPr>
                <w:sz w:val="13"/>
                <w:szCs w:val="13"/>
                <w:color w:val="auto"/>
              </w:rPr>
            </w:pPr>
          </w:p>
        </w:tc>
        <w:tc>
          <w:tcPr>
            <w:tcW w:w="166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(30,057)</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780" w:type="dxa"/>
            <w:vAlign w:val="bottom"/>
            <w:gridSpan w:val="2"/>
          </w:tcPr>
          <w:p>
            <w:pPr>
              <w:ind w:left="140"/>
              <w:spacing w:after="0"/>
              <w:rPr>
                <w:sz w:val="20"/>
                <w:szCs w:val="20"/>
                <w:color w:val="auto"/>
              </w:rPr>
            </w:pPr>
            <w:r>
              <w:rPr>
                <w:rFonts w:ascii="Arial" w:cs="Arial" w:eastAsia="Arial" w:hAnsi="Arial"/>
                <w:sz w:val="12"/>
                <w:szCs w:val="12"/>
                <w:color w:val="auto"/>
              </w:rPr>
              <w:t>Common stock issuance, net of costs</w:t>
            </w:r>
          </w:p>
        </w:tc>
        <w:tc>
          <w:tcPr>
            <w:tcW w:w="40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498,926</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54,213</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60" w:type="dxa"/>
            <w:vAlign w:val="bottom"/>
            <w:gridSpan w:val="2"/>
          </w:tcPr>
          <w:p>
            <w:pPr>
              <w:jc w:val="right"/>
              <w:ind w:right="80"/>
              <w:spacing w:after="0"/>
              <w:rPr>
                <w:sz w:val="20"/>
                <w:szCs w:val="20"/>
                <w:color w:val="auto"/>
              </w:rPr>
            </w:pPr>
            <w:r>
              <w:rPr>
                <w:rFonts w:ascii="Arial" w:cs="Arial" w:eastAsia="Arial" w:hAnsi="Arial"/>
                <w:sz w:val="12"/>
                <w:szCs w:val="12"/>
                <w:color w:val="auto"/>
              </w:rPr>
              <w:t>(543)</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780" w:type="dxa"/>
            <w:vAlign w:val="bottom"/>
            <w:gridSpan w:val="2"/>
            <w:shd w:val="clear" w:color="auto" w:fill="CFF0FC"/>
          </w:tcPr>
          <w:p>
            <w:pPr>
              <w:ind w:left="140"/>
              <w:spacing w:after="0"/>
              <w:rPr>
                <w:sz w:val="20"/>
                <w:szCs w:val="20"/>
                <w:color w:val="auto"/>
              </w:rPr>
            </w:pPr>
            <w:r>
              <w:rPr>
                <w:rFonts w:ascii="Arial" w:cs="Arial" w:eastAsia="Arial" w:hAnsi="Arial"/>
                <w:sz w:val="12"/>
                <w:szCs w:val="12"/>
                <w:color w:val="auto"/>
              </w:rPr>
              <w:t>Net share settlement</w:t>
            </w:r>
          </w:p>
        </w:tc>
        <w:tc>
          <w:tcPr>
            <w:tcW w:w="400" w:type="dxa"/>
            <w:vAlign w:val="bottom"/>
            <w:shd w:val="clear" w:color="auto" w:fill="CFF0FC"/>
          </w:tcPr>
          <w:p>
            <w:pPr>
              <w:spacing w:after="0"/>
              <w:rPr>
                <w:sz w:val="13"/>
                <w:szCs w:val="13"/>
                <w:color w:val="auto"/>
              </w:rPr>
            </w:pPr>
          </w:p>
        </w:tc>
        <w:tc>
          <w:tcPr>
            <w:tcW w:w="144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(1,836)</w:t>
            </w: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(2,359)</w:t>
            </w:r>
          </w:p>
        </w:tc>
        <w:tc>
          <w:tcPr>
            <w:tcW w:w="140" w:type="dxa"/>
            <w:vAlign w:val="bottom"/>
            <w:shd w:val="clear" w:color="auto" w:fill="CFF0FC"/>
          </w:tcPr>
          <w:p>
            <w:pPr>
              <w:spacing w:after="0"/>
              <w:rPr>
                <w:sz w:val="13"/>
                <w:szCs w:val="13"/>
                <w:color w:val="auto"/>
              </w:rPr>
            </w:pPr>
          </w:p>
        </w:tc>
        <w:tc>
          <w:tcPr>
            <w:tcW w:w="166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(113)</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780" w:type="dxa"/>
            <w:vAlign w:val="bottom"/>
            <w:gridSpan w:val="2"/>
          </w:tcPr>
          <w:p>
            <w:pPr>
              <w:ind w:left="140"/>
              <w:spacing w:after="0"/>
              <w:rPr>
                <w:sz w:val="20"/>
                <w:szCs w:val="20"/>
                <w:color w:val="auto"/>
              </w:rPr>
            </w:pPr>
            <w:r>
              <w:rPr>
                <w:rFonts w:ascii="Arial" w:cs="Arial" w:eastAsia="Arial" w:hAnsi="Arial"/>
                <w:sz w:val="12"/>
                <w:szCs w:val="12"/>
                <w:color w:val="auto"/>
              </w:rPr>
              <w:t>Intercompany transactions, net</w:t>
            </w:r>
          </w:p>
        </w:tc>
        <w:tc>
          <w:tcPr>
            <w:tcW w:w="400" w:type="dxa"/>
            <w:vAlign w:val="bottom"/>
          </w:tcPr>
          <w:p>
            <w:pPr>
              <w:spacing w:after="0"/>
              <w:rPr>
                <w:sz w:val="13"/>
                <w:szCs w:val="13"/>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2"/>
                <w:szCs w:val="12"/>
                <w:color w:val="auto"/>
              </w:rPr>
              <w:t>(111)</w:t>
            </w:r>
          </w:p>
        </w:tc>
        <w:tc>
          <w:tcPr>
            <w:tcW w:w="14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780" w:type="dxa"/>
            <w:vAlign w:val="bottom"/>
            <w:gridSpan w:val="2"/>
            <w:shd w:val="clear" w:color="auto" w:fill="CFF0FC"/>
          </w:tcPr>
          <w:p>
            <w:pPr>
              <w:ind w:left="140"/>
              <w:spacing w:after="0"/>
              <w:rPr>
                <w:sz w:val="20"/>
                <w:szCs w:val="20"/>
                <w:color w:val="auto"/>
              </w:rPr>
            </w:pPr>
            <w:r>
              <w:rPr>
                <w:rFonts w:ascii="Arial" w:cs="Arial" w:eastAsia="Arial" w:hAnsi="Arial"/>
                <w:sz w:val="12"/>
                <w:szCs w:val="12"/>
                <w:color w:val="auto"/>
              </w:rPr>
              <w:t>Cash in-lieu of fractional shares</w:t>
            </w:r>
          </w:p>
        </w:tc>
        <w:tc>
          <w:tcPr>
            <w:tcW w:w="400" w:type="dxa"/>
            <w:vAlign w:val="bottom"/>
            <w:shd w:val="clear" w:color="auto" w:fill="CFF0FC"/>
          </w:tcPr>
          <w:p>
            <w:pPr>
              <w:spacing w:after="0"/>
              <w:rPr>
                <w:sz w:val="13"/>
                <w:szCs w:val="13"/>
                <w:color w:val="auto"/>
              </w:rPr>
            </w:pPr>
          </w:p>
        </w:tc>
        <w:tc>
          <w:tcPr>
            <w:tcW w:w="144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36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3"/>
                <w:szCs w:val="13"/>
                <w:color w:val="auto"/>
              </w:rPr>
            </w:pPr>
          </w:p>
        </w:tc>
        <w:tc>
          <w:tcPr>
            <w:tcW w:w="166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(19)</w:t>
            </w:r>
          </w:p>
        </w:tc>
        <w:tc>
          <w:tcPr>
            <w:tcW w:w="0" w:type="dxa"/>
            <w:vAlign w:val="bottom"/>
          </w:tcPr>
          <w:p>
            <w:pPr>
              <w:spacing w:after="0"/>
              <w:rPr>
                <w:sz w:val="1"/>
                <w:szCs w:val="1"/>
                <w:color w:val="auto"/>
              </w:rPr>
            </w:pPr>
          </w:p>
        </w:tc>
      </w:tr>
      <w:tr>
        <w:trPr>
          <w:trHeight w:val="142"/>
        </w:trPr>
        <w:tc>
          <w:tcPr>
            <w:tcW w:w="5800" w:type="dxa"/>
            <w:vAlign w:val="bottom"/>
            <w:gridSpan w:val="3"/>
          </w:tcPr>
          <w:p>
            <w:pPr>
              <w:spacing w:after="0"/>
              <w:rPr>
                <w:sz w:val="20"/>
                <w:szCs w:val="20"/>
                <w:color w:val="auto"/>
              </w:rPr>
            </w:pPr>
            <w:r>
              <w:rPr>
                <w:rFonts w:ascii="Arial" w:cs="Arial" w:eastAsia="Arial" w:hAnsi="Arial"/>
                <w:sz w:val="12"/>
                <w:szCs w:val="12"/>
                <w:color w:val="auto"/>
              </w:rPr>
              <w:t>Net cash provided by investing activities</w:t>
            </w:r>
          </w:p>
        </w:tc>
        <w:tc>
          <w:tcPr>
            <w:tcW w:w="40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473,573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190,204</w:t>
            </w:r>
          </w:p>
        </w:tc>
        <w:tc>
          <w:tcPr>
            <w:tcW w:w="2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928,714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7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Effect of exchange rates on cash and cash equivalents</w:t>
            </w:r>
          </w:p>
        </w:tc>
        <w:tc>
          <w:tcPr>
            <w:tcW w:w="400" w:type="dxa"/>
            <w:vAlign w:val="bottom"/>
            <w:tcBorders>
              <w:bottom w:val="single" w:sz="8" w:color="auto"/>
            </w:tcBorders>
            <w:shd w:val="clear" w:color="auto" w:fill="CFF0FC"/>
          </w:tcPr>
          <w:p>
            <w:pPr>
              <w:spacing w:after="0"/>
              <w:rPr>
                <w:sz w:val="13"/>
                <w:szCs w:val="13"/>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80" w:type="dxa"/>
            <w:vAlign w:val="bottom"/>
            <w:tcBorders>
              <w:bottom w:val="single" w:sz="8" w:color="auto"/>
            </w:tcBorders>
            <w:shd w:val="clear" w:color="auto" w:fill="CFF0FC"/>
          </w:tcPr>
          <w:p>
            <w:pPr>
              <w:spacing w:after="0"/>
              <w:rPr>
                <w:sz w:val="13"/>
                <w:szCs w:val="13"/>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800" w:type="dxa"/>
            <w:vAlign w:val="bottom"/>
            <w:gridSpan w:val="3"/>
          </w:tcPr>
          <w:p>
            <w:pPr>
              <w:spacing w:after="0"/>
              <w:rPr>
                <w:sz w:val="20"/>
                <w:szCs w:val="20"/>
                <w:color w:val="auto"/>
              </w:rPr>
            </w:pPr>
            <w:r>
              <w:rPr>
                <w:rFonts w:ascii="Arial" w:cs="Arial" w:eastAsia="Arial" w:hAnsi="Arial"/>
                <w:sz w:val="12"/>
                <w:szCs w:val="12"/>
                <w:color w:val="auto"/>
              </w:rPr>
              <w:t>Net increase in cash and cash equivalents</w:t>
            </w:r>
          </w:p>
        </w:tc>
        <w:tc>
          <w:tcPr>
            <w:tcW w:w="400" w:type="dxa"/>
            <w:vAlign w:val="bottom"/>
          </w:tcPr>
          <w:p>
            <w:pPr>
              <w:spacing w:after="0"/>
              <w:rPr>
                <w:sz w:val="12"/>
                <w:szCs w:val="12"/>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2"/>
                <w:szCs w:val="12"/>
                <w:color w:val="auto"/>
              </w:rPr>
              <w:t>(128,957)</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131,128</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tcPr>
          <w:p>
            <w:pPr>
              <w:jc w:val="right"/>
              <w:spacing w:after="0"/>
              <w:rPr>
                <w:sz w:val="20"/>
                <w:szCs w:val="20"/>
                <w:color w:val="auto"/>
              </w:rPr>
            </w:pPr>
            <w:r>
              <w:rPr>
                <w:rFonts w:ascii="Arial" w:cs="Arial" w:eastAsia="Arial" w:hAnsi="Arial"/>
                <w:sz w:val="12"/>
                <w:szCs w:val="12"/>
                <w:color w:val="auto"/>
              </w:rPr>
              <w:t>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7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Cash and cash equivalents at beginning of period</w:t>
            </w:r>
          </w:p>
        </w:tc>
        <w:tc>
          <w:tcPr>
            <w:tcW w:w="400" w:type="dxa"/>
            <w:vAlign w:val="bottom"/>
            <w:tcBorders>
              <w:bottom w:val="single" w:sz="8" w:color="auto"/>
            </w:tcBorders>
            <w:shd w:val="clear" w:color="auto" w:fill="CFF0FC"/>
          </w:tcPr>
          <w:p>
            <w:pPr>
              <w:spacing w:after="0"/>
              <w:rPr>
                <w:sz w:val="13"/>
                <w:szCs w:val="13"/>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131,145</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80" w:type="dxa"/>
            <w:vAlign w:val="bottom"/>
            <w:tcBorders>
              <w:bottom w:val="single" w:sz="8" w:color="auto"/>
            </w:tcBorders>
            <w:shd w:val="clear" w:color="auto" w:fill="CFF0FC"/>
          </w:tcPr>
          <w:p>
            <w:pPr>
              <w:spacing w:after="0"/>
              <w:rPr>
                <w:sz w:val="13"/>
                <w:szCs w:val="13"/>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17</w:t>
            </w:r>
          </w:p>
        </w:tc>
        <w:tc>
          <w:tcPr>
            <w:tcW w:w="24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800" w:type="dxa"/>
            <w:vAlign w:val="bottom"/>
            <w:gridSpan w:val="3"/>
          </w:tcPr>
          <w:p>
            <w:pPr>
              <w:spacing w:after="0"/>
              <w:rPr>
                <w:sz w:val="20"/>
                <w:szCs w:val="20"/>
                <w:color w:val="auto"/>
              </w:rPr>
            </w:pPr>
            <w:r>
              <w:rPr>
                <w:rFonts w:ascii="Arial" w:cs="Arial" w:eastAsia="Arial" w:hAnsi="Arial"/>
                <w:sz w:val="12"/>
                <w:szCs w:val="12"/>
                <w:color w:val="auto"/>
              </w:rPr>
              <w:t>Cash and cash equivalents at end of period</w:t>
            </w:r>
          </w:p>
        </w:tc>
        <w:tc>
          <w:tcPr>
            <w:tcW w:w="400" w:type="dxa"/>
            <w:vAlign w:val="bottom"/>
          </w:tcPr>
          <w:p>
            <w:pPr>
              <w:jc w:val="right"/>
              <w:ind w:right="290"/>
              <w:spacing w:after="0"/>
              <w:rPr>
                <w:sz w:val="20"/>
                <w:szCs w:val="20"/>
                <w:color w:val="auto"/>
              </w:rPr>
            </w:pPr>
            <w:r>
              <w:rPr>
                <w:rFonts w:ascii="Arial" w:cs="Arial" w:eastAsia="Arial" w:hAnsi="Arial"/>
                <w:sz w:val="10"/>
                <w:szCs w:val="10"/>
                <w:color w:val="auto"/>
                <w:w w:val="71"/>
              </w:rPr>
              <w:t>$</w:t>
            </w:r>
          </w:p>
        </w:tc>
        <w:tc>
          <w:tcPr>
            <w:tcW w:w="1300" w:type="dxa"/>
            <w:vAlign w:val="bottom"/>
          </w:tcPr>
          <w:p>
            <w:pPr>
              <w:jc w:val="right"/>
              <w:spacing w:after="0"/>
              <w:rPr>
                <w:sz w:val="20"/>
                <w:szCs w:val="20"/>
                <w:color w:val="auto"/>
              </w:rPr>
            </w:pPr>
            <w:r>
              <w:rPr>
                <w:rFonts w:ascii="Arial" w:cs="Arial" w:eastAsia="Arial" w:hAnsi="Arial"/>
                <w:sz w:val="12"/>
                <w:szCs w:val="12"/>
                <w:color w:val="auto"/>
              </w:rPr>
              <w:t>2,188</w:t>
            </w:r>
          </w:p>
        </w:tc>
        <w:tc>
          <w:tcPr>
            <w:tcW w:w="140" w:type="dxa"/>
            <w:vAlign w:val="bottom"/>
          </w:tcPr>
          <w:p>
            <w:pPr>
              <w:spacing w:after="0"/>
              <w:rPr>
                <w:sz w:val="12"/>
                <w:szCs w:val="12"/>
                <w:color w:val="auto"/>
              </w:rPr>
            </w:pPr>
          </w:p>
        </w:tc>
        <w:tc>
          <w:tcPr>
            <w:tcW w:w="680" w:type="dxa"/>
            <w:vAlign w:val="bottom"/>
            <w:gridSpan w:val="2"/>
          </w:tcPr>
          <w:p>
            <w:pPr>
              <w:jc w:val="right"/>
              <w:ind w:right="520"/>
              <w:spacing w:after="0"/>
              <w:rPr>
                <w:sz w:val="20"/>
                <w:szCs w:val="20"/>
                <w:color w:val="auto"/>
              </w:rPr>
            </w:pPr>
            <w:r>
              <w:rPr>
                <w:rFonts w:ascii="Arial" w:cs="Arial" w:eastAsia="Arial" w:hAnsi="Arial"/>
                <w:sz w:val="12"/>
                <w:szCs w:val="12"/>
                <w:color w:val="auto"/>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131,145</w:t>
            </w:r>
          </w:p>
        </w:tc>
        <w:tc>
          <w:tcPr>
            <w:tcW w:w="240" w:type="dxa"/>
            <w:vAlign w:val="bottom"/>
          </w:tcPr>
          <w:p>
            <w:pPr>
              <w:spacing w:after="0"/>
              <w:rPr>
                <w:sz w:val="12"/>
                <w:szCs w:val="12"/>
                <w:color w:val="auto"/>
              </w:rPr>
            </w:pP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1540" w:type="dxa"/>
            <w:vAlign w:val="bottom"/>
          </w:tcPr>
          <w:p>
            <w:pPr>
              <w:jc w:val="right"/>
              <w:spacing w:after="0"/>
              <w:rPr>
                <w:sz w:val="20"/>
                <w:szCs w:val="20"/>
                <w:color w:val="auto"/>
              </w:rPr>
            </w:pPr>
            <w:r>
              <w:rPr>
                <w:rFonts w:ascii="Arial" w:cs="Arial" w:eastAsia="Arial" w:hAnsi="Arial"/>
                <w:sz w:val="12"/>
                <w:szCs w:val="12"/>
                <w:color w:val="auto"/>
              </w:rPr>
              <w:t>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See notes to Consolidated Financial Statements of Uniti Group Inc. included in Financial Statements and Supplementary Data.</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04">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112" w:name="page113"/>
    <w:bookmarkEnd w:id="112"/>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64" w:lineRule="exact"/>
        <w:rPr>
          <w:sz w:val="20"/>
          <w:szCs w:val="20"/>
          <w:color w:val="auto"/>
        </w:rPr>
      </w:pPr>
    </w:p>
    <w:p>
      <w:pPr>
        <w:ind w:left="3960"/>
        <w:spacing w:after="0"/>
        <w:rPr>
          <w:sz w:val="20"/>
          <w:szCs w:val="20"/>
          <w:color w:val="auto"/>
        </w:rPr>
      </w:pPr>
      <w:r>
        <w:rPr>
          <w:rFonts w:ascii="Arial" w:cs="Arial" w:eastAsia="Arial" w:hAnsi="Arial"/>
          <w:sz w:val="12"/>
          <w:szCs w:val="12"/>
          <w:b w:val="1"/>
          <w:bCs w:val="1"/>
          <w:color w:val="auto"/>
        </w:rPr>
        <w:t>Uniti Group Inc.</w:t>
      </w:r>
    </w:p>
    <w:p>
      <w:pPr>
        <w:spacing w:after="0" w:line="19" w:lineRule="exact"/>
        <w:rPr>
          <w:sz w:val="20"/>
          <w:szCs w:val="20"/>
          <w:color w:val="auto"/>
        </w:rPr>
      </w:pPr>
    </w:p>
    <w:p>
      <w:pPr>
        <w:ind w:left="4480"/>
        <w:spacing w:after="0"/>
        <w:rPr>
          <w:sz w:val="20"/>
          <w:szCs w:val="20"/>
          <w:color w:val="auto"/>
        </w:rPr>
      </w:pPr>
      <w:r>
        <w:rPr>
          <w:rFonts w:ascii="Arial" w:cs="Arial" w:eastAsia="Arial" w:hAnsi="Arial"/>
          <w:sz w:val="12"/>
          <w:szCs w:val="12"/>
          <w:b w:val="1"/>
          <w:bCs w:val="1"/>
          <w:color w:val="auto"/>
        </w:rPr>
        <w:t>Schedule I – Condensed Financial Information of</w:t>
      </w:r>
    </w:p>
    <w:p>
      <w:pPr>
        <w:spacing w:after="0" w:line="6" w:lineRule="exact"/>
        <w:rPr>
          <w:sz w:val="20"/>
          <w:szCs w:val="20"/>
          <w:color w:val="auto"/>
        </w:rPr>
      </w:pPr>
    </w:p>
    <w:p>
      <w:pPr>
        <w:ind w:left="4860"/>
        <w:spacing w:after="0"/>
        <w:rPr>
          <w:sz w:val="20"/>
          <w:szCs w:val="20"/>
          <w:color w:val="auto"/>
        </w:rPr>
      </w:pPr>
      <w:r>
        <w:rPr>
          <w:rFonts w:ascii="Arial" w:cs="Arial" w:eastAsia="Arial" w:hAnsi="Arial"/>
          <w:sz w:val="12"/>
          <w:szCs w:val="12"/>
          <w:b w:val="1"/>
          <w:bCs w:val="1"/>
          <w:color w:val="auto"/>
        </w:rPr>
        <w:t>The Registrant (Parent Company)</w:t>
      </w:r>
    </w:p>
    <w:p>
      <w:pPr>
        <w:spacing w:after="0" w:line="6" w:lineRule="exact"/>
        <w:rPr>
          <w:sz w:val="20"/>
          <w:szCs w:val="20"/>
          <w:color w:val="auto"/>
        </w:rPr>
      </w:pPr>
    </w:p>
    <w:p>
      <w:pPr>
        <w:ind w:left="4680"/>
        <w:spacing w:after="0"/>
        <w:rPr>
          <w:sz w:val="20"/>
          <w:szCs w:val="20"/>
          <w:color w:val="auto"/>
        </w:rPr>
      </w:pPr>
      <w:r>
        <w:rPr>
          <w:rFonts w:ascii="Arial" w:cs="Arial" w:eastAsia="Arial" w:hAnsi="Arial"/>
          <w:sz w:val="12"/>
          <w:szCs w:val="12"/>
          <w:b w:val="1"/>
          <w:bCs w:val="1"/>
          <w:color w:val="auto"/>
        </w:rPr>
        <w:t>Notes to Condensed Financial Statements</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 Background and Basis of Presentation</w:t>
      </w:r>
    </w:p>
    <w:p>
      <w:pPr>
        <w:spacing w:after="0" w:line="82"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Uniti Group Inc.’s parent company financial information has been derived from its consolidated financial statements and should be read in conjunction with the consolidated financial statements and notes of Uniti and its subsidiaries included in Item 8 Financial Statements and Supplementary Data in this Annual Report on Form 10-K.</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2. Subsidiary Transactions</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Investment in Subsidiaries</w:t>
      </w:r>
    </w:p>
    <w:p>
      <w:pPr>
        <w:spacing w:after="0" w:line="78" w:lineRule="exact"/>
        <w:rPr>
          <w:sz w:val="20"/>
          <w:szCs w:val="20"/>
          <w:color w:val="auto"/>
        </w:rPr>
      </w:pPr>
    </w:p>
    <w:p>
      <w:pPr>
        <w:ind w:right="40"/>
        <w:spacing w:after="0" w:line="286" w:lineRule="auto"/>
        <w:rPr>
          <w:sz w:val="20"/>
          <w:szCs w:val="20"/>
          <w:color w:val="auto"/>
        </w:rPr>
      </w:pPr>
      <w:r>
        <w:rPr>
          <w:rFonts w:ascii="Arial" w:cs="Arial" w:eastAsia="Arial" w:hAnsi="Arial"/>
          <w:sz w:val="11"/>
          <w:szCs w:val="11"/>
          <w:color w:val="auto"/>
        </w:rPr>
        <w:t>On May 9, 2017, the parent company completed its previously announced reorganization (the “up-REIT Reorganization”) to operate through a customary “up-REIT” structure, pursuant to which we hold substantially all of our assets through a partnership, Uniti Group LP, a Delaware limited partnership (the “Operating Partnership”), that we control as general partner, with the only significant difference between the financial position and results of operations of the Operating Partnership and its subsidiaries compared to the consolidated financial position and consolidated results of operations of Uniti is that the results for the Operating Partnership and its subsidiaries do not include Uniti’s Consumer CLEC segment, which consists of Talk America Services. Under this structure, the Operating Partnership now holds substantially all of Uniti Group Inc.’s assets, liabilities and results of operations. In connection with the up-REIT Reorganization, the Operating Partnership replaced Uniti Group Inc. and assumed its obligations as an obligor under Uniti Group Inc.’s notes and debt facilities.</w:t>
      </w:r>
    </w:p>
    <w:p>
      <w:pPr>
        <w:spacing w:after="0" w:line="3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Dividends</w:t>
      </w:r>
    </w:p>
    <w:p>
      <w:pPr>
        <w:spacing w:after="0" w:line="78" w:lineRule="exact"/>
        <w:rPr>
          <w:sz w:val="20"/>
          <w:szCs w:val="20"/>
          <w:color w:val="auto"/>
        </w:rPr>
      </w:pPr>
    </w:p>
    <w:p>
      <w:pPr>
        <w:ind w:right="100"/>
        <w:spacing w:after="0" w:line="276" w:lineRule="auto"/>
        <w:rPr>
          <w:sz w:val="20"/>
          <w:szCs w:val="20"/>
          <w:color w:val="auto"/>
        </w:rPr>
      </w:pPr>
      <w:r>
        <w:rPr>
          <w:rFonts w:ascii="Arial" w:cs="Arial" w:eastAsia="Arial" w:hAnsi="Arial"/>
          <w:sz w:val="12"/>
          <w:szCs w:val="12"/>
          <w:color w:val="auto"/>
        </w:rPr>
        <w:t>Cash dividends received from subsidiaries and recorded in Cash Flow from Operating Activities in the Condensed Statement of Cash Flows were $104.9 million for the year ended December 31, 2017. No cash dividends were received for the year ended December 31, 2016 and for the period April 24, 2015 through December 31,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05">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00"/>
          </w:cols>
          <w:pgMar w:left="220" w:top="130" w:right="279"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138"/>
        </w:trPr>
        <w:tc>
          <w:tcPr>
            <w:tcW w:w="4140" w:type="dxa"/>
            <w:vAlign w:val="bottom"/>
            <w:gridSpan w:val="2"/>
          </w:tcPr>
          <w:p>
            <w:pPr>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444"/>
        </w:trPr>
        <w:tc>
          <w:tcPr>
            <w:tcW w:w="840" w:type="dxa"/>
            <w:vAlign w:val="bottom"/>
            <w:tcBorders>
              <w:top w:val="single" w:sz="8" w:color="0000EE"/>
            </w:tcBorders>
          </w:tcPr>
          <w:p>
            <w:pPr>
              <w:spacing w:after="0"/>
              <w:rPr>
                <w:sz w:val="24"/>
                <w:szCs w:val="24"/>
                <w:color w:val="auto"/>
              </w:rPr>
            </w:pPr>
          </w:p>
        </w:tc>
        <w:tc>
          <w:tcPr>
            <w:tcW w:w="3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0" w:type="dxa"/>
            <w:vAlign w:val="bottom"/>
            <w:gridSpan w:val="3"/>
          </w:tcPr>
          <w:p>
            <w:pPr>
              <w:jc w:val="center"/>
              <w:ind w:left="801"/>
              <w:spacing w:after="0"/>
              <w:rPr>
                <w:sz w:val="20"/>
                <w:szCs w:val="20"/>
                <w:color w:val="auto"/>
              </w:rPr>
            </w:pPr>
            <w:r>
              <w:rPr>
                <w:rFonts w:ascii="Arial" w:cs="Arial" w:eastAsia="Arial" w:hAnsi="Arial"/>
                <w:sz w:val="12"/>
                <w:szCs w:val="12"/>
                <w:b w:val="1"/>
                <w:bCs w:val="1"/>
                <w:color w:val="auto"/>
                <w:w w:val="95"/>
              </w:rPr>
              <w:t>Uniti Group Inc.</w:t>
            </w: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44"/>
        </w:trPr>
        <w:tc>
          <w:tcPr>
            <w:tcW w:w="84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60" w:type="dxa"/>
            <w:vAlign w:val="bottom"/>
            <w:gridSpan w:val="5"/>
          </w:tcPr>
          <w:p>
            <w:pPr>
              <w:jc w:val="center"/>
              <w:ind w:right="300"/>
              <w:spacing w:after="0"/>
              <w:rPr>
                <w:sz w:val="20"/>
                <w:szCs w:val="20"/>
                <w:color w:val="auto"/>
              </w:rPr>
            </w:pPr>
            <w:r>
              <w:rPr>
                <w:rFonts w:ascii="Arial" w:cs="Arial" w:eastAsia="Arial" w:hAnsi="Arial"/>
                <w:sz w:val="12"/>
                <w:szCs w:val="12"/>
                <w:b w:val="1"/>
                <w:bCs w:val="1"/>
                <w:color w:val="auto"/>
                <w:w w:val="90"/>
              </w:rPr>
              <w:t>Schedule II – Valuation and Qualifying Accounts</w:t>
            </w: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57"/>
        </w:trPr>
        <w:tc>
          <w:tcPr>
            <w:tcW w:w="84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60" w:type="dxa"/>
            <w:vAlign w:val="bottom"/>
            <w:gridSpan w:val="5"/>
          </w:tcPr>
          <w:p>
            <w:pPr>
              <w:jc w:val="center"/>
              <w:ind w:right="280"/>
              <w:spacing w:after="0"/>
              <w:rPr>
                <w:sz w:val="20"/>
                <w:szCs w:val="20"/>
                <w:color w:val="auto"/>
              </w:rPr>
            </w:pPr>
            <w:r>
              <w:rPr>
                <w:rFonts w:ascii="Arial" w:cs="Arial" w:eastAsia="Arial" w:hAnsi="Arial"/>
                <w:sz w:val="12"/>
                <w:szCs w:val="12"/>
                <w:b w:val="1"/>
                <w:bCs w:val="1"/>
                <w:color w:val="auto"/>
                <w:w w:val="89"/>
              </w:rPr>
              <w:t>(dollars in thousands)</w:t>
            </w: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06"/>
        </w:trPr>
        <w:tc>
          <w:tcPr>
            <w:tcW w:w="840" w:type="dxa"/>
            <w:vAlign w:val="bottom"/>
          </w:tcPr>
          <w:p>
            <w:pPr>
              <w:spacing w:after="0"/>
              <w:rPr>
                <w:sz w:val="24"/>
                <w:szCs w:val="24"/>
                <w:color w:val="auto"/>
              </w:rPr>
            </w:pPr>
          </w:p>
        </w:tc>
        <w:tc>
          <w:tcPr>
            <w:tcW w:w="3300" w:type="dxa"/>
            <w:vAlign w:val="bottom"/>
          </w:tcPr>
          <w:p>
            <w:pPr>
              <w:jc w:val="center"/>
              <w:ind w:right="786"/>
              <w:spacing w:after="0"/>
              <w:rPr>
                <w:sz w:val="20"/>
                <w:szCs w:val="20"/>
                <w:color w:val="auto"/>
              </w:rPr>
            </w:pPr>
            <w:r>
              <w:rPr>
                <w:rFonts w:ascii="Arial" w:cs="Arial" w:eastAsia="Arial" w:hAnsi="Arial"/>
                <w:sz w:val="12"/>
                <w:szCs w:val="12"/>
                <w:color w:val="auto"/>
                <w:w w:val="94"/>
              </w:rPr>
              <w:t>Column A</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gridSpan w:val="2"/>
          </w:tcPr>
          <w:p>
            <w:pPr>
              <w:jc w:val="center"/>
              <w:ind w:right="380"/>
              <w:spacing w:after="0"/>
              <w:rPr>
                <w:sz w:val="20"/>
                <w:szCs w:val="20"/>
                <w:color w:val="auto"/>
              </w:rPr>
            </w:pPr>
            <w:r>
              <w:rPr>
                <w:rFonts w:ascii="Arial" w:cs="Arial" w:eastAsia="Arial" w:hAnsi="Arial"/>
                <w:sz w:val="12"/>
                <w:szCs w:val="12"/>
                <w:color w:val="auto"/>
                <w:w w:val="94"/>
              </w:rPr>
              <w:t>Column B</w:t>
            </w:r>
          </w:p>
        </w:tc>
        <w:tc>
          <w:tcPr>
            <w:tcW w:w="200" w:type="dxa"/>
            <w:vAlign w:val="bottom"/>
          </w:tcPr>
          <w:p>
            <w:pPr>
              <w:spacing w:after="0"/>
              <w:rPr>
                <w:sz w:val="24"/>
                <w:szCs w:val="24"/>
                <w:color w:val="auto"/>
              </w:rPr>
            </w:pPr>
          </w:p>
        </w:tc>
        <w:tc>
          <w:tcPr>
            <w:tcW w:w="1600" w:type="dxa"/>
            <w:vAlign w:val="bottom"/>
            <w:gridSpan w:val="3"/>
          </w:tcPr>
          <w:p>
            <w:pPr>
              <w:jc w:val="center"/>
              <w:ind w:left="364"/>
              <w:spacing w:after="0"/>
              <w:rPr>
                <w:sz w:val="20"/>
                <w:szCs w:val="20"/>
                <w:color w:val="auto"/>
              </w:rPr>
            </w:pPr>
            <w:r>
              <w:rPr>
                <w:rFonts w:ascii="Arial" w:cs="Arial" w:eastAsia="Arial" w:hAnsi="Arial"/>
                <w:sz w:val="12"/>
                <w:szCs w:val="12"/>
                <w:color w:val="auto"/>
                <w:w w:val="93"/>
              </w:rPr>
              <w:t>Column C</w:t>
            </w: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2"/>
                <w:szCs w:val="12"/>
                <w:color w:val="auto"/>
              </w:rPr>
              <w:t>Column D</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2"/>
                <w:szCs w:val="12"/>
                <w:color w:val="auto"/>
                <w:w w:val="91"/>
              </w:rPr>
              <w:t>Column E</w:t>
            </w:r>
          </w:p>
        </w:tc>
        <w:tc>
          <w:tcPr>
            <w:tcW w:w="20" w:type="dxa"/>
            <w:vAlign w:val="bottom"/>
          </w:tcPr>
          <w:p>
            <w:pPr>
              <w:spacing w:after="0"/>
              <w:rPr>
                <w:sz w:val="24"/>
                <w:szCs w:val="24"/>
                <w:color w:val="auto"/>
              </w:rPr>
            </w:pPr>
          </w:p>
        </w:tc>
      </w:tr>
      <w:tr>
        <w:trPr>
          <w:trHeight w:val="151"/>
        </w:trPr>
        <w:tc>
          <w:tcPr>
            <w:tcW w:w="840" w:type="dxa"/>
            <w:vAlign w:val="bottom"/>
            <w:tcBorders>
              <w:top w:val="single" w:sz="8" w:color="auto"/>
            </w:tcBorders>
          </w:tcPr>
          <w:p>
            <w:pPr>
              <w:spacing w:after="0"/>
              <w:rPr>
                <w:sz w:val="13"/>
                <w:szCs w:val="13"/>
                <w:color w:val="auto"/>
              </w:rPr>
            </w:pPr>
          </w:p>
        </w:tc>
        <w:tc>
          <w:tcPr>
            <w:tcW w:w="33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600" w:type="dxa"/>
            <w:vAlign w:val="bottom"/>
            <w:tcBorders>
              <w:top w:val="single" w:sz="8" w:color="auto"/>
              <w:bottom w:val="single" w:sz="8" w:color="auto"/>
            </w:tcBorders>
            <w:gridSpan w:val="3"/>
          </w:tcPr>
          <w:p>
            <w:pPr>
              <w:jc w:val="center"/>
              <w:ind w:left="364"/>
              <w:spacing w:after="0"/>
              <w:rPr>
                <w:sz w:val="20"/>
                <w:szCs w:val="20"/>
                <w:color w:val="auto"/>
              </w:rPr>
            </w:pPr>
            <w:r>
              <w:rPr>
                <w:rFonts w:ascii="Arial" w:cs="Arial" w:eastAsia="Arial" w:hAnsi="Arial"/>
                <w:sz w:val="10"/>
                <w:szCs w:val="10"/>
                <w:color w:val="auto"/>
                <w:w w:val="92"/>
              </w:rPr>
              <w:t>Additions</w:t>
            </w:r>
          </w:p>
        </w:tc>
        <w:tc>
          <w:tcPr>
            <w:tcW w:w="620" w:type="dxa"/>
            <w:vAlign w:val="bottom"/>
            <w:tcBorders>
              <w:top w:val="single" w:sz="8" w:color="auto"/>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85"/>
        </w:trPr>
        <w:tc>
          <w:tcPr>
            <w:tcW w:w="840" w:type="dxa"/>
            <w:vAlign w:val="bottom"/>
          </w:tcPr>
          <w:p>
            <w:pPr>
              <w:spacing w:after="0"/>
              <w:rPr>
                <w:sz w:val="7"/>
                <w:szCs w:val="7"/>
                <w:color w:val="auto"/>
              </w:rPr>
            </w:pPr>
          </w:p>
        </w:tc>
        <w:tc>
          <w:tcPr>
            <w:tcW w:w="33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13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60" w:type="dxa"/>
            <w:vAlign w:val="bottom"/>
            <w:gridSpan w:val="2"/>
          </w:tcPr>
          <w:p>
            <w:pPr>
              <w:jc w:val="right"/>
              <w:ind w:right="520"/>
              <w:spacing w:after="0" w:line="85" w:lineRule="exact"/>
              <w:rPr>
                <w:sz w:val="20"/>
                <w:szCs w:val="20"/>
                <w:color w:val="auto"/>
              </w:rPr>
            </w:pPr>
            <w:r>
              <w:rPr>
                <w:rFonts w:ascii="Arial" w:cs="Arial" w:eastAsia="Arial" w:hAnsi="Arial"/>
                <w:sz w:val="8"/>
                <w:szCs w:val="8"/>
                <w:color w:val="auto"/>
              </w:rPr>
              <w:t>Charged to Cost</w:t>
            </w:r>
          </w:p>
        </w:tc>
        <w:tc>
          <w:tcPr>
            <w:tcW w:w="4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112"/>
        </w:trPr>
        <w:tc>
          <w:tcPr>
            <w:tcW w:w="840" w:type="dxa"/>
            <w:vAlign w:val="bottom"/>
          </w:tcPr>
          <w:p>
            <w:pPr>
              <w:spacing w:after="0"/>
              <w:rPr>
                <w:sz w:val="9"/>
                <w:szCs w:val="9"/>
                <w:color w:val="auto"/>
              </w:rPr>
            </w:pPr>
          </w:p>
        </w:tc>
        <w:tc>
          <w:tcPr>
            <w:tcW w:w="3300" w:type="dxa"/>
            <w:vAlign w:val="bottom"/>
          </w:tcPr>
          <w:p>
            <w:pPr>
              <w:jc w:val="center"/>
              <w:ind w:right="806"/>
              <w:spacing w:after="0" w:line="112" w:lineRule="exact"/>
              <w:rPr>
                <w:sz w:val="20"/>
                <w:szCs w:val="20"/>
                <w:color w:val="auto"/>
              </w:rPr>
            </w:pPr>
            <w:r>
              <w:rPr>
                <w:rFonts w:ascii="Arial" w:cs="Arial" w:eastAsia="Arial" w:hAnsi="Arial"/>
                <w:sz w:val="10"/>
                <w:szCs w:val="10"/>
                <w:color w:val="auto"/>
                <w:w w:val="87"/>
              </w:rPr>
              <w:t>Description</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0" w:type="dxa"/>
            <w:vAlign w:val="bottom"/>
            <w:gridSpan w:val="2"/>
          </w:tcPr>
          <w:p>
            <w:pPr>
              <w:jc w:val="center"/>
              <w:ind w:right="360"/>
              <w:spacing w:after="0" w:line="112" w:lineRule="exact"/>
              <w:rPr>
                <w:sz w:val="20"/>
                <w:szCs w:val="20"/>
                <w:color w:val="auto"/>
              </w:rPr>
            </w:pPr>
            <w:r>
              <w:rPr>
                <w:rFonts w:ascii="Arial" w:cs="Arial" w:eastAsia="Arial" w:hAnsi="Arial"/>
                <w:sz w:val="10"/>
                <w:szCs w:val="10"/>
                <w:color w:val="auto"/>
                <w:w w:val="87"/>
              </w:rPr>
              <w:t>Balance at Beginning of Period</w:t>
            </w:r>
          </w:p>
        </w:tc>
        <w:tc>
          <w:tcPr>
            <w:tcW w:w="200" w:type="dxa"/>
            <w:vAlign w:val="bottom"/>
          </w:tcPr>
          <w:p>
            <w:pPr>
              <w:spacing w:after="0"/>
              <w:rPr>
                <w:sz w:val="9"/>
                <w:szCs w:val="9"/>
                <w:color w:val="auto"/>
              </w:rPr>
            </w:pPr>
          </w:p>
        </w:tc>
        <w:tc>
          <w:tcPr>
            <w:tcW w:w="1160" w:type="dxa"/>
            <w:vAlign w:val="bottom"/>
            <w:gridSpan w:val="2"/>
          </w:tcPr>
          <w:p>
            <w:pPr>
              <w:jc w:val="right"/>
              <w:ind w:right="560"/>
              <w:spacing w:after="0" w:line="112" w:lineRule="exact"/>
              <w:rPr>
                <w:sz w:val="20"/>
                <w:szCs w:val="20"/>
                <w:color w:val="auto"/>
              </w:rPr>
            </w:pPr>
            <w:r>
              <w:rPr>
                <w:rFonts w:ascii="Arial" w:cs="Arial" w:eastAsia="Arial" w:hAnsi="Arial"/>
                <w:sz w:val="10"/>
                <w:szCs w:val="10"/>
                <w:color w:val="auto"/>
                <w:w w:val="91"/>
              </w:rPr>
              <w:t>and Expenses</w:t>
            </w:r>
          </w:p>
        </w:tc>
        <w:tc>
          <w:tcPr>
            <w:tcW w:w="1340" w:type="dxa"/>
            <w:vAlign w:val="bottom"/>
            <w:gridSpan w:val="3"/>
          </w:tcPr>
          <w:p>
            <w:pPr>
              <w:spacing w:after="0" w:line="112" w:lineRule="exact"/>
              <w:rPr>
                <w:sz w:val="20"/>
                <w:szCs w:val="20"/>
                <w:color w:val="auto"/>
              </w:rPr>
            </w:pPr>
            <w:r>
              <w:rPr>
                <w:rFonts w:ascii="Arial" w:cs="Arial" w:eastAsia="Arial" w:hAnsi="Arial"/>
                <w:sz w:val="10"/>
                <w:szCs w:val="10"/>
                <w:color w:val="auto"/>
              </w:rPr>
              <w:t>Charged to Other Accounts</w:t>
            </w:r>
          </w:p>
        </w:tc>
        <w:tc>
          <w:tcPr>
            <w:tcW w:w="240" w:type="dxa"/>
            <w:vAlign w:val="bottom"/>
          </w:tcPr>
          <w:p>
            <w:pPr>
              <w:spacing w:after="0"/>
              <w:rPr>
                <w:sz w:val="9"/>
                <w:szCs w:val="9"/>
                <w:color w:val="auto"/>
              </w:rPr>
            </w:pPr>
          </w:p>
        </w:tc>
        <w:tc>
          <w:tcPr>
            <w:tcW w:w="1260" w:type="dxa"/>
            <w:vAlign w:val="bottom"/>
            <w:gridSpan w:val="2"/>
          </w:tcPr>
          <w:p>
            <w:pPr>
              <w:jc w:val="right"/>
              <w:ind w:right="620"/>
              <w:spacing w:after="0" w:line="112" w:lineRule="exact"/>
              <w:rPr>
                <w:sz w:val="20"/>
                <w:szCs w:val="20"/>
                <w:color w:val="auto"/>
              </w:rPr>
            </w:pPr>
            <w:r>
              <w:rPr>
                <w:rFonts w:ascii="Arial" w:cs="Arial" w:eastAsia="Arial" w:hAnsi="Arial"/>
                <w:sz w:val="10"/>
                <w:szCs w:val="10"/>
                <w:color w:val="auto"/>
              </w:rPr>
              <w:t>Deductions</w:t>
            </w:r>
          </w:p>
        </w:tc>
        <w:tc>
          <w:tcPr>
            <w:tcW w:w="120" w:type="dxa"/>
            <w:vAlign w:val="bottom"/>
          </w:tcPr>
          <w:p>
            <w:pPr>
              <w:spacing w:after="0"/>
              <w:rPr>
                <w:sz w:val="9"/>
                <w:szCs w:val="9"/>
                <w:color w:val="auto"/>
              </w:rPr>
            </w:pPr>
          </w:p>
        </w:tc>
        <w:tc>
          <w:tcPr>
            <w:tcW w:w="1160" w:type="dxa"/>
            <w:vAlign w:val="bottom"/>
            <w:gridSpan w:val="3"/>
          </w:tcPr>
          <w:p>
            <w:pPr>
              <w:jc w:val="center"/>
              <w:ind w:right="120"/>
              <w:spacing w:after="0" w:line="112" w:lineRule="exact"/>
              <w:rPr>
                <w:sz w:val="20"/>
                <w:szCs w:val="20"/>
                <w:color w:val="auto"/>
              </w:rPr>
            </w:pPr>
            <w:r>
              <w:rPr>
                <w:rFonts w:ascii="Arial" w:cs="Arial" w:eastAsia="Arial" w:hAnsi="Arial"/>
                <w:sz w:val="10"/>
                <w:szCs w:val="10"/>
                <w:color w:val="auto"/>
                <w:w w:val="86"/>
              </w:rPr>
              <w:t>Balance at End of Period</w:t>
            </w:r>
          </w:p>
        </w:tc>
        <w:tc>
          <w:tcPr>
            <w:tcW w:w="20" w:type="dxa"/>
            <w:vAlign w:val="bottom"/>
          </w:tcPr>
          <w:p>
            <w:pPr>
              <w:spacing w:after="0"/>
              <w:rPr>
                <w:sz w:val="9"/>
                <w:szCs w:val="9"/>
                <w:color w:val="auto"/>
              </w:rPr>
            </w:pPr>
          </w:p>
        </w:tc>
      </w:tr>
      <w:tr>
        <w:trPr>
          <w:trHeight w:val="151"/>
        </w:trPr>
        <w:tc>
          <w:tcPr>
            <w:tcW w:w="414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2"/>
                <w:szCs w:val="12"/>
                <w:color w:val="auto"/>
              </w:rPr>
              <w:t>Valuation allowance for deferred tax assets:</w:t>
            </w:r>
          </w:p>
        </w:tc>
        <w:tc>
          <w:tcPr>
            <w:tcW w:w="1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1320" w:type="dxa"/>
            <w:vAlign w:val="bottom"/>
            <w:tcBorders>
              <w:top w:val="single" w:sz="8" w:color="auto"/>
            </w:tcBorders>
            <w:shd w:val="clear" w:color="auto" w:fill="CFF0FC"/>
          </w:tcPr>
          <w:p>
            <w:pPr>
              <w:spacing w:after="0"/>
              <w:rPr>
                <w:sz w:val="13"/>
                <w:szCs w:val="13"/>
                <w:color w:val="auto"/>
              </w:rPr>
            </w:pPr>
          </w:p>
        </w:tc>
        <w:tc>
          <w:tcPr>
            <w:tcW w:w="28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spacing w:after="0"/>
              <w:rPr>
                <w:sz w:val="13"/>
                <w:szCs w:val="13"/>
                <w:color w:val="auto"/>
              </w:rPr>
            </w:pPr>
          </w:p>
        </w:tc>
        <w:tc>
          <w:tcPr>
            <w:tcW w:w="280" w:type="dxa"/>
            <w:vAlign w:val="bottom"/>
            <w:tcBorders>
              <w:top w:val="single" w:sz="8" w:color="CFF0FC"/>
            </w:tcBorders>
            <w:shd w:val="clear" w:color="auto" w:fill="CFF0FC"/>
          </w:tcPr>
          <w:p>
            <w:pPr>
              <w:spacing w:after="0"/>
              <w:rPr>
                <w:sz w:val="13"/>
                <w:szCs w:val="13"/>
                <w:color w:val="auto"/>
              </w:rPr>
            </w:pPr>
          </w:p>
        </w:tc>
        <w:tc>
          <w:tcPr>
            <w:tcW w:w="440" w:type="dxa"/>
            <w:vAlign w:val="bottom"/>
            <w:tcBorders>
              <w:top w:val="single" w:sz="8" w:color="auto"/>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spacing w:after="0"/>
              <w:rPr>
                <w:sz w:val="13"/>
                <w:szCs w:val="13"/>
                <w:color w:val="auto"/>
              </w:rPr>
            </w:pPr>
          </w:p>
        </w:tc>
        <w:tc>
          <w:tcPr>
            <w:tcW w:w="28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auto"/>
            </w:tcBorders>
            <w:shd w:val="clear" w:color="auto" w:fill="CFF0FC"/>
          </w:tcPr>
          <w:p>
            <w:pPr>
              <w:spacing w:after="0"/>
              <w:rPr>
                <w:sz w:val="13"/>
                <w:szCs w:val="13"/>
                <w:color w:val="auto"/>
              </w:rPr>
            </w:pPr>
          </w:p>
        </w:tc>
        <w:tc>
          <w:tcPr>
            <w:tcW w:w="1100" w:type="dxa"/>
            <w:vAlign w:val="bottom"/>
            <w:tcBorders>
              <w:top w:val="single" w:sz="8" w:color="auto"/>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4140" w:type="dxa"/>
            <w:vAlign w:val="bottom"/>
            <w:gridSpan w:val="2"/>
          </w:tcPr>
          <w:p>
            <w:pPr>
              <w:ind w:left="160"/>
              <w:spacing w:after="0"/>
              <w:rPr>
                <w:sz w:val="20"/>
                <w:szCs w:val="20"/>
                <w:color w:val="auto"/>
              </w:rPr>
            </w:pPr>
            <w:r>
              <w:rPr>
                <w:rFonts w:ascii="Arial" w:cs="Arial" w:eastAsia="Arial" w:hAnsi="Arial"/>
                <w:sz w:val="12"/>
                <w:szCs w:val="12"/>
                <w:color w:val="auto"/>
              </w:rPr>
              <w:t>Year Ended December 31, 2017</w:t>
            </w:r>
          </w:p>
        </w:tc>
        <w:tc>
          <w:tcPr>
            <w:tcW w:w="26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320" w:type="dxa"/>
            <w:vAlign w:val="bottom"/>
          </w:tcPr>
          <w:p>
            <w:pPr>
              <w:jc w:val="right"/>
              <w:spacing w:after="0"/>
              <w:rPr>
                <w:sz w:val="20"/>
                <w:szCs w:val="20"/>
                <w:color w:val="auto"/>
              </w:rPr>
            </w:pPr>
            <w:r>
              <w:rPr>
                <w:rFonts w:ascii="Arial" w:cs="Arial" w:eastAsia="Arial" w:hAnsi="Arial"/>
                <w:sz w:val="12"/>
                <w:szCs w:val="12"/>
                <w:color w:val="auto"/>
              </w:rPr>
              <w:t>8,176</w:t>
            </w:r>
          </w:p>
        </w:tc>
        <w:tc>
          <w:tcPr>
            <w:tcW w:w="280" w:type="dxa"/>
            <w:vAlign w:val="bottom"/>
          </w:tcPr>
          <w:p>
            <w:pPr>
              <w:spacing w:after="0"/>
              <w:rPr>
                <w:sz w:val="14"/>
                <w:szCs w:val="14"/>
                <w:color w:val="auto"/>
              </w:rPr>
            </w:pP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4"/>
                <w:szCs w:val="14"/>
                <w:color w:val="auto"/>
              </w:rPr>
            </w:pPr>
          </w:p>
        </w:tc>
        <w:tc>
          <w:tcPr>
            <w:tcW w:w="440" w:type="dxa"/>
            <w:vAlign w:val="bottom"/>
          </w:tcPr>
          <w:p>
            <w:pPr>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4"/>
                <w:szCs w:val="14"/>
                <w:color w:val="auto"/>
              </w:rPr>
            </w:pP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120"/>
              <w:spacing w:after="0"/>
              <w:rPr>
                <w:sz w:val="20"/>
                <w:szCs w:val="20"/>
                <w:color w:val="auto"/>
              </w:rPr>
            </w:pPr>
            <w:r>
              <w:rPr>
                <w:rFonts w:ascii="Arial" w:cs="Arial" w:eastAsia="Arial" w:hAnsi="Arial"/>
                <w:sz w:val="12"/>
                <w:szCs w:val="12"/>
                <w:color w:val="auto"/>
              </w:rPr>
              <w:t>(8,176)</w:t>
            </w:r>
          </w:p>
        </w:tc>
        <w:tc>
          <w:tcPr>
            <w:tcW w:w="280" w:type="dxa"/>
            <w:vAlign w:val="bottom"/>
            <w:gridSpan w:val="2"/>
          </w:tcPr>
          <w:p>
            <w:pPr>
              <w:jc w:val="right"/>
              <w:ind w:right="52"/>
              <w:spacing w:after="0"/>
              <w:rPr>
                <w:sz w:val="20"/>
                <w:szCs w:val="20"/>
                <w:color w:val="auto"/>
              </w:rPr>
            </w:pPr>
            <w:r>
              <w:rPr>
                <w:rFonts w:ascii="Arial" w:cs="Arial" w:eastAsia="Arial" w:hAnsi="Arial"/>
                <w:sz w:val="12"/>
                <w:szCs w:val="12"/>
                <w:color w:val="auto"/>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414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Year Ended December 31, 2016</w:t>
            </w:r>
          </w:p>
        </w:tc>
        <w:tc>
          <w:tcPr>
            <w:tcW w:w="26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80" w:type="dxa"/>
            <w:vAlign w:val="bottom"/>
            <w:shd w:val="clear" w:color="auto" w:fill="CFF0FC"/>
          </w:tcPr>
          <w:p>
            <w:pPr>
              <w:spacing w:after="0"/>
              <w:rPr>
                <w:sz w:val="14"/>
                <w:szCs w:val="14"/>
                <w:color w:val="auto"/>
              </w:rPr>
            </w:pPr>
          </w:p>
        </w:tc>
        <w:tc>
          <w:tcPr>
            <w:tcW w:w="200" w:type="dxa"/>
            <w:vAlign w:val="bottom"/>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8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20"/>
                <w:szCs w:val="20"/>
                <w:color w:val="auto"/>
              </w:rPr>
            </w:pPr>
            <w:r>
              <w:rPr>
                <w:rFonts w:ascii="Arial" w:cs="Arial" w:eastAsia="Arial" w:hAnsi="Arial"/>
                <w:sz w:val="12"/>
                <w:szCs w:val="12"/>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8,176</w:t>
            </w:r>
          </w:p>
        </w:tc>
        <w:tc>
          <w:tcPr>
            <w:tcW w:w="280" w:type="dxa"/>
            <w:vAlign w:val="bottom"/>
            <w:shd w:val="clear" w:color="auto" w:fill="CFF0FC"/>
          </w:tcPr>
          <w:p>
            <w:pPr>
              <w:spacing w:after="0"/>
              <w:rPr>
                <w:sz w:val="14"/>
                <w:szCs w:val="14"/>
                <w:color w:val="auto"/>
              </w:rPr>
            </w:pPr>
          </w:p>
        </w:tc>
        <w:tc>
          <w:tcPr>
            <w:tcW w:w="240" w:type="dxa"/>
            <w:vAlign w:val="bottom"/>
            <w:shd w:val="clear" w:color="auto" w:fill="CFF0FC"/>
          </w:tcPr>
          <w:p>
            <w:pPr>
              <w:jc w:val="right"/>
              <w:ind w:right="130"/>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FF0FC"/>
          </w:tcPr>
          <w:p>
            <w:pPr>
              <w:spacing w:after="0"/>
              <w:rPr>
                <w:sz w:val="14"/>
                <w:szCs w:val="14"/>
                <w:color w:val="auto"/>
              </w:rPr>
            </w:pPr>
          </w:p>
        </w:tc>
        <w:tc>
          <w:tcPr>
            <w:tcW w:w="280" w:type="dxa"/>
            <w:vAlign w:val="bottom"/>
            <w:gridSpan w:val="2"/>
            <w:shd w:val="clear" w:color="auto" w:fill="CFF0FC"/>
          </w:tcPr>
          <w:p>
            <w:pPr>
              <w:jc w:val="right"/>
              <w:ind w:right="52"/>
              <w:spacing w:after="0"/>
              <w:rPr>
                <w:sz w:val="20"/>
                <w:szCs w:val="20"/>
                <w:color w:val="auto"/>
              </w:rPr>
            </w:pPr>
            <w:r>
              <w:rPr>
                <w:rFonts w:ascii="Arial" w:cs="Arial" w:eastAsia="Arial" w:hAnsi="Arial"/>
                <w:sz w:val="12"/>
                <w:szCs w:val="12"/>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8,176</w:t>
            </w:r>
          </w:p>
        </w:tc>
        <w:tc>
          <w:tcPr>
            <w:tcW w:w="12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4140" w:type="dxa"/>
            <w:vAlign w:val="bottom"/>
            <w:gridSpan w:val="2"/>
          </w:tcPr>
          <w:p>
            <w:pPr>
              <w:ind w:left="160"/>
              <w:spacing w:after="0"/>
              <w:rPr>
                <w:sz w:val="20"/>
                <w:szCs w:val="20"/>
                <w:color w:val="auto"/>
              </w:rPr>
            </w:pPr>
            <w:r>
              <w:rPr>
                <w:rFonts w:ascii="Arial" w:cs="Arial" w:eastAsia="Arial" w:hAnsi="Arial"/>
                <w:sz w:val="12"/>
                <w:szCs w:val="12"/>
                <w:color w:val="auto"/>
              </w:rPr>
              <w:t>Period from April 24 - December 31, 2015</w:t>
            </w:r>
          </w:p>
        </w:tc>
        <w:tc>
          <w:tcPr>
            <w:tcW w:w="26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320" w:type="dxa"/>
            <w:vAlign w:val="bottom"/>
          </w:tcPr>
          <w:p>
            <w:pPr>
              <w:jc w:val="right"/>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4"/>
                <w:szCs w:val="14"/>
                <w:color w:val="auto"/>
              </w:rPr>
            </w:pP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4"/>
                <w:szCs w:val="14"/>
                <w:color w:val="auto"/>
              </w:rPr>
            </w:pPr>
          </w:p>
        </w:tc>
        <w:tc>
          <w:tcPr>
            <w:tcW w:w="440" w:type="dxa"/>
            <w:vAlign w:val="bottom"/>
          </w:tcPr>
          <w:p>
            <w:pPr>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4"/>
                <w:szCs w:val="14"/>
                <w:color w:val="auto"/>
              </w:rPr>
            </w:pP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280" w:type="dxa"/>
            <w:vAlign w:val="bottom"/>
            <w:gridSpan w:val="2"/>
          </w:tcPr>
          <w:p>
            <w:pPr>
              <w:jc w:val="right"/>
              <w:ind w:right="52"/>
              <w:spacing w:after="0"/>
              <w:rPr>
                <w:sz w:val="20"/>
                <w:szCs w:val="20"/>
                <w:color w:val="auto"/>
              </w:rPr>
            </w:pPr>
            <w:r>
              <w:rPr>
                <w:rFonts w:ascii="Arial" w:cs="Arial" w:eastAsia="Arial" w:hAnsi="Arial"/>
                <w:sz w:val="12"/>
                <w:szCs w:val="12"/>
                <w:color w:val="auto"/>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414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Allowance for Doubtful Accounts</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4140" w:type="dxa"/>
            <w:vAlign w:val="bottom"/>
            <w:gridSpan w:val="2"/>
          </w:tcPr>
          <w:p>
            <w:pPr>
              <w:ind w:left="160"/>
              <w:spacing w:after="0"/>
              <w:rPr>
                <w:sz w:val="20"/>
                <w:szCs w:val="20"/>
                <w:color w:val="auto"/>
              </w:rPr>
            </w:pPr>
            <w:r>
              <w:rPr>
                <w:rFonts w:ascii="Arial" w:cs="Arial" w:eastAsia="Arial" w:hAnsi="Arial"/>
                <w:sz w:val="12"/>
                <w:szCs w:val="12"/>
                <w:color w:val="auto"/>
              </w:rPr>
              <w:t>Year Ended December 31, 2017</w:t>
            </w:r>
          </w:p>
        </w:tc>
        <w:tc>
          <w:tcPr>
            <w:tcW w:w="26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320" w:type="dxa"/>
            <w:vAlign w:val="bottom"/>
          </w:tcPr>
          <w:p>
            <w:pPr>
              <w:jc w:val="right"/>
              <w:spacing w:after="0"/>
              <w:rPr>
                <w:sz w:val="20"/>
                <w:szCs w:val="20"/>
                <w:color w:val="auto"/>
              </w:rPr>
            </w:pPr>
            <w:r>
              <w:rPr>
                <w:rFonts w:ascii="Arial" w:cs="Arial" w:eastAsia="Arial" w:hAnsi="Arial"/>
                <w:sz w:val="12"/>
                <w:szCs w:val="12"/>
                <w:color w:val="auto"/>
              </w:rPr>
              <w:t>1,352</w:t>
            </w:r>
          </w:p>
        </w:tc>
        <w:tc>
          <w:tcPr>
            <w:tcW w:w="280" w:type="dxa"/>
            <w:vAlign w:val="bottom"/>
          </w:tcPr>
          <w:p>
            <w:pPr>
              <w:spacing w:after="0"/>
              <w:rPr>
                <w:sz w:val="14"/>
                <w:szCs w:val="14"/>
                <w:color w:val="auto"/>
              </w:rPr>
            </w:pP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(86)</w:t>
            </w:r>
          </w:p>
        </w:tc>
        <w:tc>
          <w:tcPr>
            <w:tcW w:w="440" w:type="dxa"/>
            <w:vAlign w:val="bottom"/>
          </w:tcPr>
          <w:p>
            <w:pPr>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45</w:t>
            </w:r>
          </w:p>
        </w:tc>
        <w:tc>
          <w:tcPr>
            <w:tcW w:w="280" w:type="dxa"/>
            <w:vAlign w:val="bottom"/>
          </w:tcPr>
          <w:p>
            <w:pPr>
              <w:spacing w:after="0"/>
              <w:rPr>
                <w:sz w:val="14"/>
                <w:szCs w:val="14"/>
                <w:color w:val="auto"/>
              </w:rPr>
            </w:pP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120"/>
              <w:spacing w:after="0"/>
              <w:rPr>
                <w:sz w:val="20"/>
                <w:szCs w:val="20"/>
                <w:color w:val="auto"/>
              </w:rPr>
            </w:pPr>
            <w:r>
              <w:rPr>
                <w:rFonts w:ascii="Arial" w:cs="Arial" w:eastAsia="Arial" w:hAnsi="Arial"/>
                <w:sz w:val="12"/>
                <w:szCs w:val="12"/>
                <w:color w:val="auto"/>
              </w:rPr>
              <w:t>(300)</w:t>
            </w:r>
          </w:p>
        </w:tc>
        <w:tc>
          <w:tcPr>
            <w:tcW w:w="280" w:type="dxa"/>
            <w:vAlign w:val="bottom"/>
            <w:gridSpan w:val="2"/>
          </w:tcPr>
          <w:p>
            <w:pPr>
              <w:jc w:val="right"/>
              <w:ind w:right="52"/>
              <w:spacing w:after="0"/>
              <w:rPr>
                <w:sz w:val="20"/>
                <w:szCs w:val="20"/>
                <w:color w:val="auto"/>
              </w:rPr>
            </w:pPr>
            <w:r>
              <w:rPr>
                <w:rFonts w:ascii="Arial" w:cs="Arial" w:eastAsia="Arial" w:hAnsi="Arial"/>
                <w:sz w:val="12"/>
                <w:szCs w:val="12"/>
                <w:color w:val="auto"/>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1,011</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414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Year Ended December 31, 2016</w:t>
            </w:r>
          </w:p>
        </w:tc>
        <w:tc>
          <w:tcPr>
            <w:tcW w:w="26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80" w:type="dxa"/>
            <w:vAlign w:val="bottom"/>
            <w:shd w:val="clear" w:color="auto" w:fill="CFF0FC"/>
          </w:tcPr>
          <w:p>
            <w:pPr>
              <w:spacing w:after="0"/>
              <w:rPr>
                <w:sz w:val="14"/>
                <w:szCs w:val="14"/>
                <w:color w:val="auto"/>
              </w:rPr>
            </w:pPr>
          </w:p>
        </w:tc>
        <w:tc>
          <w:tcPr>
            <w:tcW w:w="200" w:type="dxa"/>
            <w:vAlign w:val="bottom"/>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1,352</w:t>
            </w:r>
          </w:p>
        </w:tc>
        <w:tc>
          <w:tcPr>
            <w:tcW w:w="28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20"/>
                <w:szCs w:val="20"/>
                <w:color w:val="auto"/>
              </w:rPr>
            </w:pPr>
            <w:r>
              <w:rPr>
                <w:rFonts w:ascii="Arial" w:cs="Arial" w:eastAsia="Arial" w:hAnsi="Arial"/>
                <w:sz w:val="12"/>
                <w:szCs w:val="12"/>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80" w:type="dxa"/>
            <w:vAlign w:val="bottom"/>
            <w:shd w:val="clear" w:color="auto" w:fill="CFF0FC"/>
          </w:tcPr>
          <w:p>
            <w:pPr>
              <w:spacing w:after="0"/>
              <w:rPr>
                <w:sz w:val="14"/>
                <w:szCs w:val="14"/>
                <w:color w:val="auto"/>
              </w:rPr>
            </w:pPr>
          </w:p>
        </w:tc>
        <w:tc>
          <w:tcPr>
            <w:tcW w:w="240" w:type="dxa"/>
            <w:vAlign w:val="bottom"/>
            <w:shd w:val="clear" w:color="auto" w:fill="CFF0FC"/>
          </w:tcPr>
          <w:p>
            <w:pPr>
              <w:jc w:val="right"/>
              <w:ind w:right="130"/>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FF0FC"/>
          </w:tcPr>
          <w:p>
            <w:pPr>
              <w:spacing w:after="0"/>
              <w:rPr>
                <w:sz w:val="14"/>
                <w:szCs w:val="14"/>
                <w:color w:val="auto"/>
              </w:rPr>
            </w:pPr>
          </w:p>
        </w:tc>
        <w:tc>
          <w:tcPr>
            <w:tcW w:w="280" w:type="dxa"/>
            <w:vAlign w:val="bottom"/>
            <w:gridSpan w:val="2"/>
            <w:shd w:val="clear" w:color="auto" w:fill="CFF0FC"/>
          </w:tcPr>
          <w:p>
            <w:pPr>
              <w:jc w:val="right"/>
              <w:ind w:right="52"/>
              <w:spacing w:after="0"/>
              <w:rPr>
                <w:sz w:val="20"/>
                <w:szCs w:val="20"/>
                <w:color w:val="auto"/>
              </w:rPr>
            </w:pPr>
            <w:r>
              <w:rPr>
                <w:rFonts w:ascii="Arial" w:cs="Arial" w:eastAsia="Arial" w:hAnsi="Arial"/>
                <w:sz w:val="12"/>
                <w:szCs w:val="12"/>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1,352</w:t>
            </w:r>
          </w:p>
        </w:tc>
        <w:tc>
          <w:tcPr>
            <w:tcW w:w="12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4140" w:type="dxa"/>
            <w:vAlign w:val="bottom"/>
            <w:gridSpan w:val="2"/>
          </w:tcPr>
          <w:p>
            <w:pPr>
              <w:ind w:left="160"/>
              <w:spacing w:after="0"/>
              <w:rPr>
                <w:sz w:val="20"/>
                <w:szCs w:val="20"/>
                <w:color w:val="auto"/>
              </w:rPr>
            </w:pPr>
            <w:r>
              <w:rPr>
                <w:rFonts w:ascii="Arial" w:cs="Arial" w:eastAsia="Arial" w:hAnsi="Arial"/>
                <w:sz w:val="12"/>
                <w:szCs w:val="12"/>
                <w:color w:val="auto"/>
              </w:rPr>
              <w:t>Period from April 24 - December 31, 2015</w:t>
            </w:r>
          </w:p>
        </w:tc>
        <w:tc>
          <w:tcPr>
            <w:tcW w:w="26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320" w:type="dxa"/>
            <w:vAlign w:val="bottom"/>
          </w:tcPr>
          <w:p>
            <w:pPr>
              <w:jc w:val="right"/>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4"/>
                <w:szCs w:val="14"/>
                <w:color w:val="auto"/>
              </w:rPr>
            </w:pP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4"/>
                <w:szCs w:val="14"/>
                <w:color w:val="auto"/>
              </w:rPr>
            </w:pPr>
          </w:p>
        </w:tc>
        <w:tc>
          <w:tcPr>
            <w:tcW w:w="440" w:type="dxa"/>
            <w:vAlign w:val="bottom"/>
          </w:tcPr>
          <w:p>
            <w:pPr>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4"/>
                <w:szCs w:val="14"/>
                <w:color w:val="auto"/>
              </w:rPr>
            </w:pP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280" w:type="dxa"/>
            <w:vAlign w:val="bottom"/>
            <w:gridSpan w:val="2"/>
          </w:tcPr>
          <w:p>
            <w:pPr>
              <w:jc w:val="right"/>
              <w:ind w:right="52"/>
              <w:spacing w:after="0"/>
              <w:rPr>
                <w:sz w:val="20"/>
                <w:szCs w:val="20"/>
                <w:color w:val="auto"/>
              </w:rPr>
            </w:pPr>
            <w:r>
              <w:rPr>
                <w:rFonts w:ascii="Arial" w:cs="Arial" w:eastAsia="Arial" w:hAnsi="Arial"/>
                <w:sz w:val="12"/>
                <w:szCs w:val="12"/>
                <w:color w:val="auto"/>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721"/>
        </w:trPr>
        <w:tc>
          <w:tcPr>
            <w:tcW w:w="8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gridSpan w:val="2"/>
          </w:tcPr>
          <w:p>
            <w:pPr>
              <w:jc w:val="center"/>
              <w:ind w:left="1021"/>
              <w:spacing w:after="0"/>
              <w:rPr>
                <w:sz w:val="20"/>
                <w:szCs w:val="20"/>
                <w:color w:val="auto"/>
              </w:rPr>
            </w:pPr>
            <w:r>
              <w:rPr>
                <w:rFonts w:ascii="Arial" w:cs="Arial" w:eastAsia="Arial" w:hAnsi="Arial"/>
                <w:sz w:val="12"/>
                <w:szCs w:val="12"/>
                <w:color w:val="auto"/>
                <w:w w:val="85"/>
              </w:rPr>
              <w:t>S-5</w:t>
            </w: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2"/>
        </w:trPr>
        <w:tc>
          <w:tcPr>
            <w:tcW w:w="840" w:type="dxa"/>
            <w:vAlign w:val="bottom"/>
            <w:tcBorders>
              <w:bottom w:val="single" w:sz="8" w:color="9A9A9A"/>
            </w:tcBorders>
          </w:tcPr>
          <w:p>
            <w:pPr>
              <w:spacing w:after="0"/>
              <w:rPr>
                <w:sz w:val="6"/>
                <w:szCs w:val="6"/>
                <w:color w:val="auto"/>
              </w:rPr>
            </w:pPr>
          </w:p>
        </w:tc>
        <w:tc>
          <w:tcPr>
            <w:tcW w:w="330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32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44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7280275</wp:posOffset>
            </wp:positionH>
            <wp:positionV relativeFrom="paragraph">
              <wp:posOffset>-23495</wp:posOffset>
            </wp:positionV>
            <wp:extent cx="31115" cy="3683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06">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07">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0"/>
          </w:cols>
          <w:pgMar w:left="220" w:top="119" w:right="179" w:bottom="1440" w:gutter="0" w:footer="0" w:header="0"/>
        </w:sectPr>
      </w:pPr>
    </w:p>
    <w:bookmarkStart w:id="114" w:name="page115"/>
    <w:bookmarkEnd w:id="114"/>
    <w:p>
      <w:pPr>
        <w:ind w:left="4"/>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74" w:lineRule="exact"/>
        <w:rPr>
          <w:sz w:val="20"/>
          <w:szCs w:val="20"/>
          <w:color w:val="auto"/>
        </w:rPr>
      </w:pPr>
    </w:p>
    <w:p>
      <w:pPr>
        <w:jc w:val="center"/>
        <w:ind w:right="-3"/>
        <w:spacing w:after="0"/>
        <w:rPr>
          <w:sz w:val="20"/>
          <w:szCs w:val="20"/>
          <w:color w:val="auto"/>
        </w:rPr>
      </w:pPr>
      <w:r>
        <w:rPr>
          <w:rFonts w:ascii="Arial" w:cs="Arial" w:eastAsia="Arial" w:hAnsi="Arial"/>
          <w:sz w:val="12"/>
          <w:szCs w:val="12"/>
          <w:b w:val="1"/>
          <w:bCs w:val="1"/>
          <w:color w:val="auto"/>
        </w:rPr>
        <w:t>Uniti Group Inc.</w:t>
      </w:r>
    </w:p>
    <w:p>
      <w:pPr>
        <w:spacing w:after="0" w:line="19" w:lineRule="exact"/>
        <w:rPr>
          <w:sz w:val="20"/>
          <w:szCs w:val="20"/>
          <w:color w:val="auto"/>
        </w:rPr>
      </w:pPr>
    </w:p>
    <w:p>
      <w:pPr>
        <w:jc w:val="center"/>
        <w:ind w:right="-3"/>
        <w:spacing w:after="0"/>
        <w:rPr>
          <w:sz w:val="20"/>
          <w:szCs w:val="20"/>
          <w:color w:val="auto"/>
        </w:rPr>
      </w:pPr>
      <w:r>
        <w:rPr>
          <w:rFonts w:ascii="Arial" w:cs="Arial" w:eastAsia="Arial" w:hAnsi="Arial"/>
          <w:sz w:val="12"/>
          <w:szCs w:val="12"/>
          <w:b w:val="1"/>
          <w:bCs w:val="1"/>
          <w:color w:val="auto"/>
        </w:rPr>
        <w:t>Schedule III – Real Estate Investments and Accumulated Depreciation</w:t>
      </w:r>
    </w:p>
    <w:p>
      <w:pPr>
        <w:spacing w:after="0" w:line="6" w:lineRule="exact"/>
        <w:rPr>
          <w:sz w:val="20"/>
          <w:szCs w:val="20"/>
          <w:color w:val="auto"/>
        </w:rPr>
      </w:pPr>
    </w:p>
    <w:p>
      <w:pPr>
        <w:jc w:val="center"/>
        <w:ind w:right="-3"/>
        <w:spacing w:after="0"/>
        <w:rPr>
          <w:sz w:val="20"/>
          <w:szCs w:val="20"/>
          <w:color w:val="auto"/>
        </w:rPr>
      </w:pPr>
      <w:r>
        <w:rPr>
          <w:rFonts w:ascii="Arial" w:cs="Arial" w:eastAsia="Arial" w:hAnsi="Arial"/>
          <w:sz w:val="12"/>
          <w:szCs w:val="12"/>
          <w:b w:val="1"/>
          <w:bCs w:val="1"/>
          <w:color w:val="auto"/>
        </w:rPr>
        <w:t>As of December 31, 2017</w:t>
      </w:r>
    </w:p>
    <w:p>
      <w:pPr>
        <w:spacing w:after="0" w:line="6" w:lineRule="exact"/>
        <w:rPr>
          <w:sz w:val="20"/>
          <w:szCs w:val="20"/>
          <w:color w:val="auto"/>
        </w:rPr>
      </w:pPr>
    </w:p>
    <w:p>
      <w:pPr>
        <w:jc w:val="center"/>
        <w:ind w:right="-3"/>
        <w:spacing w:after="0"/>
        <w:rPr>
          <w:sz w:val="20"/>
          <w:szCs w:val="20"/>
          <w:color w:val="auto"/>
        </w:rPr>
      </w:pPr>
      <w:r>
        <w:rPr>
          <w:rFonts w:ascii="Arial" w:cs="Arial" w:eastAsia="Arial" w:hAnsi="Arial"/>
          <w:sz w:val="12"/>
          <w:szCs w:val="12"/>
          <w:b w:val="1"/>
          <w:bCs w:val="1"/>
          <w:color w:val="auto"/>
        </w:rPr>
        <w:t>(dollars in thousands)</w:t>
      </w:r>
    </w:p>
    <w:p>
      <w:pPr>
        <w:spacing w:after="0" w:line="150" w:lineRule="exact"/>
        <w:rPr>
          <w:sz w:val="20"/>
          <w:szCs w:val="20"/>
          <w:color w:val="auto"/>
        </w:rPr>
      </w:pPr>
    </w:p>
    <w:tbl>
      <w:tblPr>
        <w:tblLayout w:type="fixed"/>
        <w:tblInd w:w="4" w:type="dxa"/>
        <w:tblCellMar>
          <w:top w:w="0" w:type="dxa"/>
          <w:left w:w="0" w:type="dxa"/>
          <w:bottom w:w="0" w:type="dxa"/>
          <w:right w:w="0" w:type="dxa"/>
        </w:tblCellMar>
      </w:tblPr>
      <w:tr>
        <w:trPr>
          <w:trHeight w:val="153"/>
        </w:trPr>
        <w:tc>
          <w:tcPr>
            <w:tcW w:w="860" w:type="dxa"/>
            <w:vAlign w:val="bottom"/>
            <w:tcBorders>
              <w:bottom w:val="single" w:sz="8" w:color="auto"/>
            </w:tcBorders>
          </w:tcPr>
          <w:p>
            <w:pPr>
              <w:ind w:left="260"/>
              <w:spacing w:after="0"/>
              <w:rPr>
                <w:sz w:val="20"/>
                <w:szCs w:val="20"/>
                <w:color w:val="auto"/>
              </w:rPr>
            </w:pPr>
            <w:r>
              <w:rPr>
                <w:rFonts w:ascii="Arial" w:cs="Arial" w:eastAsia="Arial" w:hAnsi="Arial"/>
                <w:sz w:val="12"/>
                <w:szCs w:val="12"/>
                <w:color w:val="auto"/>
              </w:rPr>
              <w:t>Col. A</w:t>
            </w:r>
          </w:p>
        </w:tc>
        <w:tc>
          <w:tcPr>
            <w:tcW w:w="8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ind w:left="160"/>
              <w:spacing w:after="0"/>
              <w:rPr>
                <w:sz w:val="20"/>
                <w:szCs w:val="20"/>
                <w:color w:val="auto"/>
              </w:rPr>
            </w:pPr>
            <w:r>
              <w:rPr>
                <w:rFonts w:ascii="Arial" w:cs="Arial" w:eastAsia="Arial" w:hAnsi="Arial"/>
                <w:sz w:val="12"/>
                <w:szCs w:val="12"/>
                <w:color w:val="auto"/>
              </w:rPr>
              <w:t>Col. B</w:t>
            </w:r>
          </w:p>
        </w:tc>
        <w:tc>
          <w:tcPr>
            <w:tcW w:w="240" w:type="dxa"/>
            <w:vAlign w:val="bottom"/>
          </w:tcPr>
          <w:p>
            <w:pPr>
              <w:spacing w:after="0"/>
              <w:rPr>
                <w:sz w:val="13"/>
                <w:szCs w:val="13"/>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89"/>
              </w:rPr>
              <w:t>Col. C</w:t>
            </w:r>
          </w:p>
        </w:tc>
        <w:tc>
          <w:tcPr>
            <w:tcW w:w="140" w:type="dxa"/>
            <w:vAlign w:val="bottom"/>
          </w:tcPr>
          <w:p>
            <w:pPr>
              <w:spacing w:after="0"/>
              <w:rPr>
                <w:sz w:val="13"/>
                <w:szCs w:val="13"/>
                <w:color w:val="auto"/>
              </w:rPr>
            </w:pPr>
          </w:p>
        </w:tc>
        <w:tc>
          <w:tcPr>
            <w:tcW w:w="1120" w:type="dxa"/>
            <w:vAlign w:val="bottom"/>
            <w:tcBorders>
              <w:bottom w:val="single" w:sz="8" w:color="auto"/>
            </w:tcBorders>
            <w:gridSpan w:val="2"/>
          </w:tcPr>
          <w:p>
            <w:pPr>
              <w:jc w:val="center"/>
              <w:ind w:left="663"/>
              <w:spacing w:after="0"/>
              <w:rPr>
                <w:sz w:val="20"/>
                <w:szCs w:val="20"/>
                <w:color w:val="auto"/>
              </w:rPr>
            </w:pPr>
            <w:r>
              <w:rPr>
                <w:rFonts w:ascii="Arial" w:cs="Arial" w:eastAsia="Arial" w:hAnsi="Arial"/>
                <w:sz w:val="12"/>
                <w:szCs w:val="12"/>
                <w:color w:val="auto"/>
                <w:w w:val="95"/>
              </w:rPr>
              <w:t>Col. D</w:t>
            </w:r>
          </w:p>
        </w:tc>
        <w:tc>
          <w:tcPr>
            <w:tcW w:w="7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81"/>
              <w:spacing w:after="0"/>
              <w:rPr>
                <w:sz w:val="20"/>
                <w:szCs w:val="20"/>
                <w:color w:val="auto"/>
              </w:rPr>
            </w:pPr>
            <w:r>
              <w:rPr>
                <w:rFonts w:ascii="Arial" w:cs="Arial" w:eastAsia="Arial" w:hAnsi="Arial"/>
                <w:sz w:val="12"/>
                <w:szCs w:val="12"/>
                <w:color w:val="auto"/>
                <w:w w:val="97"/>
              </w:rPr>
              <w:t>Col. E</w:t>
            </w:r>
          </w:p>
        </w:tc>
        <w:tc>
          <w:tcPr>
            <w:tcW w:w="2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ind w:right="62"/>
              <w:spacing w:after="0"/>
              <w:rPr>
                <w:sz w:val="20"/>
                <w:szCs w:val="20"/>
                <w:color w:val="auto"/>
              </w:rPr>
            </w:pPr>
            <w:r>
              <w:rPr>
                <w:rFonts w:ascii="Arial" w:cs="Arial" w:eastAsia="Arial" w:hAnsi="Arial"/>
                <w:sz w:val="12"/>
                <w:szCs w:val="12"/>
                <w:color w:val="auto"/>
                <w:w w:val="93"/>
              </w:rPr>
              <w:t>Col. F</w:t>
            </w:r>
          </w:p>
        </w:tc>
        <w:tc>
          <w:tcPr>
            <w:tcW w:w="240" w:type="dxa"/>
            <w:vAlign w:val="bottom"/>
          </w:tcPr>
          <w:p>
            <w:pPr>
              <w:spacing w:after="0"/>
              <w:rPr>
                <w:sz w:val="13"/>
                <w:szCs w:val="13"/>
                <w:color w:val="auto"/>
              </w:rPr>
            </w:pPr>
          </w:p>
        </w:tc>
        <w:tc>
          <w:tcPr>
            <w:tcW w:w="1060" w:type="dxa"/>
            <w:vAlign w:val="bottom"/>
            <w:tcBorders>
              <w:bottom w:val="single" w:sz="8" w:color="auto"/>
            </w:tcBorders>
          </w:tcPr>
          <w:p>
            <w:pPr>
              <w:jc w:val="right"/>
              <w:ind w:right="321"/>
              <w:spacing w:after="0"/>
              <w:rPr>
                <w:sz w:val="20"/>
                <w:szCs w:val="20"/>
                <w:color w:val="auto"/>
              </w:rPr>
            </w:pPr>
            <w:r>
              <w:rPr>
                <w:rFonts w:ascii="Arial" w:cs="Arial" w:eastAsia="Arial" w:hAnsi="Arial"/>
                <w:sz w:val="12"/>
                <w:szCs w:val="12"/>
                <w:color w:val="auto"/>
              </w:rPr>
              <w:t>Col. G</w:t>
            </w:r>
          </w:p>
        </w:tc>
        <w:tc>
          <w:tcPr>
            <w:tcW w:w="140" w:type="dxa"/>
            <w:vAlign w:val="bottom"/>
          </w:tcPr>
          <w:p>
            <w:pPr>
              <w:spacing w:after="0"/>
              <w:rPr>
                <w:sz w:val="13"/>
                <w:szCs w:val="13"/>
                <w:color w:val="auto"/>
              </w:rPr>
            </w:pPr>
          </w:p>
        </w:tc>
        <w:tc>
          <w:tcPr>
            <w:tcW w:w="820" w:type="dxa"/>
            <w:vAlign w:val="bottom"/>
            <w:tcBorders>
              <w:bottom w:val="single" w:sz="8" w:color="auto"/>
            </w:tcBorders>
          </w:tcPr>
          <w:p>
            <w:pPr>
              <w:jc w:val="right"/>
              <w:ind w:right="181"/>
              <w:spacing w:after="0"/>
              <w:rPr>
                <w:sz w:val="20"/>
                <w:szCs w:val="20"/>
                <w:color w:val="auto"/>
              </w:rPr>
            </w:pPr>
            <w:r>
              <w:rPr>
                <w:rFonts w:ascii="Arial" w:cs="Arial" w:eastAsia="Arial" w:hAnsi="Arial"/>
                <w:sz w:val="12"/>
                <w:szCs w:val="12"/>
                <w:color w:val="auto"/>
              </w:rPr>
              <w:t>Col. H</w:t>
            </w:r>
          </w:p>
        </w:tc>
        <w:tc>
          <w:tcPr>
            <w:tcW w:w="140" w:type="dxa"/>
            <w:vAlign w:val="bottom"/>
          </w:tcPr>
          <w:p>
            <w:pPr>
              <w:spacing w:after="0"/>
              <w:rPr>
                <w:sz w:val="13"/>
                <w:szCs w:val="13"/>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9"/>
              </w:rPr>
              <w:t>Col. I</w:t>
            </w:r>
          </w:p>
        </w:tc>
        <w:tc>
          <w:tcPr>
            <w:tcW w:w="0" w:type="dxa"/>
            <w:vAlign w:val="bottom"/>
          </w:tcPr>
          <w:p>
            <w:pPr>
              <w:spacing w:after="0"/>
              <w:rPr>
                <w:sz w:val="1"/>
                <w:szCs w:val="1"/>
                <w:color w:val="auto"/>
              </w:rPr>
            </w:pPr>
          </w:p>
        </w:tc>
      </w:tr>
      <w:tr>
        <w:trPr>
          <w:trHeight w:val="241"/>
        </w:trPr>
        <w:tc>
          <w:tcPr>
            <w:tcW w:w="8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80" w:type="dxa"/>
            <w:vAlign w:val="bottom"/>
            <w:gridSpan w:val="4"/>
          </w:tcPr>
          <w:p>
            <w:pPr>
              <w:jc w:val="center"/>
              <w:ind w:right="160"/>
              <w:spacing w:after="0"/>
              <w:rPr>
                <w:sz w:val="20"/>
                <w:szCs w:val="20"/>
                <w:color w:val="auto"/>
              </w:rPr>
            </w:pPr>
            <w:r>
              <w:rPr>
                <w:rFonts w:ascii="Arial" w:cs="Arial" w:eastAsia="Arial" w:hAnsi="Arial"/>
                <w:sz w:val="10"/>
                <w:szCs w:val="10"/>
                <w:color w:val="auto"/>
                <w:w w:val="86"/>
              </w:rPr>
              <w:t>Cost capitalized subsequent to acquisition</w:t>
            </w:r>
            <w:r>
              <w:rPr>
                <w:rFonts w:ascii="Arial" w:cs="Arial" w:eastAsia="Arial" w:hAnsi="Arial"/>
                <w:sz w:val="8"/>
                <w:szCs w:val="8"/>
                <w:color w:val="auto"/>
                <w:w w:val="86"/>
              </w:rPr>
              <w:t>(1)</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w w:val="88"/>
              </w:rPr>
              <w:t>Life on which Depreciation</w:t>
            </w:r>
          </w:p>
        </w:tc>
        <w:tc>
          <w:tcPr>
            <w:tcW w:w="0" w:type="dxa"/>
            <w:vAlign w:val="bottom"/>
          </w:tcPr>
          <w:p>
            <w:pPr>
              <w:spacing w:after="0"/>
              <w:rPr>
                <w:sz w:val="1"/>
                <w:szCs w:val="1"/>
                <w:color w:val="auto"/>
              </w:rPr>
            </w:pPr>
          </w:p>
        </w:tc>
      </w:tr>
      <w:tr>
        <w:trPr>
          <w:trHeight w:val="108"/>
        </w:trPr>
        <w:tc>
          <w:tcPr>
            <w:tcW w:w="8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(3)</w:t>
            </w:r>
          </w:p>
        </w:tc>
        <w:tc>
          <w:tcPr>
            <w:tcW w:w="1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gridSpan w:val="2"/>
            <w:vMerge w:val="restart"/>
          </w:tcPr>
          <w:p>
            <w:pPr>
              <w:jc w:val="center"/>
              <w:ind w:right="380"/>
              <w:spacing w:after="0"/>
              <w:rPr>
                <w:sz w:val="20"/>
                <w:szCs w:val="20"/>
                <w:color w:val="auto"/>
              </w:rPr>
            </w:pPr>
            <w:r>
              <w:rPr>
                <w:rFonts w:ascii="Arial" w:cs="Arial" w:eastAsia="Arial" w:hAnsi="Arial"/>
                <w:sz w:val="10"/>
                <w:szCs w:val="10"/>
                <w:color w:val="auto"/>
                <w:w w:val="89"/>
              </w:rPr>
              <w:t>Accumulated</w:t>
            </w:r>
          </w:p>
        </w:tc>
        <w:tc>
          <w:tcPr>
            <w:tcW w:w="10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jc w:val="center"/>
              <w:spacing w:after="0" w:line="108" w:lineRule="exact"/>
              <w:rPr>
                <w:sz w:val="20"/>
                <w:szCs w:val="20"/>
                <w:color w:val="auto"/>
              </w:rPr>
            </w:pPr>
            <w:r>
              <w:rPr>
                <w:rFonts w:ascii="Arial" w:cs="Arial" w:eastAsia="Arial" w:hAnsi="Arial"/>
                <w:sz w:val="10"/>
                <w:szCs w:val="10"/>
                <w:color w:val="auto"/>
                <w:w w:val="87"/>
              </w:rPr>
              <w:t>in Latest Income</w:t>
            </w:r>
          </w:p>
        </w:tc>
        <w:tc>
          <w:tcPr>
            <w:tcW w:w="0" w:type="dxa"/>
            <w:vAlign w:val="bottom"/>
          </w:tcPr>
          <w:p>
            <w:pPr>
              <w:spacing w:after="0"/>
              <w:rPr>
                <w:sz w:val="1"/>
                <w:szCs w:val="1"/>
                <w:color w:val="auto"/>
              </w:rPr>
            </w:pPr>
          </w:p>
        </w:tc>
      </w:tr>
      <w:tr>
        <w:trPr>
          <w:trHeight w:val="85"/>
        </w:trPr>
        <w:tc>
          <w:tcPr>
            <w:tcW w:w="8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240" w:type="dxa"/>
            <w:vAlign w:val="bottom"/>
          </w:tcPr>
          <w:p>
            <w:pPr>
              <w:spacing w:after="0"/>
              <w:rPr>
                <w:sz w:val="7"/>
                <w:szCs w:val="7"/>
                <w:color w:val="auto"/>
              </w:rPr>
            </w:pPr>
          </w:p>
        </w:tc>
        <w:tc>
          <w:tcPr>
            <w:tcW w:w="900" w:type="dxa"/>
            <w:vAlign w:val="bottom"/>
          </w:tcPr>
          <w:p>
            <w:pPr>
              <w:jc w:val="center"/>
              <w:spacing w:after="0" w:line="85" w:lineRule="exact"/>
              <w:rPr>
                <w:sz w:val="20"/>
                <w:szCs w:val="20"/>
                <w:color w:val="auto"/>
              </w:rPr>
            </w:pPr>
            <w:r>
              <w:rPr>
                <w:rFonts w:ascii="Arial" w:cs="Arial" w:eastAsia="Arial" w:hAnsi="Arial"/>
                <w:sz w:val="8"/>
                <w:szCs w:val="8"/>
                <w:color w:val="auto"/>
              </w:rPr>
              <w:t>Initial cost to</w:t>
            </w:r>
          </w:p>
        </w:tc>
        <w:tc>
          <w:tcPr>
            <w:tcW w:w="140" w:type="dxa"/>
            <w:vAlign w:val="bottom"/>
          </w:tcPr>
          <w:p>
            <w:pPr>
              <w:spacing w:after="0"/>
              <w:rPr>
                <w:sz w:val="7"/>
                <w:szCs w:val="7"/>
                <w:color w:val="auto"/>
              </w:rPr>
            </w:pPr>
          </w:p>
        </w:tc>
        <w:tc>
          <w:tcPr>
            <w:tcW w:w="96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gridSpan w:val="2"/>
          </w:tcPr>
          <w:p>
            <w:pPr>
              <w:jc w:val="center"/>
              <w:spacing w:after="0" w:line="85" w:lineRule="exact"/>
              <w:rPr>
                <w:sz w:val="20"/>
                <w:szCs w:val="20"/>
                <w:color w:val="auto"/>
              </w:rPr>
            </w:pPr>
            <w:r>
              <w:rPr>
                <w:rFonts w:ascii="Arial" w:cs="Arial" w:eastAsia="Arial" w:hAnsi="Arial"/>
                <w:sz w:val="8"/>
                <w:szCs w:val="8"/>
                <w:color w:val="auto"/>
              </w:rPr>
              <w:t>Gross Amount Carried at</w:t>
            </w: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10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2"/>
        </w:trPr>
        <w:tc>
          <w:tcPr>
            <w:tcW w:w="860" w:type="dxa"/>
            <w:vAlign w:val="bottom"/>
            <w:tcBorders>
              <w:bottom w:val="single" w:sz="8" w:color="auto"/>
            </w:tcBorders>
          </w:tcPr>
          <w:p>
            <w:pPr>
              <w:ind w:left="200"/>
              <w:spacing w:after="0" w:line="112" w:lineRule="exact"/>
              <w:rPr>
                <w:sz w:val="20"/>
                <w:szCs w:val="20"/>
                <w:color w:val="auto"/>
              </w:rPr>
            </w:pPr>
            <w:r>
              <w:rPr>
                <w:rFonts w:ascii="Arial" w:cs="Arial" w:eastAsia="Arial" w:hAnsi="Arial"/>
                <w:sz w:val="10"/>
                <w:szCs w:val="10"/>
                <w:color w:val="auto"/>
              </w:rPr>
              <w:t>Description</w:t>
            </w:r>
          </w:p>
        </w:tc>
        <w:tc>
          <w:tcPr>
            <w:tcW w:w="860" w:type="dxa"/>
            <w:vAlign w:val="bottom"/>
            <w:tcBorders>
              <w:bottom w:val="single" w:sz="8" w:color="CFF0FC"/>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ind w:left="40"/>
              <w:spacing w:after="0" w:line="112" w:lineRule="exact"/>
              <w:rPr>
                <w:sz w:val="20"/>
                <w:szCs w:val="20"/>
                <w:color w:val="auto"/>
              </w:rPr>
            </w:pPr>
            <w:r>
              <w:rPr>
                <w:rFonts w:ascii="Arial" w:cs="Arial" w:eastAsia="Arial" w:hAnsi="Arial"/>
                <w:sz w:val="10"/>
                <w:szCs w:val="10"/>
                <w:color w:val="auto"/>
              </w:rPr>
              <w:t>Encumbrances</w:t>
            </w:r>
          </w:p>
        </w:tc>
        <w:tc>
          <w:tcPr>
            <w:tcW w:w="240" w:type="dxa"/>
            <w:vAlign w:val="bottom"/>
            <w:tcBorders>
              <w:bottom w:val="single" w:sz="8" w:color="CFF0FC"/>
            </w:tcBorders>
          </w:tcPr>
          <w:p>
            <w:pPr>
              <w:spacing w:after="0"/>
              <w:rPr>
                <w:sz w:val="9"/>
                <w:szCs w:val="9"/>
                <w:color w:val="auto"/>
              </w:rPr>
            </w:pPr>
          </w:p>
        </w:tc>
        <w:tc>
          <w:tcPr>
            <w:tcW w:w="900" w:type="dxa"/>
            <w:vAlign w:val="bottom"/>
            <w:tcBorders>
              <w:bottom w:val="single" w:sz="8" w:color="auto"/>
            </w:tcBorders>
          </w:tcPr>
          <w:p>
            <w:pPr>
              <w:jc w:val="center"/>
              <w:spacing w:after="0" w:line="112" w:lineRule="exact"/>
              <w:rPr>
                <w:sz w:val="20"/>
                <w:szCs w:val="20"/>
                <w:color w:val="auto"/>
              </w:rPr>
            </w:pPr>
            <w:r>
              <w:rPr>
                <w:rFonts w:ascii="Arial" w:cs="Arial" w:eastAsia="Arial" w:hAnsi="Arial"/>
                <w:sz w:val="10"/>
                <w:szCs w:val="10"/>
                <w:color w:val="auto"/>
                <w:w w:val="91"/>
              </w:rPr>
              <w:t>company</w:t>
            </w:r>
            <w:r>
              <w:rPr>
                <w:rFonts w:ascii="Arial" w:cs="Arial" w:eastAsia="Arial" w:hAnsi="Arial"/>
                <w:sz w:val="8"/>
                <w:szCs w:val="8"/>
                <w:color w:val="auto"/>
                <w:w w:val="91"/>
              </w:rPr>
              <w:t>(1)</w:t>
            </w:r>
          </w:p>
        </w:tc>
        <w:tc>
          <w:tcPr>
            <w:tcW w:w="140" w:type="dxa"/>
            <w:vAlign w:val="bottom"/>
            <w:tcBorders>
              <w:bottom w:val="single" w:sz="8" w:color="CFF0FC"/>
            </w:tcBorders>
          </w:tcPr>
          <w:p>
            <w:pPr>
              <w:spacing w:after="0"/>
              <w:rPr>
                <w:sz w:val="9"/>
                <w:szCs w:val="9"/>
                <w:color w:val="auto"/>
              </w:rPr>
            </w:pPr>
          </w:p>
        </w:tc>
        <w:tc>
          <w:tcPr>
            <w:tcW w:w="960" w:type="dxa"/>
            <w:vAlign w:val="bottom"/>
            <w:tcBorders>
              <w:bottom w:val="single" w:sz="8" w:color="auto"/>
            </w:tcBorders>
          </w:tcPr>
          <w:p>
            <w:pPr>
              <w:jc w:val="right"/>
              <w:ind w:right="143"/>
              <w:spacing w:after="0" w:line="112" w:lineRule="exact"/>
              <w:rPr>
                <w:sz w:val="20"/>
                <w:szCs w:val="20"/>
                <w:color w:val="auto"/>
              </w:rPr>
            </w:pPr>
            <w:r>
              <w:rPr>
                <w:rFonts w:ascii="Arial" w:cs="Arial" w:eastAsia="Arial" w:hAnsi="Arial"/>
                <w:sz w:val="10"/>
                <w:szCs w:val="10"/>
                <w:color w:val="auto"/>
              </w:rPr>
              <w:t>Improvements</w:t>
            </w:r>
          </w:p>
        </w:tc>
        <w:tc>
          <w:tcPr>
            <w:tcW w:w="160" w:type="dxa"/>
            <w:vAlign w:val="bottom"/>
            <w:tcBorders>
              <w:bottom w:val="single" w:sz="8" w:color="CFF0FC"/>
            </w:tcBorders>
          </w:tcPr>
          <w:p>
            <w:pPr>
              <w:spacing w:after="0"/>
              <w:rPr>
                <w:sz w:val="9"/>
                <w:szCs w:val="9"/>
                <w:color w:val="auto"/>
              </w:rPr>
            </w:pPr>
          </w:p>
        </w:tc>
        <w:tc>
          <w:tcPr>
            <w:tcW w:w="720" w:type="dxa"/>
            <w:vAlign w:val="bottom"/>
            <w:tcBorders>
              <w:bottom w:val="single" w:sz="8" w:color="auto"/>
            </w:tcBorders>
          </w:tcPr>
          <w:p>
            <w:pPr>
              <w:jc w:val="right"/>
              <w:ind w:right="81"/>
              <w:spacing w:after="0" w:line="112" w:lineRule="exact"/>
              <w:rPr>
                <w:sz w:val="20"/>
                <w:szCs w:val="20"/>
                <w:color w:val="auto"/>
              </w:rPr>
            </w:pPr>
            <w:r>
              <w:rPr>
                <w:rFonts w:ascii="Arial" w:cs="Arial" w:eastAsia="Arial" w:hAnsi="Arial"/>
                <w:sz w:val="10"/>
                <w:szCs w:val="10"/>
                <w:color w:val="auto"/>
              </w:rPr>
              <w:t>Carry Costs</w:t>
            </w:r>
          </w:p>
        </w:tc>
        <w:tc>
          <w:tcPr>
            <w:tcW w:w="140" w:type="dxa"/>
            <w:vAlign w:val="bottom"/>
            <w:tcBorders>
              <w:bottom w:val="single" w:sz="8" w:color="CFF0FC"/>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jc w:val="center"/>
              <w:ind w:right="81"/>
              <w:spacing w:after="0" w:line="112" w:lineRule="exact"/>
              <w:rPr>
                <w:sz w:val="20"/>
                <w:szCs w:val="20"/>
                <w:color w:val="auto"/>
              </w:rPr>
            </w:pPr>
            <w:r>
              <w:rPr>
                <w:rFonts w:ascii="Arial" w:cs="Arial" w:eastAsia="Arial" w:hAnsi="Arial"/>
                <w:sz w:val="10"/>
                <w:szCs w:val="10"/>
                <w:color w:val="auto"/>
                <w:w w:val="86"/>
              </w:rPr>
              <w:t>Close of Period</w:t>
            </w:r>
            <w:r>
              <w:rPr>
                <w:rFonts w:ascii="Arial" w:cs="Arial" w:eastAsia="Arial" w:hAnsi="Arial"/>
                <w:sz w:val="8"/>
                <w:szCs w:val="8"/>
                <w:color w:val="auto"/>
                <w:w w:val="86"/>
              </w:rPr>
              <w:t>(5)</w:t>
            </w:r>
          </w:p>
        </w:tc>
        <w:tc>
          <w:tcPr>
            <w:tcW w:w="240" w:type="dxa"/>
            <w:vAlign w:val="bottom"/>
            <w:tcBorders>
              <w:bottom w:val="single" w:sz="8" w:color="CFF0FC"/>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jc w:val="center"/>
              <w:ind w:right="62"/>
              <w:spacing w:after="0" w:line="112" w:lineRule="exact"/>
              <w:rPr>
                <w:sz w:val="20"/>
                <w:szCs w:val="20"/>
                <w:color w:val="auto"/>
              </w:rPr>
            </w:pPr>
            <w:r>
              <w:rPr>
                <w:rFonts w:ascii="Arial" w:cs="Arial" w:eastAsia="Arial" w:hAnsi="Arial"/>
                <w:sz w:val="10"/>
                <w:szCs w:val="10"/>
                <w:color w:val="auto"/>
                <w:w w:val="88"/>
              </w:rPr>
              <w:t>Depreciation</w:t>
            </w:r>
          </w:p>
        </w:tc>
        <w:tc>
          <w:tcPr>
            <w:tcW w:w="240" w:type="dxa"/>
            <w:vAlign w:val="bottom"/>
            <w:tcBorders>
              <w:bottom w:val="single" w:sz="8" w:color="CFF0FC"/>
            </w:tcBorders>
          </w:tcPr>
          <w:p>
            <w:pPr>
              <w:spacing w:after="0"/>
              <w:rPr>
                <w:sz w:val="9"/>
                <w:szCs w:val="9"/>
                <w:color w:val="auto"/>
              </w:rPr>
            </w:pPr>
          </w:p>
        </w:tc>
        <w:tc>
          <w:tcPr>
            <w:tcW w:w="1060" w:type="dxa"/>
            <w:vAlign w:val="bottom"/>
            <w:tcBorders>
              <w:bottom w:val="single" w:sz="8" w:color="auto"/>
            </w:tcBorders>
          </w:tcPr>
          <w:p>
            <w:pPr>
              <w:jc w:val="right"/>
              <w:ind w:right="21"/>
              <w:spacing w:after="0" w:line="112" w:lineRule="exact"/>
              <w:rPr>
                <w:sz w:val="20"/>
                <w:szCs w:val="20"/>
                <w:color w:val="auto"/>
              </w:rPr>
            </w:pPr>
            <w:r>
              <w:rPr>
                <w:rFonts w:ascii="Arial" w:cs="Arial" w:eastAsia="Arial" w:hAnsi="Arial"/>
                <w:sz w:val="10"/>
                <w:szCs w:val="10"/>
                <w:color w:val="auto"/>
                <w:w w:val="95"/>
              </w:rPr>
              <w:t>Date of Construction</w:t>
            </w:r>
            <w:r>
              <w:rPr>
                <w:rFonts w:ascii="Arial" w:cs="Arial" w:eastAsia="Arial" w:hAnsi="Arial"/>
                <w:sz w:val="8"/>
                <w:szCs w:val="8"/>
                <w:color w:val="auto"/>
                <w:w w:val="95"/>
              </w:rPr>
              <w:t>(2)</w:t>
            </w:r>
          </w:p>
        </w:tc>
        <w:tc>
          <w:tcPr>
            <w:tcW w:w="140" w:type="dxa"/>
            <w:vAlign w:val="bottom"/>
            <w:tcBorders>
              <w:bottom w:val="single" w:sz="8" w:color="CFF0FC"/>
            </w:tcBorders>
          </w:tcPr>
          <w:p>
            <w:pPr>
              <w:spacing w:after="0"/>
              <w:rPr>
                <w:sz w:val="9"/>
                <w:szCs w:val="9"/>
                <w:color w:val="auto"/>
              </w:rPr>
            </w:pPr>
          </w:p>
        </w:tc>
        <w:tc>
          <w:tcPr>
            <w:tcW w:w="820" w:type="dxa"/>
            <w:vAlign w:val="bottom"/>
            <w:tcBorders>
              <w:bottom w:val="single" w:sz="8" w:color="auto"/>
            </w:tcBorders>
          </w:tcPr>
          <w:p>
            <w:pPr>
              <w:jc w:val="right"/>
              <w:ind w:right="21"/>
              <w:spacing w:after="0" w:line="112" w:lineRule="exact"/>
              <w:rPr>
                <w:sz w:val="20"/>
                <w:szCs w:val="20"/>
                <w:color w:val="auto"/>
              </w:rPr>
            </w:pPr>
            <w:r>
              <w:rPr>
                <w:rFonts w:ascii="Arial" w:cs="Arial" w:eastAsia="Arial" w:hAnsi="Arial"/>
                <w:sz w:val="10"/>
                <w:szCs w:val="10"/>
                <w:color w:val="auto"/>
                <w:w w:val="98"/>
              </w:rPr>
              <w:t>Date Acquired</w:t>
            </w:r>
            <w:r>
              <w:rPr>
                <w:rFonts w:ascii="Arial" w:cs="Arial" w:eastAsia="Arial" w:hAnsi="Arial"/>
                <w:sz w:val="8"/>
                <w:szCs w:val="8"/>
                <w:color w:val="auto"/>
                <w:w w:val="98"/>
              </w:rPr>
              <w:t>(2)</w:t>
            </w:r>
          </w:p>
        </w:tc>
        <w:tc>
          <w:tcPr>
            <w:tcW w:w="140" w:type="dxa"/>
            <w:vAlign w:val="bottom"/>
            <w:tcBorders>
              <w:bottom w:val="single" w:sz="8" w:color="CFF0FC"/>
            </w:tcBorders>
          </w:tcPr>
          <w:p>
            <w:pPr>
              <w:spacing w:after="0"/>
              <w:rPr>
                <w:sz w:val="9"/>
                <w:szCs w:val="9"/>
                <w:color w:val="auto"/>
              </w:rPr>
            </w:pPr>
          </w:p>
        </w:tc>
        <w:tc>
          <w:tcPr>
            <w:tcW w:w="1080" w:type="dxa"/>
            <w:vAlign w:val="bottom"/>
            <w:tcBorders>
              <w:bottom w:val="single" w:sz="8" w:color="auto"/>
            </w:tcBorders>
          </w:tcPr>
          <w:p>
            <w:pPr>
              <w:jc w:val="center"/>
              <w:spacing w:after="0" w:line="112" w:lineRule="exact"/>
              <w:rPr>
                <w:sz w:val="20"/>
                <w:szCs w:val="20"/>
                <w:color w:val="auto"/>
              </w:rPr>
            </w:pPr>
            <w:r>
              <w:rPr>
                <w:rFonts w:ascii="Arial" w:cs="Arial" w:eastAsia="Arial" w:hAnsi="Arial"/>
                <w:sz w:val="10"/>
                <w:szCs w:val="10"/>
                <w:color w:val="auto"/>
                <w:w w:val="85"/>
              </w:rPr>
              <w:t>Statements is Computed</w:t>
            </w:r>
          </w:p>
        </w:tc>
        <w:tc>
          <w:tcPr>
            <w:tcW w:w="0" w:type="dxa"/>
            <w:vAlign w:val="bottom"/>
          </w:tcPr>
          <w:p>
            <w:pPr>
              <w:spacing w:after="0"/>
              <w:rPr>
                <w:sz w:val="1"/>
                <w:szCs w:val="1"/>
                <w:color w:val="auto"/>
              </w:rPr>
            </w:pPr>
          </w:p>
        </w:tc>
      </w:tr>
      <w:tr>
        <w:trPr>
          <w:trHeight w:val="142"/>
        </w:trPr>
        <w:tc>
          <w:tcPr>
            <w:tcW w:w="172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Land</w:t>
            </w: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FF0FC"/>
          </w:tcPr>
          <w:p>
            <w:pPr>
              <w:ind w:left="620"/>
              <w:spacing w:after="0"/>
              <w:rPr>
                <w:sz w:val="20"/>
                <w:szCs w:val="20"/>
                <w:color w:val="auto"/>
              </w:rPr>
            </w:pPr>
            <w:r>
              <w:rPr>
                <w:rFonts w:ascii="Arial" w:cs="Arial" w:eastAsia="Arial" w:hAnsi="Arial"/>
                <w:sz w:val="12"/>
                <w:szCs w:val="12"/>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w:t>
            </w:r>
          </w:p>
        </w:tc>
        <w:tc>
          <w:tcPr>
            <w:tcW w:w="14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w:t>
            </w:r>
          </w:p>
        </w:tc>
        <w:tc>
          <w:tcPr>
            <w:tcW w:w="16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jc w:val="right"/>
              <w:ind w:right="14"/>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28,269</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jc w:val="right"/>
              <w:ind w:right="10"/>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w:t>
            </w:r>
          </w:p>
        </w:tc>
        <w:tc>
          <w:tcPr>
            <w:tcW w:w="1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w:t>
            </w:r>
          </w:p>
        </w:tc>
        <w:tc>
          <w:tcPr>
            <w:tcW w:w="14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Indefinite</w:t>
            </w:r>
          </w:p>
        </w:tc>
        <w:tc>
          <w:tcPr>
            <w:tcW w:w="0" w:type="dxa"/>
            <w:vAlign w:val="bottom"/>
          </w:tcPr>
          <w:p>
            <w:pPr>
              <w:spacing w:after="0"/>
              <w:rPr>
                <w:sz w:val="1"/>
                <w:szCs w:val="1"/>
                <w:color w:val="auto"/>
              </w:rPr>
            </w:pPr>
          </w:p>
        </w:tc>
      </w:tr>
      <w:tr>
        <w:trPr>
          <w:trHeight w:val="144"/>
        </w:trPr>
        <w:tc>
          <w:tcPr>
            <w:tcW w:w="1720" w:type="dxa"/>
            <w:vAlign w:val="bottom"/>
            <w:gridSpan w:val="2"/>
          </w:tcPr>
          <w:p>
            <w:pPr>
              <w:spacing w:after="0"/>
              <w:rPr>
                <w:sz w:val="20"/>
                <w:szCs w:val="20"/>
                <w:color w:val="auto"/>
              </w:rPr>
            </w:pPr>
            <w:r>
              <w:rPr>
                <w:rFonts w:ascii="Arial" w:cs="Arial" w:eastAsia="Arial" w:hAnsi="Arial"/>
                <w:sz w:val="12"/>
                <w:szCs w:val="12"/>
                <w:color w:val="auto"/>
              </w:rPr>
              <w:t>Building and</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720" w:type="dxa"/>
            <w:vAlign w:val="bottom"/>
            <w:gridSpan w:val="2"/>
          </w:tcPr>
          <w:p>
            <w:pPr>
              <w:spacing w:after="0"/>
              <w:rPr>
                <w:sz w:val="20"/>
                <w:szCs w:val="20"/>
                <w:color w:val="auto"/>
              </w:rPr>
            </w:pPr>
            <w:r>
              <w:rPr>
                <w:rFonts w:ascii="Arial" w:cs="Arial" w:eastAsia="Arial" w:hAnsi="Arial"/>
                <w:sz w:val="12"/>
                <w:szCs w:val="12"/>
                <w:color w:val="auto"/>
              </w:rPr>
              <w:t>improvements</w:t>
            </w:r>
          </w:p>
        </w:tc>
        <w:tc>
          <w:tcPr>
            <w:tcW w:w="100" w:type="dxa"/>
            <w:vAlign w:val="bottom"/>
          </w:tcPr>
          <w:p>
            <w:pPr>
              <w:spacing w:after="0"/>
              <w:rPr>
                <w:sz w:val="13"/>
                <w:szCs w:val="13"/>
                <w:color w:val="auto"/>
              </w:rPr>
            </w:pPr>
          </w:p>
        </w:tc>
        <w:tc>
          <w:tcPr>
            <w:tcW w:w="1000" w:type="dxa"/>
            <w:vAlign w:val="bottom"/>
            <w:gridSpan w:val="2"/>
          </w:tcPr>
          <w:p>
            <w:pPr>
              <w:ind w:left="620"/>
              <w:spacing w:after="0"/>
              <w:rPr>
                <w:sz w:val="20"/>
                <w:szCs w:val="20"/>
                <w:color w:val="auto"/>
              </w:rPr>
            </w:pPr>
            <w:r>
              <w:rPr>
                <w:rFonts w:ascii="Arial" w:cs="Arial" w:eastAsia="Arial" w:hAnsi="Arial"/>
                <w:sz w:val="12"/>
                <w:szCs w:val="12"/>
                <w:color w:val="auto"/>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(1)</w:t>
            </w:r>
          </w:p>
        </w:tc>
        <w:tc>
          <w:tcPr>
            <w:tcW w:w="1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w:t>
            </w:r>
          </w:p>
        </w:tc>
        <w:tc>
          <w:tcPr>
            <w:tcW w:w="1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323,939</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(156,620)</w:t>
            </w:r>
          </w:p>
        </w:tc>
        <w:tc>
          <w:tcPr>
            <w:tcW w:w="1060" w:type="dxa"/>
            <w:vAlign w:val="bottom"/>
          </w:tcPr>
          <w:p>
            <w:pPr>
              <w:jc w:val="right"/>
              <w:spacing w:after="0"/>
              <w:rPr>
                <w:sz w:val="20"/>
                <w:szCs w:val="20"/>
                <w:color w:val="auto"/>
              </w:rPr>
            </w:pPr>
            <w:r>
              <w:rPr>
                <w:rFonts w:ascii="Arial" w:cs="Arial" w:eastAsia="Arial" w:hAnsi="Arial"/>
                <w:sz w:val="12"/>
                <w:szCs w:val="12"/>
                <w:color w:val="auto"/>
              </w:rPr>
              <w:t>(2)</w:t>
            </w:r>
          </w:p>
        </w:tc>
        <w:tc>
          <w:tcPr>
            <w:tcW w:w="1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(2)</w:t>
            </w:r>
          </w:p>
        </w:tc>
        <w:tc>
          <w:tcPr>
            <w:tcW w:w="1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3 - 40 years</w:t>
            </w:r>
          </w:p>
        </w:tc>
        <w:tc>
          <w:tcPr>
            <w:tcW w:w="0" w:type="dxa"/>
            <w:vAlign w:val="bottom"/>
          </w:tcPr>
          <w:p>
            <w:pPr>
              <w:spacing w:after="0"/>
              <w:rPr>
                <w:sz w:val="1"/>
                <w:szCs w:val="1"/>
                <w:color w:val="auto"/>
              </w:rPr>
            </w:pPr>
          </w:p>
        </w:tc>
      </w:tr>
      <w:tr>
        <w:trPr>
          <w:trHeight w:val="153"/>
        </w:trPr>
        <w:tc>
          <w:tcPr>
            <w:tcW w:w="172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Poles</w:t>
            </w:r>
          </w:p>
        </w:tc>
        <w:tc>
          <w:tcPr>
            <w:tcW w:w="10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ind w:left="620"/>
              <w:spacing w:after="0"/>
              <w:rPr>
                <w:sz w:val="20"/>
                <w:szCs w:val="20"/>
                <w:color w:val="auto"/>
              </w:rPr>
            </w:pPr>
            <w:r>
              <w:rPr>
                <w:rFonts w:ascii="Arial" w:cs="Arial" w:eastAsia="Arial" w:hAnsi="Arial"/>
                <w:sz w:val="12"/>
                <w:szCs w:val="12"/>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w:t>
            </w:r>
          </w:p>
        </w:tc>
        <w:tc>
          <w:tcPr>
            <w:tcW w:w="14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w:t>
            </w: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w:t>
            </w: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243,710</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(179,514)</w:t>
            </w:r>
          </w:p>
        </w:tc>
        <w:tc>
          <w:tcPr>
            <w:tcW w:w="10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w:t>
            </w:r>
          </w:p>
        </w:tc>
        <w:tc>
          <w:tcPr>
            <w:tcW w:w="14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w:t>
            </w:r>
          </w:p>
        </w:tc>
        <w:tc>
          <w:tcPr>
            <w:tcW w:w="14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30 years</w:t>
            </w:r>
          </w:p>
        </w:tc>
        <w:tc>
          <w:tcPr>
            <w:tcW w:w="0" w:type="dxa"/>
            <w:vAlign w:val="bottom"/>
          </w:tcPr>
          <w:p>
            <w:pPr>
              <w:spacing w:after="0"/>
              <w:rPr>
                <w:sz w:val="1"/>
                <w:szCs w:val="1"/>
                <w:color w:val="auto"/>
              </w:rPr>
            </w:pPr>
          </w:p>
        </w:tc>
      </w:tr>
      <w:tr>
        <w:trPr>
          <w:trHeight w:val="153"/>
        </w:trPr>
        <w:tc>
          <w:tcPr>
            <w:tcW w:w="1720" w:type="dxa"/>
            <w:vAlign w:val="bottom"/>
            <w:gridSpan w:val="2"/>
          </w:tcPr>
          <w:p>
            <w:pPr>
              <w:spacing w:after="0"/>
              <w:rPr>
                <w:sz w:val="20"/>
                <w:szCs w:val="20"/>
                <w:color w:val="auto"/>
              </w:rPr>
            </w:pPr>
            <w:r>
              <w:rPr>
                <w:rFonts w:ascii="Arial" w:cs="Arial" w:eastAsia="Arial" w:hAnsi="Arial"/>
                <w:sz w:val="12"/>
                <w:szCs w:val="12"/>
                <w:color w:val="auto"/>
              </w:rPr>
              <w:t>Fiber</w:t>
            </w:r>
          </w:p>
        </w:tc>
        <w:tc>
          <w:tcPr>
            <w:tcW w:w="100" w:type="dxa"/>
            <w:vAlign w:val="bottom"/>
          </w:tcPr>
          <w:p>
            <w:pPr>
              <w:spacing w:after="0"/>
              <w:rPr>
                <w:sz w:val="13"/>
                <w:szCs w:val="13"/>
                <w:color w:val="auto"/>
              </w:rPr>
            </w:pPr>
          </w:p>
        </w:tc>
        <w:tc>
          <w:tcPr>
            <w:tcW w:w="1000" w:type="dxa"/>
            <w:vAlign w:val="bottom"/>
            <w:gridSpan w:val="2"/>
          </w:tcPr>
          <w:p>
            <w:pPr>
              <w:ind w:left="620"/>
              <w:spacing w:after="0"/>
              <w:rPr>
                <w:sz w:val="20"/>
                <w:szCs w:val="20"/>
                <w:color w:val="auto"/>
              </w:rPr>
            </w:pPr>
            <w:r>
              <w:rPr>
                <w:rFonts w:ascii="Arial" w:cs="Arial" w:eastAsia="Arial" w:hAnsi="Arial"/>
                <w:sz w:val="12"/>
                <w:szCs w:val="12"/>
                <w:color w:val="auto"/>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(1)</w:t>
            </w:r>
          </w:p>
        </w:tc>
        <w:tc>
          <w:tcPr>
            <w:tcW w:w="1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w:t>
            </w:r>
          </w:p>
        </w:tc>
        <w:tc>
          <w:tcPr>
            <w:tcW w:w="1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2,153,942</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(946,564)</w:t>
            </w:r>
          </w:p>
        </w:tc>
        <w:tc>
          <w:tcPr>
            <w:tcW w:w="1060" w:type="dxa"/>
            <w:vAlign w:val="bottom"/>
          </w:tcPr>
          <w:p>
            <w:pPr>
              <w:jc w:val="right"/>
              <w:spacing w:after="0"/>
              <w:rPr>
                <w:sz w:val="20"/>
                <w:szCs w:val="20"/>
                <w:color w:val="auto"/>
              </w:rPr>
            </w:pPr>
            <w:r>
              <w:rPr>
                <w:rFonts w:ascii="Arial" w:cs="Arial" w:eastAsia="Arial" w:hAnsi="Arial"/>
                <w:sz w:val="12"/>
                <w:szCs w:val="12"/>
                <w:color w:val="auto"/>
              </w:rPr>
              <w:t>(2)</w:t>
            </w:r>
          </w:p>
        </w:tc>
        <w:tc>
          <w:tcPr>
            <w:tcW w:w="1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(2)</w:t>
            </w:r>
          </w:p>
        </w:tc>
        <w:tc>
          <w:tcPr>
            <w:tcW w:w="1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30 years</w:t>
            </w:r>
          </w:p>
        </w:tc>
        <w:tc>
          <w:tcPr>
            <w:tcW w:w="0" w:type="dxa"/>
            <w:vAlign w:val="bottom"/>
          </w:tcPr>
          <w:p>
            <w:pPr>
              <w:spacing w:after="0"/>
              <w:rPr>
                <w:sz w:val="1"/>
                <w:szCs w:val="1"/>
                <w:color w:val="auto"/>
              </w:rPr>
            </w:pPr>
          </w:p>
        </w:tc>
      </w:tr>
      <w:tr>
        <w:trPr>
          <w:trHeight w:val="153"/>
        </w:trPr>
        <w:tc>
          <w:tcPr>
            <w:tcW w:w="172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Equipment</w:t>
            </w:r>
          </w:p>
        </w:tc>
        <w:tc>
          <w:tcPr>
            <w:tcW w:w="10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ind w:left="620"/>
              <w:spacing w:after="0"/>
              <w:rPr>
                <w:sz w:val="20"/>
                <w:szCs w:val="20"/>
                <w:color w:val="auto"/>
              </w:rPr>
            </w:pPr>
            <w:r>
              <w:rPr>
                <w:rFonts w:ascii="Arial" w:cs="Arial" w:eastAsia="Arial" w:hAnsi="Arial"/>
                <w:sz w:val="12"/>
                <w:szCs w:val="12"/>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w:t>
            </w:r>
          </w:p>
        </w:tc>
        <w:tc>
          <w:tcPr>
            <w:tcW w:w="14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w:t>
            </w: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w:t>
            </w: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889</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(36)</w:t>
            </w:r>
          </w:p>
        </w:tc>
        <w:tc>
          <w:tcPr>
            <w:tcW w:w="10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w:t>
            </w:r>
          </w:p>
        </w:tc>
        <w:tc>
          <w:tcPr>
            <w:tcW w:w="14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w:t>
            </w:r>
          </w:p>
        </w:tc>
        <w:tc>
          <w:tcPr>
            <w:tcW w:w="14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5 -7 years</w:t>
            </w:r>
          </w:p>
        </w:tc>
        <w:tc>
          <w:tcPr>
            <w:tcW w:w="0" w:type="dxa"/>
            <w:vAlign w:val="bottom"/>
          </w:tcPr>
          <w:p>
            <w:pPr>
              <w:spacing w:after="0"/>
              <w:rPr>
                <w:sz w:val="1"/>
                <w:szCs w:val="1"/>
                <w:color w:val="auto"/>
              </w:rPr>
            </w:pPr>
          </w:p>
        </w:tc>
      </w:tr>
      <w:tr>
        <w:trPr>
          <w:trHeight w:val="153"/>
        </w:trPr>
        <w:tc>
          <w:tcPr>
            <w:tcW w:w="1720" w:type="dxa"/>
            <w:vAlign w:val="bottom"/>
            <w:gridSpan w:val="2"/>
          </w:tcPr>
          <w:p>
            <w:pPr>
              <w:spacing w:after="0"/>
              <w:rPr>
                <w:sz w:val="20"/>
                <w:szCs w:val="20"/>
                <w:color w:val="auto"/>
              </w:rPr>
            </w:pPr>
            <w:r>
              <w:rPr>
                <w:rFonts w:ascii="Arial" w:cs="Arial" w:eastAsia="Arial" w:hAnsi="Arial"/>
                <w:sz w:val="12"/>
                <w:szCs w:val="12"/>
                <w:color w:val="auto"/>
              </w:rPr>
              <w:t>Copper</w:t>
            </w:r>
          </w:p>
        </w:tc>
        <w:tc>
          <w:tcPr>
            <w:tcW w:w="100" w:type="dxa"/>
            <w:vAlign w:val="bottom"/>
          </w:tcPr>
          <w:p>
            <w:pPr>
              <w:spacing w:after="0"/>
              <w:rPr>
                <w:sz w:val="13"/>
                <w:szCs w:val="13"/>
                <w:color w:val="auto"/>
              </w:rPr>
            </w:pPr>
          </w:p>
        </w:tc>
        <w:tc>
          <w:tcPr>
            <w:tcW w:w="1000" w:type="dxa"/>
            <w:vAlign w:val="bottom"/>
            <w:gridSpan w:val="2"/>
          </w:tcPr>
          <w:p>
            <w:pPr>
              <w:ind w:left="620"/>
              <w:spacing w:after="0"/>
              <w:rPr>
                <w:sz w:val="20"/>
                <w:szCs w:val="20"/>
                <w:color w:val="auto"/>
              </w:rPr>
            </w:pPr>
            <w:r>
              <w:rPr>
                <w:rFonts w:ascii="Arial" w:cs="Arial" w:eastAsia="Arial" w:hAnsi="Arial"/>
                <w:sz w:val="12"/>
                <w:szCs w:val="12"/>
                <w:color w:val="auto"/>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(1)</w:t>
            </w:r>
          </w:p>
        </w:tc>
        <w:tc>
          <w:tcPr>
            <w:tcW w:w="1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w:t>
            </w:r>
          </w:p>
        </w:tc>
        <w:tc>
          <w:tcPr>
            <w:tcW w:w="1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3,656,384</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(3,055,096)</w:t>
            </w:r>
          </w:p>
        </w:tc>
        <w:tc>
          <w:tcPr>
            <w:tcW w:w="1060" w:type="dxa"/>
            <w:vAlign w:val="bottom"/>
          </w:tcPr>
          <w:p>
            <w:pPr>
              <w:jc w:val="right"/>
              <w:spacing w:after="0"/>
              <w:rPr>
                <w:sz w:val="20"/>
                <w:szCs w:val="20"/>
                <w:color w:val="auto"/>
              </w:rPr>
            </w:pPr>
            <w:r>
              <w:rPr>
                <w:rFonts w:ascii="Arial" w:cs="Arial" w:eastAsia="Arial" w:hAnsi="Arial"/>
                <w:sz w:val="12"/>
                <w:szCs w:val="12"/>
                <w:color w:val="auto"/>
              </w:rPr>
              <w:t>(2)</w:t>
            </w:r>
          </w:p>
        </w:tc>
        <w:tc>
          <w:tcPr>
            <w:tcW w:w="1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(2)</w:t>
            </w:r>
          </w:p>
        </w:tc>
        <w:tc>
          <w:tcPr>
            <w:tcW w:w="1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20 years</w:t>
            </w:r>
          </w:p>
        </w:tc>
        <w:tc>
          <w:tcPr>
            <w:tcW w:w="0" w:type="dxa"/>
            <w:vAlign w:val="bottom"/>
          </w:tcPr>
          <w:p>
            <w:pPr>
              <w:spacing w:after="0"/>
              <w:rPr>
                <w:sz w:val="1"/>
                <w:szCs w:val="1"/>
                <w:color w:val="auto"/>
              </w:rPr>
            </w:pPr>
          </w:p>
        </w:tc>
      </w:tr>
      <w:tr>
        <w:trPr>
          <w:trHeight w:val="153"/>
        </w:trPr>
        <w:tc>
          <w:tcPr>
            <w:tcW w:w="172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Conduit</w:t>
            </w:r>
          </w:p>
        </w:tc>
        <w:tc>
          <w:tcPr>
            <w:tcW w:w="10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ind w:left="620"/>
              <w:spacing w:after="0"/>
              <w:rPr>
                <w:sz w:val="20"/>
                <w:szCs w:val="20"/>
                <w:color w:val="auto"/>
              </w:rPr>
            </w:pPr>
            <w:r>
              <w:rPr>
                <w:rFonts w:ascii="Arial" w:cs="Arial" w:eastAsia="Arial" w:hAnsi="Arial"/>
                <w:sz w:val="12"/>
                <w:szCs w:val="12"/>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w:t>
            </w:r>
          </w:p>
        </w:tc>
        <w:tc>
          <w:tcPr>
            <w:tcW w:w="14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w:t>
            </w: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w:t>
            </w: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90,235</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(57,205)</w:t>
            </w:r>
          </w:p>
        </w:tc>
        <w:tc>
          <w:tcPr>
            <w:tcW w:w="10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w:t>
            </w:r>
          </w:p>
        </w:tc>
        <w:tc>
          <w:tcPr>
            <w:tcW w:w="14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w:t>
            </w:r>
          </w:p>
        </w:tc>
        <w:tc>
          <w:tcPr>
            <w:tcW w:w="14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30 years</w:t>
            </w:r>
          </w:p>
        </w:tc>
        <w:tc>
          <w:tcPr>
            <w:tcW w:w="0" w:type="dxa"/>
            <w:vAlign w:val="bottom"/>
          </w:tcPr>
          <w:p>
            <w:pPr>
              <w:spacing w:after="0"/>
              <w:rPr>
                <w:sz w:val="1"/>
                <w:szCs w:val="1"/>
                <w:color w:val="auto"/>
              </w:rPr>
            </w:pPr>
          </w:p>
        </w:tc>
      </w:tr>
      <w:tr>
        <w:trPr>
          <w:trHeight w:val="153"/>
        </w:trPr>
        <w:tc>
          <w:tcPr>
            <w:tcW w:w="1720" w:type="dxa"/>
            <w:vAlign w:val="bottom"/>
            <w:gridSpan w:val="2"/>
          </w:tcPr>
          <w:p>
            <w:pPr>
              <w:spacing w:after="0"/>
              <w:rPr>
                <w:sz w:val="20"/>
                <w:szCs w:val="20"/>
                <w:color w:val="auto"/>
              </w:rPr>
            </w:pPr>
            <w:r>
              <w:rPr>
                <w:rFonts w:ascii="Arial" w:cs="Arial" w:eastAsia="Arial" w:hAnsi="Arial"/>
                <w:sz w:val="12"/>
                <w:szCs w:val="12"/>
                <w:color w:val="auto"/>
              </w:rPr>
              <w:t>Towers</w:t>
            </w:r>
          </w:p>
        </w:tc>
        <w:tc>
          <w:tcPr>
            <w:tcW w:w="100" w:type="dxa"/>
            <w:vAlign w:val="bottom"/>
          </w:tcPr>
          <w:p>
            <w:pPr>
              <w:spacing w:after="0"/>
              <w:rPr>
                <w:sz w:val="13"/>
                <w:szCs w:val="13"/>
                <w:color w:val="auto"/>
              </w:rPr>
            </w:pPr>
          </w:p>
        </w:tc>
        <w:tc>
          <w:tcPr>
            <w:tcW w:w="1000" w:type="dxa"/>
            <w:vAlign w:val="bottom"/>
            <w:gridSpan w:val="2"/>
          </w:tcPr>
          <w:p>
            <w:pPr>
              <w:ind w:left="620"/>
              <w:spacing w:after="0"/>
              <w:rPr>
                <w:sz w:val="20"/>
                <w:szCs w:val="20"/>
                <w:color w:val="auto"/>
              </w:rPr>
            </w:pPr>
            <w:r>
              <w:rPr>
                <w:rFonts w:ascii="Arial" w:cs="Arial" w:eastAsia="Arial" w:hAnsi="Arial"/>
                <w:sz w:val="12"/>
                <w:szCs w:val="12"/>
                <w:color w:val="auto"/>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(1)</w:t>
            </w:r>
          </w:p>
        </w:tc>
        <w:tc>
          <w:tcPr>
            <w:tcW w:w="1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w:t>
            </w:r>
          </w:p>
        </w:tc>
        <w:tc>
          <w:tcPr>
            <w:tcW w:w="1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55,150</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(2,921)</w:t>
            </w:r>
          </w:p>
        </w:tc>
        <w:tc>
          <w:tcPr>
            <w:tcW w:w="1060" w:type="dxa"/>
            <w:vAlign w:val="bottom"/>
          </w:tcPr>
          <w:p>
            <w:pPr>
              <w:jc w:val="right"/>
              <w:spacing w:after="0"/>
              <w:rPr>
                <w:sz w:val="20"/>
                <w:szCs w:val="20"/>
                <w:color w:val="auto"/>
              </w:rPr>
            </w:pPr>
            <w:r>
              <w:rPr>
                <w:rFonts w:ascii="Arial" w:cs="Arial" w:eastAsia="Arial" w:hAnsi="Arial"/>
                <w:sz w:val="12"/>
                <w:szCs w:val="12"/>
                <w:color w:val="auto"/>
              </w:rPr>
              <w:t>(2)</w:t>
            </w:r>
          </w:p>
        </w:tc>
        <w:tc>
          <w:tcPr>
            <w:tcW w:w="1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(2)</w:t>
            </w:r>
          </w:p>
        </w:tc>
        <w:tc>
          <w:tcPr>
            <w:tcW w:w="1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20 years</w:t>
            </w:r>
          </w:p>
        </w:tc>
        <w:tc>
          <w:tcPr>
            <w:tcW w:w="0" w:type="dxa"/>
            <w:vAlign w:val="bottom"/>
          </w:tcPr>
          <w:p>
            <w:pPr>
              <w:spacing w:after="0"/>
              <w:rPr>
                <w:sz w:val="1"/>
                <w:szCs w:val="1"/>
                <w:color w:val="auto"/>
              </w:rPr>
            </w:pPr>
          </w:p>
        </w:tc>
      </w:tr>
      <w:tr>
        <w:trPr>
          <w:trHeight w:val="144"/>
        </w:trPr>
        <w:tc>
          <w:tcPr>
            <w:tcW w:w="172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Real property</w:t>
            </w: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72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interest</w:t>
            </w:r>
          </w:p>
        </w:tc>
        <w:tc>
          <w:tcPr>
            <w:tcW w:w="10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ind w:left="620"/>
              <w:spacing w:after="0"/>
              <w:rPr>
                <w:sz w:val="20"/>
                <w:szCs w:val="20"/>
                <w:color w:val="auto"/>
              </w:rPr>
            </w:pPr>
            <w:r>
              <w:rPr>
                <w:rFonts w:ascii="Arial" w:cs="Arial" w:eastAsia="Arial" w:hAnsi="Arial"/>
                <w:sz w:val="12"/>
                <w:szCs w:val="12"/>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w:t>
            </w:r>
          </w:p>
        </w:tc>
        <w:tc>
          <w:tcPr>
            <w:tcW w:w="14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w:t>
            </w: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w:t>
            </w: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34,580</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(495)</w:t>
            </w:r>
          </w:p>
        </w:tc>
        <w:tc>
          <w:tcPr>
            <w:tcW w:w="10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w:t>
            </w:r>
          </w:p>
        </w:tc>
        <w:tc>
          <w:tcPr>
            <w:tcW w:w="14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w:t>
            </w:r>
          </w:p>
        </w:tc>
        <w:tc>
          <w:tcPr>
            <w:tcW w:w="14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See Note 3</w:t>
            </w:r>
          </w:p>
        </w:tc>
        <w:tc>
          <w:tcPr>
            <w:tcW w:w="0" w:type="dxa"/>
            <w:vAlign w:val="bottom"/>
          </w:tcPr>
          <w:p>
            <w:pPr>
              <w:spacing w:after="0"/>
              <w:rPr>
                <w:sz w:val="1"/>
                <w:szCs w:val="1"/>
                <w:color w:val="auto"/>
              </w:rPr>
            </w:pPr>
          </w:p>
        </w:tc>
      </w:tr>
      <w:tr>
        <w:trPr>
          <w:trHeight w:val="153"/>
        </w:trPr>
        <w:tc>
          <w:tcPr>
            <w:tcW w:w="1720" w:type="dxa"/>
            <w:vAlign w:val="bottom"/>
            <w:gridSpan w:val="2"/>
          </w:tcPr>
          <w:p>
            <w:pPr>
              <w:spacing w:after="0"/>
              <w:rPr>
                <w:sz w:val="20"/>
                <w:szCs w:val="20"/>
                <w:color w:val="auto"/>
              </w:rPr>
            </w:pPr>
            <w:r>
              <w:rPr>
                <w:rFonts w:ascii="Arial" w:cs="Arial" w:eastAsia="Arial" w:hAnsi="Arial"/>
                <w:sz w:val="12"/>
                <w:szCs w:val="12"/>
                <w:color w:val="auto"/>
              </w:rPr>
              <w:t>Other assets</w:t>
            </w:r>
          </w:p>
        </w:tc>
        <w:tc>
          <w:tcPr>
            <w:tcW w:w="100" w:type="dxa"/>
            <w:vAlign w:val="bottom"/>
          </w:tcPr>
          <w:p>
            <w:pPr>
              <w:spacing w:after="0"/>
              <w:rPr>
                <w:sz w:val="13"/>
                <w:szCs w:val="13"/>
                <w:color w:val="auto"/>
              </w:rPr>
            </w:pPr>
          </w:p>
        </w:tc>
        <w:tc>
          <w:tcPr>
            <w:tcW w:w="1000" w:type="dxa"/>
            <w:vAlign w:val="bottom"/>
            <w:gridSpan w:val="2"/>
          </w:tcPr>
          <w:p>
            <w:pPr>
              <w:ind w:left="620"/>
              <w:spacing w:after="0"/>
              <w:rPr>
                <w:sz w:val="20"/>
                <w:szCs w:val="20"/>
                <w:color w:val="auto"/>
              </w:rPr>
            </w:pPr>
            <w:r>
              <w:rPr>
                <w:rFonts w:ascii="Arial" w:cs="Arial" w:eastAsia="Arial" w:hAnsi="Arial"/>
                <w:sz w:val="12"/>
                <w:szCs w:val="12"/>
                <w:color w:val="auto"/>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(1)</w:t>
            </w:r>
          </w:p>
        </w:tc>
        <w:tc>
          <w:tcPr>
            <w:tcW w:w="1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w:t>
            </w:r>
          </w:p>
        </w:tc>
        <w:tc>
          <w:tcPr>
            <w:tcW w:w="1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8,334</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(1,338)</w:t>
            </w:r>
          </w:p>
        </w:tc>
        <w:tc>
          <w:tcPr>
            <w:tcW w:w="1060" w:type="dxa"/>
            <w:vAlign w:val="bottom"/>
          </w:tcPr>
          <w:p>
            <w:pPr>
              <w:jc w:val="right"/>
              <w:spacing w:after="0"/>
              <w:rPr>
                <w:sz w:val="20"/>
                <w:szCs w:val="20"/>
                <w:color w:val="auto"/>
              </w:rPr>
            </w:pPr>
            <w:r>
              <w:rPr>
                <w:rFonts w:ascii="Arial" w:cs="Arial" w:eastAsia="Arial" w:hAnsi="Arial"/>
                <w:sz w:val="12"/>
                <w:szCs w:val="12"/>
                <w:color w:val="auto"/>
              </w:rPr>
              <w:t>(2)</w:t>
            </w:r>
          </w:p>
        </w:tc>
        <w:tc>
          <w:tcPr>
            <w:tcW w:w="1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(2)</w:t>
            </w:r>
          </w:p>
        </w:tc>
        <w:tc>
          <w:tcPr>
            <w:tcW w:w="1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15 - 20 years</w:t>
            </w:r>
          </w:p>
        </w:tc>
        <w:tc>
          <w:tcPr>
            <w:tcW w:w="0" w:type="dxa"/>
            <w:vAlign w:val="bottom"/>
          </w:tcPr>
          <w:p>
            <w:pPr>
              <w:spacing w:after="0"/>
              <w:rPr>
                <w:sz w:val="1"/>
                <w:szCs w:val="1"/>
                <w:color w:val="auto"/>
              </w:rPr>
            </w:pPr>
          </w:p>
        </w:tc>
      </w:tr>
      <w:tr>
        <w:trPr>
          <w:trHeight w:val="144"/>
        </w:trPr>
        <w:tc>
          <w:tcPr>
            <w:tcW w:w="172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Construction in</w:t>
            </w: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72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progress</w:t>
            </w:r>
          </w:p>
        </w:tc>
        <w:tc>
          <w:tcPr>
            <w:tcW w:w="10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ind w:left="620"/>
              <w:spacing w:after="0"/>
              <w:rPr>
                <w:sz w:val="20"/>
                <w:szCs w:val="20"/>
                <w:color w:val="auto"/>
              </w:rPr>
            </w:pPr>
            <w:r>
              <w:rPr>
                <w:rFonts w:ascii="Arial" w:cs="Arial" w:eastAsia="Arial" w:hAnsi="Arial"/>
                <w:sz w:val="12"/>
                <w:szCs w:val="12"/>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w:t>
            </w:r>
          </w:p>
        </w:tc>
        <w:tc>
          <w:tcPr>
            <w:tcW w:w="14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w:t>
            </w: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w:t>
            </w: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8,048</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w:t>
            </w:r>
          </w:p>
        </w:tc>
        <w:tc>
          <w:tcPr>
            <w:tcW w:w="14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w:t>
            </w:r>
          </w:p>
        </w:tc>
        <w:tc>
          <w:tcPr>
            <w:tcW w:w="14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See Note 3</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144" w:hanging="143"/>
        <w:spacing w:after="0"/>
        <w:tabs>
          <w:tab w:leader="none" w:pos="144" w:val="left"/>
        </w:tabs>
        <w:numPr>
          <w:ilvl w:val="0"/>
          <w:numId w:val="23"/>
        </w:numPr>
        <w:rPr>
          <w:rFonts w:ascii="Arial" w:cs="Arial" w:eastAsia="Arial" w:hAnsi="Arial"/>
          <w:sz w:val="10"/>
          <w:szCs w:val="10"/>
          <w:color w:val="auto"/>
        </w:rPr>
      </w:pPr>
      <w:r>
        <w:rPr>
          <w:rFonts w:ascii="Arial" w:cs="Arial" w:eastAsia="Arial" w:hAnsi="Arial"/>
          <w:sz w:val="12"/>
          <w:szCs w:val="12"/>
          <w:color w:val="auto"/>
        </w:rPr>
        <w:t>Given the voluminous nature and variety of our real estate investment assets, this schedule omits columns C and D from the schedule III presentation.</w:t>
      </w:r>
    </w:p>
    <w:p>
      <w:pPr>
        <w:spacing w:after="0" w:line="14" w:lineRule="exact"/>
        <w:rPr>
          <w:rFonts w:ascii="Arial" w:cs="Arial" w:eastAsia="Arial" w:hAnsi="Arial"/>
          <w:sz w:val="10"/>
          <w:szCs w:val="10"/>
          <w:color w:val="auto"/>
        </w:rPr>
      </w:pPr>
    </w:p>
    <w:p>
      <w:pPr>
        <w:ind w:left="144" w:hanging="144"/>
        <w:spacing w:after="0"/>
        <w:tabs>
          <w:tab w:leader="none" w:pos="144" w:val="left"/>
        </w:tabs>
        <w:numPr>
          <w:ilvl w:val="0"/>
          <w:numId w:val="23"/>
        </w:numPr>
        <w:rPr>
          <w:rFonts w:ascii="Arial" w:cs="Arial" w:eastAsia="Arial" w:hAnsi="Arial"/>
          <w:sz w:val="10"/>
          <w:szCs w:val="10"/>
          <w:color w:val="auto"/>
        </w:rPr>
      </w:pPr>
      <w:r>
        <w:rPr>
          <w:rFonts w:ascii="Arial" w:cs="Arial" w:eastAsia="Arial" w:hAnsi="Arial"/>
          <w:sz w:val="12"/>
          <w:szCs w:val="12"/>
          <w:color w:val="auto"/>
        </w:rPr>
        <w:t>Because additions and improvements to our real estate investment assets are ongoing, construction and acquisition dates are not applicable.</w:t>
      </w:r>
    </w:p>
    <w:p>
      <w:pPr>
        <w:spacing w:after="0" w:line="6" w:lineRule="exact"/>
        <w:rPr>
          <w:rFonts w:ascii="Arial" w:cs="Arial" w:eastAsia="Arial" w:hAnsi="Arial"/>
          <w:sz w:val="10"/>
          <w:szCs w:val="10"/>
          <w:color w:val="auto"/>
        </w:rPr>
      </w:pPr>
    </w:p>
    <w:p>
      <w:pPr>
        <w:ind w:left="144" w:hanging="143"/>
        <w:spacing w:after="0"/>
        <w:tabs>
          <w:tab w:leader="none" w:pos="144" w:val="left"/>
        </w:tabs>
        <w:numPr>
          <w:ilvl w:val="0"/>
          <w:numId w:val="23"/>
        </w:numPr>
        <w:rPr>
          <w:rFonts w:ascii="Arial" w:cs="Arial" w:eastAsia="Arial" w:hAnsi="Arial"/>
          <w:sz w:val="10"/>
          <w:szCs w:val="10"/>
          <w:color w:val="auto"/>
        </w:rPr>
      </w:pPr>
      <w:r>
        <w:rPr>
          <w:rFonts w:ascii="Arial" w:cs="Arial" w:eastAsia="Arial" w:hAnsi="Arial"/>
          <w:sz w:val="12"/>
          <w:szCs w:val="12"/>
          <w:color w:val="auto"/>
        </w:rPr>
        <w:t>For the year ended December 31, 2017, the amount of capitalized costs related to the Distribution Systems is as follows (millions):</w:t>
      </w:r>
    </w:p>
    <w:p>
      <w:pPr>
        <w:spacing w:after="0" w:line="141" w:lineRule="exact"/>
        <w:rPr>
          <w:sz w:val="20"/>
          <w:szCs w:val="20"/>
          <w:color w:val="auto"/>
        </w:rPr>
      </w:pPr>
    </w:p>
    <w:p>
      <w:pPr>
        <w:ind w:left="784"/>
        <w:spacing w:after="0"/>
        <w:tabs>
          <w:tab w:leader="none" w:pos="4243" w:val="left"/>
          <w:tab w:leader="none" w:pos="4763" w:val="left"/>
        </w:tabs>
        <w:rPr>
          <w:sz w:val="20"/>
          <w:szCs w:val="20"/>
          <w:color w:val="auto"/>
        </w:rPr>
      </w:pPr>
      <w:r>
        <w:rPr>
          <w:rFonts w:ascii="Arial" w:cs="Arial" w:eastAsia="Arial" w:hAnsi="Arial"/>
          <w:sz w:val="12"/>
          <w:szCs w:val="12"/>
          <w:color w:val="auto"/>
        </w:rPr>
        <w:t>Tenant capital improvements</w:t>
      </w:r>
      <w:r>
        <w:rPr>
          <w:rFonts w:ascii="Arial" w:cs="Arial" w:eastAsia="Arial" w:hAnsi="Arial"/>
          <w:sz w:val="10"/>
          <w:szCs w:val="10"/>
          <w:color w:val="auto"/>
        </w:rPr>
        <w:t>(4)</w:t>
      </w:r>
      <w:r>
        <w:rPr>
          <w:sz w:val="20"/>
          <w:szCs w:val="20"/>
          <w:color w:val="auto"/>
        </w:rPr>
        <w:tab/>
      </w:r>
      <w:r>
        <w:rPr>
          <w:rFonts w:ascii="Arial" w:cs="Arial" w:eastAsia="Arial" w:hAnsi="Arial"/>
          <w:sz w:val="12"/>
          <w:szCs w:val="12"/>
          <w:color w:val="auto"/>
        </w:rPr>
        <w:t>$</w:t>
      </w:r>
      <w:r>
        <w:rPr>
          <w:sz w:val="20"/>
          <w:szCs w:val="20"/>
          <w:color w:val="auto"/>
        </w:rPr>
        <w:tab/>
      </w:r>
      <w:r>
        <w:rPr>
          <w:rFonts w:ascii="Arial" w:cs="Arial" w:eastAsia="Arial" w:hAnsi="Arial"/>
          <w:sz w:val="10"/>
          <w:szCs w:val="10"/>
          <w:color w:val="auto"/>
        </w:rPr>
        <w:t>228.0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2702560</wp:posOffset>
            </wp:positionH>
            <wp:positionV relativeFrom="paragraph">
              <wp:posOffset>9525</wp:posOffset>
            </wp:positionV>
            <wp:extent cx="503555" cy="57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08">
                      <a:extLst>
                        <a:ext uri="{28A0092B-C50C-407E-A947-70E740481C1C}"/>
                      </a:extLst>
                    </a:blip>
                    <a:srcRect/>
                    <a:stretch>
                      <a:fillRect/>
                    </a:stretch>
                  </pic:blipFill>
                  <pic:spPr bwMode="auto">
                    <a:xfrm>
                      <a:off x="0" y="0"/>
                      <a:ext cx="503555" cy="5715"/>
                    </a:xfrm>
                    <a:prstGeom prst="rect">
                      <a:avLst/>
                    </a:prstGeom>
                    <a:noFill/>
                  </pic:spPr>
                </pic:pic>
              </a:graphicData>
            </a:graphic>
          </wp:anchor>
        </w:drawing>
        <w:drawing>
          <wp:anchor simplePos="0" relativeHeight="251657728" behindDoc="1" locked="0" layoutInCell="0" allowOverlap="1">
            <wp:simplePos x="0" y="0"/>
            <wp:positionH relativeFrom="column">
              <wp:posOffset>2702560</wp:posOffset>
            </wp:positionH>
            <wp:positionV relativeFrom="paragraph">
              <wp:posOffset>20955</wp:posOffset>
            </wp:positionV>
            <wp:extent cx="503555" cy="57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09">
                      <a:extLst>
                        <a:ext uri="{28A0092B-C50C-407E-A947-70E740481C1C}"/>
                      </a:extLst>
                    </a:blip>
                    <a:srcRect/>
                    <a:stretch>
                      <a:fillRect/>
                    </a:stretch>
                  </pic:blipFill>
                  <pic:spPr bwMode="auto">
                    <a:xfrm>
                      <a:off x="0" y="0"/>
                      <a:ext cx="503555" cy="5715"/>
                    </a:xfrm>
                    <a:prstGeom prst="rect">
                      <a:avLst/>
                    </a:prstGeom>
                    <a:noFill/>
                  </pic:spPr>
                </pic:pic>
              </a:graphicData>
            </a:graphic>
          </wp:anchor>
        </w:drawing>
      </w:r>
    </w:p>
    <w:p>
      <w:pPr>
        <w:spacing w:after="0" w:line="85" w:lineRule="exact"/>
        <w:rPr>
          <w:sz w:val="20"/>
          <w:szCs w:val="20"/>
          <w:color w:val="auto"/>
        </w:rPr>
      </w:pPr>
    </w:p>
    <w:p>
      <w:pPr>
        <w:ind w:left="224" w:right="200" w:hanging="223"/>
        <w:spacing w:after="0" w:line="276" w:lineRule="auto"/>
        <w:tabs>
          <w:tab w:leader="none" w:pos="148" w:val="left"/>
        </w:tabs>
        <w:numPr>
          <w:ilvl w:val="0"/>
          <w:numId w:val="24"/>
        </w:numPr>
        <w:rPr>
          <w:rFonts w:ascii="Arial" w:cs="Arial" w:eastAsia="Arial" w:hAnsi="Arial"/>
          <w:sz w:val="10"/>
          <w:szCs w:val="10"/>
          <w:color w:val="auto"/>
        </w:rPr>
      </w:pPr>
      <w:r>
        <w:rPr>
          <w:rFonts w:ascii="Arial" w:cs="Arial" w:eastAsia="Arial" w:hAnsi="Arial"/>
          <w:sz w:val="12"/>
          <w:szCs w:val="12"/>
          <w:color w:val="auto"/>
        </w:rPr>
        <w:t>Tenant capital improvements represent, maintenance, repair, overbuild, upgrade or replacements to the leased network, including, without limitation, the replacement of copper distribution systems with fiber distribution systems. We receive non-monetary consideration related to the TCIs as they automatically become our property, and we recognize the cost basis of TCIs that are capital in nature.</w:t>
      </w:r>
    </w:p>
    <w:p>
      <w:pPr>
        <w:spacing w:after="0" w:line="42" w:lineRule="exact"/>
        <w:rPr>
          <w:rFonts w:ascii="Arial" w:cs="Arial" w:eastAsia="Arial" w:hAnsi="Arial"/>
          <w:sz w:val="10"/>
          <w:szCs w:val="10"/>
          <w:color w:val="auto"/>
        </w:rPr>
      </w:pPr>
    </w:p>
    <w:p>
      <w:pPr>
        <w:ind w:left="144" w:hanging="143"/>
        <w:spacing w:after="0"/>
        <w:tabs>
          <w:tab w:leader="none" w:pos="144" w:val="left"/>
        </w:tabs>
        <w:numPr>
          <w:ilvl w:val="0"/>
          <w:numId w:val="24"/>
        </w:numPr>
        <w:rPr>
          <w:rFonts w:ascii="Arial" w:cs="Arial" w:eastAsia="Arial" w:hAnsi="Arial"/>
          <w:sz w:val="10"/>
          <w:szCs w:val="10"/>
          <w:color w:val="auto"/>
        </w:rPr>
      </w:pPr>
      <w:r>
        <w:rPr>
          <w:rFonts w:ascii="Arial" w:cs="Arial" w:eastAsia="Arial" w:hAnsi="Arial"/>
          <w:sz w:val="12"/>
          <w:szCs w:val="12"/>
          <w:color w:val="auto"/>
        </w:rPr>
        <w:t>Aggregate cost for Federal income tax purposes related to our real estate investment assets is $6.3 billion.</w:t>
      </w:r>
    </w:p>
    <w:p>
      <w:pPr>
        <w:spacing w:after="0" w:line="294" w:lineRule="exact"/>
        <w:rPr>
          <w:sz w:val="20"/>
          <w:szCs w:val="20"/>
          <w:color w:val="auto"/>
        </w:rPr>
      </w:pPr>
    </w:p>
    <w:p>
      <w:pPr>
        <w:jc w:val="center"/>
        <w:ind w:right="-3"/>
        <w:spacing w:after="0"/>
        <w:rPr>
          <w:sz w:val="20"/>
          <w:szCs w:val="20"/>
          <w:color w:val="auto"/>
        </w:rPr>
      </w:pPr>
      <w:r>
        <w:rPr>
          <w:rFonts w:ascii="Arial" w:cs="Arial" w:eastAsia="Arial" w:hAnsi="Arial"/>
          <w:sz w:val="12"/>
          <w:szCs w:val="12"/>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42545</wp:posOffset>
            </wp:positionV>
            <wp:extent cx="7329170" cy="3683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10">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4"/>
          </w:cols>
          <w:pgMar w:left="216" w:top="131" w:right="199" w:bottom="1440" w:gutter="0" w:footer="0" w:header="0"/>
        </w:sectPr>
      </w:pPr>
    </w:p>
    <w:bookmarkStart w:id="115" w:name="page116"/>
    <w:bookmarkEnd w:id="115"/>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7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Uniti Group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Schedule III – Real Estate Investments and Accumulated Depreciation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As of December 31, 2017</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(dollars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440" w:type="dxa"/>
            <w:vAlign w:val="bottom"/>
            <w:tcBorders>
              <w:bottom w:val="single" w:sz="8" w:color="CFF0FC"/>
            </w:tcBorders>
          </w:tcPr>
          <w:p>
            <w:pPr>
              <w:spacing w:after="0"/>
              <w:rPr>
                <w:sz w:val="13"/>
                <w:szCs w:val="13"/>
                <w:color w:val="auto"/>
              </w:rPr>
            </w:pPr>
          </w:p>
        </w:tc>
        <w:tc>
          <w:tcPr>
            <w:tcW w:w="41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color w:val="auto"/>
              </w:rPr>
              <w:t>2017</w:t>
            </w:r>
          </w:p>
        </w:tc>
        <w:tc>
          <w:tcPr>
            <w:tcW w:w="4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60"/>
              <w:spacing w:after="0"/>
              <w:rPr>
                <w:sz w:val="20"/>
                <w:szCs w:val="20"/>
                <w:color w:val="auto"/>
              </w:rPr>
            </w:pPr>
            <w:r>
              <w:rPr>
                <w:rFonts w:ascii="Arial" w:cs="Arial" w:eastAsia="Arial" w:hAnsi="Arial"/>
                <w:sz w:val="12"/>
                <w:szCs w:val="12"/>
                <w:color w:val="auto"/>
              </w:rPr>
              <w:t>2016</w:t>
            </w:r>
          </w:p>
        </w:tc>
        <w:tc>
          <w:tcPr>
            <w:tcW w:w="120" w:type="dxa"/>
            <w:vAlign w:val="bottom"/>
            <w:tcBorders>
              <w:bottom w:val="single" w:sz="8" w:color="CFF0FC"/>
            </w:tcBorders>
          </w:tcPr>
          <w:p>
            <w:pPr>
              <w:spacing w:after="0"/>
              <w:rPr>
                <w:sz w:val="13"/>
                <w:szCs w:val="13"/>
                <w:color w:val="auto"/>
              </w:rPr>
            </w:pPr>
          </w:p>
        </w:tc>
      </w:tr>
      <w:tr>
        <w:trPr>
          <w:trHeight w:val="142"/>
        </w:trPr>
        <w:tc>
          <w:tcPr>
            <w:tcW w:w="4440" w:type="dxa"/>
            <w:vAlign w:val="bottom"/>
            <w:shd w:val="clear" w:color="auto" w:fill="CFF0FC"/>
          </w:tcPr>
          <w:p>
            <w:pPr>
              <w:spacing w:after="0"/>
              <w:rPr>
                <w:sz w:val="20"/>
                <w:szCs w:val="20"/>
                <w:color w:val="auto"/>
              </w:rPr>
            </w:pPr>
            <w:r>
              <w:rPr>
                <w:rFonts w:ascii="Arial" w:cs="Arial" w:eastAsia="Arial" w:hAnsi="Arial"/>
                <w:sz w:val="12"/>
                <w:szCs w:val="12"/>
                <w:color w:val="auto"/>
              </w:rPr>
              <w:t>Gross amount at beginning</w:t>
            </w:r>
          </w:p>
        </w:tc>
        <w:tc>
          <w:tcPr>
            <w:tcW w:w="440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6,256,248</w:t>
            </w:r>
          </w:p>
        </w:tc>
        <w:tc>
          <w:tcPr>
            <w:tcW w:w="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20" w:type="dxa"/>
            <w:vAlign w:val="bottom"/>
            <w:gridSpan w:val="3"/>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6,093,541</w:t>
            </w:r>
          </w:p>
        </w:tc>
        <w:tc>
          <w:tcPr>
            <w:tcW w:w="120" w:type="dxa"/>
            <w:vAlign w:val="bottom"/>
            <w:shd w:val="clear" w:color="auto" w:fill="CFF0FC"/>
          </w:tcPr>
          <w:p>
            <w:pPr>
              <w:spacing w:after="0"/>
              <w:rPr>
                <w:sz w:val="12"/>
                <w:szCs w:val="12"/>
                <w:color w:val="auto"/>
              </w:rPr>
            </w:pPr>
          </w:p>
        </w:tc>
      </w:tr>
      <w:tr>
        <w:trPr>
          <w:trHeight w:val="153"/>
        </w:trPr>
        <w:tc>
          <w:tcPr>
            <w:tcW w:w="4440" w:type="dxa"/>
            <w:vAlign w:val="bottom"/>
          </w:tcPr>
          <w:p>
            <w:pPr>
              <w:spacing w:after="0"/>
              <w:rPr>
                <w:sz w:val="20"/>
                <w:szCs w:val="20"/>
                <w:color w:val="auto"/>
              </w:rPr>
            </w:pPr>
            <w:r>
              <w:rPr>
                <w:rFonts w:ascii="Arial" w:cs="Arial" w:eastAsia="Arial" w:hAnsi="Arial"/>
                <w:sz w:val="12"/>
                <w:szCs w:val="12"/>
                <w:color w:val="auto"/>
              </w:rPr>
              <w:t>Additions during period:</w:t>
            </w:r>
          </w:p>
        </w:tc>
        <w:tc>
          <w:tcPr>
            <w:tcW w:w="4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3"/>
        </w:trPr>
        <w:tc>
          <w:tcPr>
            <w:tcW w:w="4440" w:type="dxa"/>
            <w:vAlign w:val="bottom"/>
            <w:shd w:val="clear" w:color="auto" w:fill="CFF0FC"/>
          </w:tcPr>
          <w:p>
            <w:pPr>
              <w:ind w:left="160"/>
              <w:spacing w:after="0"/>
              <w:rPr>
                <w:sz w:val="20"/>
                <w:szCs w:val="20"/>
                <w:color w:val="auto"/>
              </w:rPr>
            </w:pPr>
            <w:r>
              <w:rPr>
                <w:rFonts w:ascii="Arial" w:cs="Arial" w:eastAsia="Arial" w:hAnsi="Arial"/>
                <w:sz w:val="12"/>
                <w:szCs w:val="12"/>
                <w:color w:val="auto"/>
              </w:rPr>
              <w:t>Tenant capital improvements</w:t>
            </w:r>
          </w:p>
        </w:tc>
        <w:tc>
          <w:tcPr>
            <w:tcW w:w="41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227,969</w:t>
            </w:r>
          </w:p>
        </w:tc>
        <w:tc>
          <w:tcPr>
            <w:tcW w:w="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156,972</w:t>
            </w:r>
          </w:p>
        </w:tc>
        <w:tc>
          <w:tcPr>
            <w:tcW w:w="120" w:type="dxa"/>
            <w:vAlign w:val="bottom"/>
            <w:shd w:val="clear" w:color="auto" w:fill="CFF0FC"/>
          </w:tcPr>
          <w:p>
            <w:pPr>
              <w:spacing w:after="0"/>
              <w:rPr>
                <w:sz w:val="13"/>
                <w:szCs w:val="13"/>
                <w:color w:val="auto"/>
              </w:rPr>
            </w:pPr>
          </w:p>
        </w:tc>
      </w:tr>
      <w:tr>
        <w:trPr>
          <w:trHeight w:val="153"/>
        </w:trPr>
        <w:tc>
          <w:tcPr>
            <w:tcW w:w="4440" w:type="dxa"/>
            <w:vAlign w:val="bottom"/>
          </w:tcPr>
          <w:p>
            <w:pPr>
              <w:ind w:left="160"/>
              <w:spacing w:after="0"/>
              <w:rPr>
                <w:sz w:val="20"/>
                <w:szCs w:val="20"/>
                <w:color w:val="auto"/>
              </w:rPr>
            </w:pPr>
            <w:r>
              <w:rPr>
                <w:rFonts w:ascii="Arial" w:cs="Arial" w:eastAsia="Arial" w:hAnsi="Arial"/>
                <w:sz w:val="12"/>
                <w:szCs w:val="12"/>
                <w:color w:val="auto"/>
              </w:rPr>
              <w:t>Acquisitions</w:t>
            </w:r>
          </w:p>
        </w:tc>
        <w:tc>
          <w:tcPr>
            <w:tcW w:w="4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80,132</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15,848</w:t>
            </w:r>
          </w:p>
        </w:tc>
        <w:tc>
          <w:tcPr>
            <w:tcW w:w="120" w:type="dxa"/>
            <w:vAlign w:val="bottom"/>
          </w:tcPr>
          <w:p>
            <w:pPr>
              <w:spacing w:after="0"/>
              <w:rPr>
                <w:sz w:val="13"/>
                <w:szCs w:val="13"/>
                <w:color w:val="auto"/>
              </w:rPr>
            </w:pPr>
          </w:p>
        </w:tc>
      </w:tr>
      <w:tr>
        <w:trPr>
          <w:trHeight w:val="153"/>
        </w:trPr>
        <w:tc>
          <w:tcPr>
            <w:tcW w:w="4440" w:type="dxa"/>
            <w:vAlign w:val="bottom"/>
            <w:shd w:val="clear" w:color="auto" w:fill="CFF0FC"/>
          </w:tcPr>
          <w:p>
            <w:pPr>
              <w:ind w:left="160"/>
              <w:spacing w:after="0"/>
              <w:rPr>
                <w:sz w:val="20"/>
                <w:szCs w:val="20"/>
                <w:color w:val="auto"/>
              </w:rPr>
            </w:pPr>
            <w:r>
              <w:rPr>
                <w:rFonts w:ascii="Arial" w:cs="Arial" w:eastAsia="Arial" w:hAnsi="Arial"/>
                <w:sz w:val="12"/>
                <w:szCs w:val="12"/>
                <w:color w:val="auto"/>
              </w:rPr>
              <w:t>Other</w:t>
            </w:r>
          </w:p>
        </w:tc>
        <w:tc>
          <w:tcPr>
            <w:tcW w:w="4120" w:type="dxa"/>
            <w:vAlign w:val="bottom"/>
            <w:shd w:val="clear" w:color="auto" w:fill="CFF0FC"/>
          </w:tcPr>
          <w:p>
            <w:pPr>
              <w:spacing w:after="0"/>
              <w:rPr>
                <w:sz w:val="13"/>
                <w:szCs w:val="13"/>
                <w:color w:val="auto"/>
              </w:rPr>
            </w:pPr>
          </w:p>
        </w:tc>
        <w:tc>
          <w:tcPr>
            <w:tcW w:w="280" w:type="dxa"/>
            <w:vAlign w:val="bottom"/>
            <w:tcBorders>
              <w:bottom w:val="single" w:sz="8" w:color="auto"/>
            </w:tcBorders>
            <w:shd w:val="clear" w:color="auto" w:fill="CFF0FC"/>
          </w:tcPr>
          <w:p>
            <w:pPr>
              <w:spacing w:after="0"/>
              <w:rPr>
                <w:sz w:val="13"/>
                <w:szCs w:val="13"/>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45,552</w:t>
            </w:r>
          </w:p>
        </w:tc>
        <w:tc>
          <w:tcPr>
            <w:tcW w:w="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0" w:type="dxa"/>
            <w:vAlign w:val="bottom"/>
            <w:tcBorders>
              <w:bottom w:val="single" w:sz="8" w:color="auto"/>
            </w:tcBorders>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r>
      <w:tr>
        <w:trPr>
          <w:trHeight w:val="142"/>
        </w:trPr>
        <w:tc>
          <w:tcPr>
            <w:tcW w:w="4440" w:type="dxa"/>
            <w:vAlign w:val="bottom"/>
          </w:tcPr>
          <w:p>
            <w:pPr>
              <w:spacing w:after="0"/>
              <w:rPr>
                <w:sz w:val="20"/>
                <w:szCs w:val="20"/>
                <w:color w:val="auto"/>
              </w:rPr>
            </w:pPr>
            <w:r>
              <w:rPr>
                <w:rFonts w:ascii="Arial" w:cs="Arial" w:eastAsia="Arial" w:hAnsi="Arial"/>
                <w:sz w:val="12"/>
                <w:szCs w:val="12"/>
                <w:color w:val="auto"/>
              </w:rPr>
              <w:t>Total additions</w:t>
            </w:r>
          </w:p>
        </w:tc>
        <w:tc>
          <w:tcPr>
            <w:tcW w:w="4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353,653</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172,820</w:t>
            </w:r>
          </w:p>
        </w:tc>
        <w:tc>
          <w:tcPr>
            <w:tcW w:w="120" w:type="dxa"/>
            <w:vAlign w:val="bottom"/>
          </w:tcPr>
          <w:p>
            <w:pPr>
              <w:spacing w:after="0"/>
              <w:rPr>
                <w:sz w:val="12"/>
                <w:szCs w:val="12"/>
                <w:color w:val="auto"/>
              </w:rPr>
            </w:pPr>
          </w:p>
        </w:tc>
      </w:tr>
      <w:tr>
        <w:trPr>
          <w:trHeight w:val="153"/>
        </w:trPr>
        <w:tc>
          <w:tcPr>
            <w:tcW w:w="4440" w:type="dxa"/>
            <w:vAlign w:val="bottom"/>
            <w:shd w:val="clear" w:color="auto" w:fill="CFF0FC"/>
          </w:tcPr>
          <w:p>
            <w:pPr>
              <w:spacing w:after="0"/>
              <w:rPr>
                <w:sz w:val="13"/>
                <w:szCs w:val="13"/>
                <w:color w:val="auto"/>
              </w:rPr>
            </w:pPr>
          </w:p>
        </w:tc>
        <w:tc>
          <w:tcPr>
            <w:tcW w:w="41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53"/>
        </w:trPr>
        <w:tc>
          <w:tcPr>
            <w:tcW w:w="4440" w:type="dxa"/>
            <w:vAlign w:val="bottom"/>
          </w:tcPr>
          <w:p>
            <w:pPr>
              <w:spacing w:after="0"/>
              <w:rPr>
                <w:sz w:val="20"/>
                <w:szCs w:val="20"/>
                <w:color w:val="auto"/>
              </w:rPr>
            </w:pPr>
            <w:r>
              <w:rPr>
                <w:rFonts w:ascii="Arial" w:cs="Arial" w:eastAsia="Arial" w:hAnsi="Arial"/>
                <w:sz w:val="12"/>
                <w:szCs w:val="12"/>
                <w:color w:val="auto"/>
              </w:rPr>
              <w:t>Deductions during period:</w:t>
            </w:r>
          </w:p>
        </w:tc>
        <w:tc>
          <w:tcPr>
            <w:tcW w:w="4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3"/>
        </w:trPr>
        <w:tc>
          <w:tcPr>
            <w:tcW w:w="4440" w:type="dxa"/>
            <w:vAlign w:val="bottom"/>
            <w:shd w:val="clear" w:color="auto" w:fill="CFF0FC"/>
          </w:tcPr>
          <w:p>
            <w:pPr>
              <w:ind w:left="160"/>
              <w:spacing w:after="0"/>
              <w:rPr>
                <w:sz w:val="20"/>
                <w:szCs w:val="20"/>
                <w:color w:val="auto"/>
              </w:rPr>
            </w:pPr>
            <w:r>
              <w:rPr>
                <w:rFonts w:ascii="Arial" w:cs="Arial" w:eastAsia="Arial" w:hAnsi="Arial"/>
                <w:sz w:val="12"/>
                <w:szCs w:val="12"/>
                <w:color w:val="auto"/>
              </w:rPr>
              <w:t>Cost of real estate sold or disposed</w:t>
            </w:r>
          </w:p>
        </w:tc>
        <w:tc>
          <w:tcPr>
            <w:tcW w:w="41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6,421</w:t>
            </w:r>
          </w:p>
        </w:tc>
        <w:tc>
          <w:tcPr>
            <w:tcW w:w="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10,113</w:t>
            </w:r>
          </w:p>
        </w:tc>
        <w:tc>
          <w:tcPr>
            <w:tcW w:w="120" w:type="dxa"/>
            <w:vAlign w:val="bottom"/>
            <w:shd w:val="clear" w:color="auto" w:fill="CFF0FC"/>
          </w:tcPr>
          <w:p>
            <w:pPr>
              <w:spacing w:after="0"/>
              <w:rPr>
                <w:sz w:val="13"/>
                <w:szCs w:val="13"/>
                <w:color w:val="auto"/>
              </w:rPr>
            </w:pPr>
          </w:p>
        </w:tc>
      </w:tr>
      <w:tr>
        <w:trPr>
          <w:trHeight w:val="153"/>
        </w:trPr>
        <w:tc>
          <w:tcPr>
            <w:tcW w:w="4440" w:type="dxa"/>
            <w:vAlign w:val="bottom"/>
            <w:tcBorders>
              <w:bottom w:val="single" w:sz="8" w:color="CFF0FC"/>
            </w:tcBorders>
          </w:tcPr>
          <w:p>
            <w:pPr>
              <w:ind w:left="160"/>
              <w:spacing w:after="0"/>
              <w:rPr>
                <w:sz w:val="20"/>
                <w:szCs w:val="20"/>
                <w:color w:val="auto"/>
              </w:rPr>
            </w:pPr>
            <w:r>
              <w:rPr>
                <w:rFonts w:ascii="Arial" w:cs="Arial" w:eastAsia="Arial" w:hAnsi="Arial"/>
                <w:sz w:val="12"/>
                <w:szCs w:val="12"/>
                <w:color w:val="auto"/>
              </w:rPr>
              <w:t>Other</w:t>
            </w:r>
          </w:p>
        </w:tc>
        <w:tc>
          <w:tcPr>
            <w:tcW w:w="41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4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FF0FC"/>
            </w:tcBorders>
          </w:tcPr>
          <w:p>
            <w:pPr>
              <w:spacing w:after="0"/>
              <w:rPr>
                <w:sz w:val="13"/>
                <w:szCs w:val="13"/>
                <w:color w:val="auto"/>
              </w:rPr>
            </w:pPr>
          </w:p>
        </w:tc>
      </w:tr>
      <w:tr>
        <w:trPr>
          <w:trHeight w:val="142"/>
        </w:trPr>
        <w:tc>
          <w:tcPr>
            <w:tcW w:w="4440" w:type="dxa"/>
            <w:vAlign w:val="bottom"/>
            <w:shd w:val="clear" w:color="auto" w:fill="CFF0FC"/>
          </w:tcPr>
          <w:p>
            <w:pPr>
              <w:spacing w:after="0"/>
              <w:rPr>
                <w:sz w:val="20"/>
                <w:szCs w:val="20"/>
                <w:color w:val="auto"/>
              </w:rPr>
            </w:pPr>
            <w:r>
              <w:rPr>
                <w:rFonts w:ascii="Arial" w:cs="Arial" w:eastAsia="Arial" w:hAnsi="Arial"/>
                <w:sz w:val="12"/>
                <w:szCs w:val="12"/>
                <w:color w:val="auto"/>
              </w:rPr>
              <w:t>Total deductions</w:t>
            </w:r>
          </w:p>
        </w:tc>
        <w:tc>
          <w:tcPr>
            <w:tcW w:w="41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6,421</w:t>
            </w:r>
          </w:p>
        </w:tc>
        <w:tc>
          <w:tcPr>
            <w:tcW w:w="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10,113</w:t>
            </w:r>
          </w:p>
        </w:tc>
        <w:tc>
          <w:tcPr>
            <w:tcW w:w="120" w:type="dxa"/>
            <w:vAlign w:val="bottom"/>
            <w:shd w:val="clear" w:color="auto" w:fill="CFF0FC"/>
          </w:tcPr>
          <w:p>
            <w:pPr>
              <w:spacing w:after="0"/>
              <w:rPr>
                <w:sz w:val="12"/>
                <w:szCs w:val="12"/>
                <w:color w:val="auto"/>
              </w:rPr>
            </w:pPr>
          </w:p>
        </w:tc>
      </w:tr>
      <w:tr>
        <w:trPr>
          <w:trHeight w:val="153"/>
        </w:trPr>
        <w:tc>
          <w:tcPr>
            <w:tcW w:w="444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3"/>
        </w:trPr>
        <w:tc>
          <w:tcPr>
            <w:tcW w:w="4440" w:type="dxa"/>
            <w:vAlign w:val="bottom"/>
            <w:shd w:val="clear" w:color="auto" w:fill="CFF0FC"/>
          </w:tcPr>
          <w:p>
            <w:pPr>
              <w:spacing w:after="0"/>
              <w:rPr>
                <w:sz w:val="20"/>
                <w:szCs w:val="20"/>
                <w:color w:val="auto"/>
              </w:rPr>
            </w:pPr>
            <w:r>
              <w:rPr>
                <w:rFonts w:ascii="Arial" w:cs="Arial" w:eastAsia="Arial" w:hAnsi="Arial"/>
                <w:sz w:val="12"/>
                <w:szCs w:val="12"/>
                <w:color w:val="auto"/>
              </w:rPr>
              <w:t>Balance at end</w:t>
            </w:r>
          </w:p>
        </w:tc>
        <w:tc>
          <w:tcPr>
            <w:tcW w:w="440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6,603,480</w:t>
            </w:r>
          </w:p>
        </w:tc>
        <w:tc>
          <w:tcPr>
            <w:tcW w:w="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420" w:type="dxa"/>
            <w:vAlign w:val="bottom"/>
            <w:gridSpan w:val="3"/>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6,256,248</w:t>
            </w:r>
          </w:p>
        </w:tc>
        <w:tc>
          <w:tcPr>
            <w:tcW w:w="120" w:type="dxa"/>
            <w:vAlign w:val="bottom"/>
            <w:shd w:val="clear" w:color="auto" w:fill="CFF0FC"/>
          </w:tcPr>
          <w:p>
            <w:pPr>
              <w:spacing w:after="0"/>
              <w:rPr>
                <w:sz w:val="13"/>
                <w:szCs w:val="13"/>
                <w:color w:val="auto"/>
              </w:rPr>
            </w:pPr>
          </w:p>
        </w:tc>
      </w:tr>
      <w:tr>
        <w:trPr>
          <w:trHeight w:val="297"/>
        </w:trPr>
        <w:tc>
          <w:tcPr>
            <w:tcW w:w="4440" w:type="dxa"/>
            <w:vAlign w:val="bottom"/>
            <w:tcBorders>
              <w:bottom w:val="single" w:sz="8" w:color="CFF0FC"/>
            </w:tcBorders>
          </w:tcPr>
          <w:p>
            <w:pPr>
              <w:spacing w:after="0"/>
              <w:rPr>
                <w:sz w:val="24"/>
                <w:szCs w:val="24"/>
                <w:color w:val="auto"/>
              </w:rPr>
            </w:pPr>
          </w:p>
        </w:tc>
        <w:tc>
          <w:tcPr>
            <w:tcW w:w="4120" w:type="dxa"/>
            <w:vAlign w:val="bottom"/>
            <w:tcBorders>
              <w:bottom w:val="single" w:sz="8" w:color="CFF0FC"/>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color w:val="auto"/>
              </w:rPr>
              <w:t>2017</w:t>
            </w: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CFF0FC"/>
            </w:tcBorders>
          </w:tcPr>
          <w:p>
            <w:pPr>
              <w:spacing w:after="0"/>
              <w:rPr>
                <w:sz w:val="24"/>
                <w:szCs w:val="24"/>
                <w:color w:val="auto"/>
              </w:rPr>
            </w:pPr>
          </w:p>
        </w:tc>
        <w:tc>
          <w:tcPr>
            <w:tcW w:w="120" w:type="dxa"/>
            <w:vAlign w:val="bottom"/>
            <w:tcBorders>
              <w:bottom w:val="single" w:sz="8" w:color="CFF0FC"/>
            </w:tcBorders>
          </w:tcPr>
          <w:p>
            <w:pPr>
              <w:spacing w:after="0"/>
              <w:rPr>
                <w:sz w:val="24"/>
                <w:szCs w:val="24"/>
                <w:color w:val="auto"/>
              </w:rPr>
            </w:pPr>
          </w:p>
        </w:tc>
        <w:tc>
          <w:tcPr>
            <w:tcW w:w="40" w:type="dxa"/>
            <w:vAlign w:val="bottom"/>
            <w:tcBorders>
              <w:bottom w:val="single" w:sz="8" w:color="CFF0FC"/>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40"/>
              <w:spacing w:after="0"/>
              <w:rPr>
                <w:sz w:val="20"/>
                <w:szCs w:val="20"/>
                <w:color w:val="auto"/>
              </w:rPr>
            </w:pPr>
            <w:r>
              <w:rPr>
                <w:rFonts w:ascii="Arial" w:cs="Arial" w:eastAsia="Arial" w:hAnsi="Arial"/>
                <w:sz w:val="12"/>
                <w:szCs w:val="12"/>
                <w:color w:val="auto"/>
              </w:rPr>
              <w:t>2016</w:t>
            </w:r>
          </w:p>
        </w:tc>
        <w:tc>
          <w:tcPr>
            <w:tcW w:w="120" w:type="dxa"/>
            <w:vAlign w:val="bottom"/>
            <w:tcBorders>
              <w:bottom w:val="single" w:sz="8" w:color="CFF0FC"/>
            </w:tcBorders>
          </w:tcPr>
          <w:p>
            <w:pPr>
              <w:spacing w:after="0"/>
              <w:rPr>
                <w:sz w:val="24"/>
                <w:szCs w:val="24"/>
                <w:color w:val="auto"/>
              </w:rPr>
            </w:pPr>
          </w:p>
        </w:tc>
      </w:tr>
      <w:tr>
        <w:trPr>
          <w:trHeight w:val="142"/>
        </w:trPr>
        <w:tc>
          <w:tcPr>
            <w:tcW w:w="4440" w:type="dxa"/>
            <w:vAlign w:val="bottom"/>
            <w:shd w:val="clear" w:color="auto" w:fill="CFF0FC"/>
          </w:tcPr>
          <w:p>
            <w:pPr>
              <w:spacing w:after="0"/>
              <w:rPr>
                <w:sz w:val="20"/>
                <w:szCs w:val="20"/>
                <w:color w:val="auto"/>
              </w:rPr>
            </w:pPr>
            <w:r>
              <w:rPr>
                <w:rFonts w:ascii="Arial" w:cs="Arial" w:eastAsia="Arial" w:hAnsi="Arial"/>
                <w:sz w:val="12"/>
                <w:szCs w:val="12"/>
                <w:color w:val="auto"/>
              </w:rPr>
              <w:t>Gross amount of accumulated depreciation at beginning</w:t>
            </w:r>
          </w:p>
        </w:tc>
        <w:tc>
          <w:tcPr>
            <w:tcW w:w="440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4,054,748</w:t>
            </w:r>
          </w:p>
        </w:tc>
        <w:tc>
          <w:tcPr>
            <w:tcW w:w="160" w:type="dxa"/>
            <w:vAlign w:val="bottom"/>
            <w:shd w:val="clear" w:color="auto" w:fill="CFF0FC"/>
          </w:tcPr>
          <w:p>
            <w:pPr>
              <w:spacing w:after="0"/>
              <w:rPr>
                <w:sz w:val="12"/>
                <w:szCs w:val="12"/>
                <w:color w:val="auto"/>
              </w:rPr>
            </w:pPr>
          </w:p>
        </w:tc>
        <w:tc>
          <w:tcPr>
            <w:tcW w:w="420" w:type="dxa"/>
            <w:vAlign w:val="bottom"/>
            <w:gridSpan w:val="3"/>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3,720,890</w:t>
            </w:r>
          </w:p>
        </w:tc>
        <w:tc>
          <w:tcPr>
            <w:tcW w:w="120" w:type="dxa"/>
            <w:vAlign w:val="bottom"/>
            <w:shd w:val="clear" w:color="auto" w:fill="CFF0FC"/>
          </w:tcPr>
          <w:p>
            <w:pPr>
              <w:spacing w:after="0"/>
              <w:rPr>
                <w:sz w:val="12"/>
                <w:szCs w:val="12"/>
                <w:color w:val="auto"/>
              </w:rPr>
            </w:pPr>
          </w:p>
        </w:tc>
      </w:tr>
      <w:tr>
        <w:trPr>
          <w:trHeight w:val="153"/>
        </w:trPr>
        <w:tc>
          <w:tcPr>
            <w:tcW w:w="4440" w:type="dxa"/>
            <w:vAlign w:val="bottom"/>
          </w:tcPr>
          <w:p>
            <w:pPr>
              <w:spacing w:after="0"/>
              <w:rPr>
                <w:sz w:val="20"/>
                <w:szCs w:val="20"/>
                <w:color w:val="auto"/>
              </w:rPr>
            </w:pPr>
            <w:r>
              <w:rPr>
                <w:rFonts w:ascii="Arial" w:cs="Arial" w:eastAsia="Arial" w:hAnsi="Arial"/>
                <w:sz w:val="12"/>
                <w:szCs w:val="12"/>
                <w:color w:val="auto"/>
              </w:rPr>
              <w:t>Additions during period:</w:t>
            </w:r>
          </w:p>
        </w:tc>
        <w:tc>
          <w:tcPr>
            <w:tcW w:w="4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3"/>
        </w:trPr>
        <w:tc>
          <w:tcPr>
            <w:tcW w:w="4440" w:type="dxa"/>
            <w:vAlign w:val="bottom"/>
            <w:shd w:val="clear" w:color="auto" w:fill="CFF0FC"/>
          </w:tcPr>
          <w:p>
            <w:pPr>
              <w:ind w:left="160"/>
              <w:spacing w:after="0"/>
              <w:rPr>
                <w:sz w:val="20"/>
                <w:szCs w:val="20"/>
                <w:color w:val="auto"/>
              </w:rPr>
            </w:pPr>
            <w:r>
              <w:rPr>
                <w:rFonts w:ascii="Arial" w:cs="Arial" w:eastAsia="Arial" w:hAnsi="Arial"/>
                <w:sz w:val="12"/>
                <w:szCs w:val="12"/>
                <w:color w:val="auto"/>
              </w:rPr>
              <w:t>Depreciation</w:t>
            </w:r>
          </w:p>
        </w:tc>
        <w:tc>
          <w:tcPr>
            <w:tcW w:w="41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351,332</w:t>
            </w: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343,971</w:t>
            </w:r>
          </w:p>
        </w:tc>
        <w:tc>
          <w:tcPr>
            <w:tcW w:w="120" w:type="dxa"/>
            <w:vAlign w:val="bottom"/>
            <w:shd w:val="clear" w:color="auto" w:fill="CFF0FC"/>
          </w:tcPr>
          <w:p>
            <w:pPr>
              <w:spacing w:after="0"/>
              <w:rPr>
                <w:sz w:val="13"/>
                <w:szCs w:val="13"/>
                <w:color w:val="auto"/>
              </w:rPr>
            </w:pPr>
          </w:p>
        </w:tc>
      </w:tr>
      <w:tr>
        <w:trPr>
          <w:trHeight w:val="153"/>
        </w:trPr>
        <w:tc>
          <w:tcPr>
            <w:tcW w:w="4440" w:type="dxa"/>
            <w:vAlign w:val="bottom"/>
          </w:tcPr>
          <w:p>
            <w:pPr>
              <w:ind w:left="160"/>
              <w:spacing w:after="0"/>
              <w:rPr>
                <w:sz w:val="20"/>
                <w:szCs w:val="20"/>
                <w:color w:val="auto"/>
              </w:rPr>
            </w:pPr>
            <w:r>
              <w:rPr>
                <w:rFonts w:ascii="Arial" w:cs="Arial" w:eastAsia="Arial" w:hAnsi="Arial"/>
                <w:sz w:val="12"/>
                <w:szCs w:val="12"/>
                <w:color w:val="auto"/>
              </w:rPr>
              <w:t>Other</w:t>
            </w:r>
          </w:p>
        </w:tc>
        <w:tc>
          <w:tcPr>
            <w:tcW w:w="4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gridSpan w:val="3"/>
          </w:tcPr>
          <w:p>
            <w:pPr>
              <w:jc w:val="right"/>
              <w:ind w:right="120"/>
              <w:spacing w:after="0"/>
              <w:rPr>
                <w:sz w:val="20"/>
                <w:szCs w:val="20"/>
                <w:color w:val="auto"/>
              </w:rPr>
            </w:pPr>
            <w:r>
              <w:rPr>
                <w:rFonts w:ascii="Arial" w:cs="Arial" w:eastAsia="Arial" w:hAnsi="Arial"/>
                <w:sz w:val="12"/>
                <w:szCs w:val="12"/>
                <w:color w:val="auto"/>
              </w:rPr>
              <w:t>(45)</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r>
      <w:tr>
        <w:trPr>
          <w:trHeight w:val="142"/>
        </w:trPr>
        <w:tc>
          <w:tcPr>
            <w:tcW w:w="4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2"/>
                <w:szCs w:val="12"/>
                <w:color w:val="auto"/>
              </w:rPr>
              <w:t>Total additions</w:t>
            </w:r>
          </w:p>
        </w:tc>
        <w:tc>
          <w:tcPr>
            <w:tcW w:w="4120" w:type="dxa"/>
            <w:vAlign w:val="bottom"/>
            <w:tcBorders>
              <w:top w:val="single" w:sz="8" w:color="CFF0FC"/>
            </w:tcBorders>
            <w:shd w:val="clear" w:color="auto" w:fill="CFF0FC"/>
          </w:tcPr>
          <w:p>
            <w:pPr>
              <w:spacing w:after="0"/>
              <w:rPr>
                <w:sz w:val="12"/>
                <w:szCs w:val="12"/>
                <w:color w:val="auto"/>
              </w:rPr>
            </w:pPr>
          </w:p>
        </w:tc>
        <w:tc>
          <w:tcPr>
            <w:tcW w:w="280" w:type="dxa"/>
            <w:vAlign w:val="bottom"/>
            <w:tcBorders>
              <w:top w:val="single" w:sz="8" w:color="auto"/>
            </w:tcBorders>
            <w:shd w:val="clear" w:color="auto" w:fill="CFF0FC"/>
          </w:tcPr>
          <w:p>
            <w:pPr>
              <w:spacing w:after="0"/>
              <w:rPr>
                <w:sz w:val="12"/>
                <w:szCs w:val="12"/>
                <w:color w:val="auto"/>
              </w:rPr>
            </w:pPr>
          </w:p>
        </w:tc>
        <w:tc>
          <w:tcPr>
            <w:tcW w:w="9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2"/>
                <w:szCs w:val="12"/>
                <w:color w:val="auto"/>
              </w:rPr>
              <w:t>351,287</w:t>
            </w:r>
          </w:p>
        </w:tc>
        <w:tc>
          <w:tcPr>
            <w:tcW w:w="16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40" w:type="dxa"/>
            <w:vAlign w:val="bottom"/>
            <w:tcBorders>
              <w:top w:val="single" w:sz="8" w:color="CFF0FC"/>
            </w:tcBorders>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spacing w:after="0"/>
              <w:rPr>
                <w:sz w:val="12"/>
                <w:szCs w:val="12"/>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343,971</w:t>
            </w:r>
          </w:p>
        </w:tc>
        <w:tc>
          <w:tcPr>
            <w:tcW w:w="120" w:type="dxa"/>
            <w:vAlign w:val="bottom"/>
            <w:tcBorders>
              <w:top w:val="single" w:sz="8" w:color="CFF0FC"/>
            </w:tcBorders>
            <w:shd w:val="clear" w:color="auto" w:fill="CFF0FC"/>
          </w:tcPr>
          <w:p>
            <w:pPr>
              <w:spacing w:after="0"/>
              <w:rPr>
                <w:sz w:val="12"/>
                <w:szCs w:val="12"/>
                <w:color w:val="auto"/>
              </w:rPr>
            </w:pPr>
          </w:p>
        </w:tc>
      </w:tr>
      <w:tr>
        <w:trPr>
          <w:trHeight w:val="153"/>
        </w:trPr>
        <w:tc>
          <w:tcPr>
            <w:tcW w:w="444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3"/>
        </w:trPr>
        <w:tc>
          <w:tcPr>
            <w:tcW w:w="4440" w:type="dxa"/>
            <w:vAlign w:val="bottom"/>
            <w:shd w:val="clear" w:color="auto" w:fill="CFF0FC"/>
          </w:tcPr>
          <w:p>
            <w:pPr>
              <w:spacing w:after="0"/>
              <w:rPr>
                <w:sz w:val="20"/>
                <w:szCs w:val="20"/>
                <w:color w:val="auto"/>
              </w:rPr>
            </w:pPr>
            <w:r>
              <w:rPr>
                <w:rFonts w:ascii="Arial" w:cs="Arial" w:eastAsia="Arial" w:hAnsi="Arial"/>
                <w:sz w:val="12"/>
                <w:szCs w:val="12"/>
                <w:color w:val="auto"/>
              </w:rPr>
              <w:t>Deductions during period:</w:t>
            </w:r>
          </w:p>
        </w:tc>
        <w:tc>
          <w:tcPr>
            <w:tcW w:w="41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53"/>
        </w:trPr>
        <w:tc>
          <w:tcPr>
            <w:tcW w:w="4440" w:type="dxa"/>
            <w:vAlign w:val="bottom"/>
          </w:tcPr>
          <w:p>
            <w:pPr>
              <w:ind w:left="160"/>
              <w:spacing w:after="0"/>
              <w:rPr>
                <w:sz w:val="20"/>
                <w:szCs w:val="20"/>
                <w:color w:val="auto"/>
              </w:rPr>
            </w:pPr>
            <w:r>
              <w:rPr>
                <w:rFonts w:ascii="Arial" w:cs="Arial" w:eastAsia="Arial" w:hAnsi="Arial"/>
                <w:sz w:val="12"/>
                <w:szCs w:val="12"/>
                <w:color w:val="auto"/>
              </w:rPr>
              <w:t>Amount of accumulated depreciation for assets sold or disposed</w:t>
            </w:r>
          </w:p>
        </w:tc>
        <w:tc>
          <w:tcPr>
            <w:tcW w:w="4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6,246</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r>
      <w:tr>
        <w:trPr>
          <w:trHeight w:val="153"/>
        </w:trPr>
        <w:tc>
          <w:tcPr>
            <w:tcW w:w="4440" w:type="dxa"/>
            <w:vAlign w:val="bottom"/>
            <w:shd w:val="clear" w:color="auto" w:fill="CFF0FC"/>
          </w:tcPr>
          <w:p>
            <w:pPr>
              <w:ind w:left="160"/>
              <w:spacing w:after="0"/>
              <w:rPr>
                <w:sz w:val="20"/>
                <w:szCs w:val="20"/>
                <w:color w:val="auto"/>
              </w:rPr>
            </w:pPr>
            <w:r>
              <w:rPr>
                <w:rFonts w:ascii="Arial" w:cs="Arial" w:eastAsia="Arial" w:hAnsi="Arial"/>
                <w:sz w:val="12"/>
                <w:szCs w:val="12"/>
                <w:color w:val="auto"/>
              </w:rPr>
              <w:t>Other</w:t>
            </w:r>
          </w:p>
        </w:tc>
        <w:tc>
          <w:tcPr>
            <w:tcW w:w="4120" w:type="dxa"/>
            <w:vAlign w:val="bottom"/>
            <w:shd w:val="clear" w:color="auto" w:fill="CFF0FC"/>
          </w:tcPr>
          <w:p>
            <w:pPr>
              <w:spacing w:after="0"/>
              <w:rPr>
                <w:sz w:val="13"/>
                <w:szCs w:val="13"/>
                <w:color w:val="auto"/>
              </w:rPr>
            </w:pPr>
          </w:p>
        </w:tc>
        <w:tc>
          <w:tcPr>
            <w:tcW w:w="280" w:type="dxa"/>
            <w:vAlign w:val="bottom"/>
            <w:tcBorders>
              <w:bottom w:val="single" w:sz="8" w:color="auto"/>
            </w:tcBorders>
            <w:shd w:val="clear" w:color="auto" w:fill="CFF0FC"/>
          </w:tcPr>
          <w:p>
            <w:pPr>
              <w:spacing w:after="0"/>
              <w:rPr>
                <w:sz w:val="13"/>
                <w:szCs w:val="13"/>
                <w:color w:val="auto"/>
              </w:rPr>
            </w:pPr>
          </w:p>
        </w:tc>
        <w:tc>
          <w:tcPr>
            <w:tcW w:w="9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10,113</w:t>
            </w:r>
          </w:p>
        </w:tc>
        <w:tc>
          <w:tcPr>
            <w:tcW w:w="120" w:type="dxa"/>
            <w:vAlign w:val="bottom"/>
            <w:shd w:val="clear" w:color="auto" w:fill="CFF0FC"/>
          </w:tcPr>
          <w:p>
            <w:pPr>
              <w:spacing w:after="0"/>
              <w:rPr>
                <w:sz w:val="13"/>
                <w:szCs w:val="13"/>
                <w:color w:val="auto"/>
              </w:rPr>
            </w:pPr>
          </w:p>
        </w:tc>
      </w:tr>
      <w:tr>
        <w:trPr>
          <w:trHeight w:val="142"/>
        </w:trPr>
        <w:tc>
          <w:tcPr>
            <w:tcW w:w="4440" w:type="dxa"/>
            <w:vAlign w:val="bottom"/>
          </w:tcPr>
          <w:p>
            <w:pPr>
              <w:spacing w:after="0"/>
              <w:rPr>
                <w:sz w:val="20"/>
                <w:szCs w:val="20"/>
                <w:color w:val="auto"/>
              </w:rPr>
            </w:pPr>
            <w:r>
              <w:rPr>
                <w:rFonts w:ascii="Arial" w:cs="Arial" w:eastAsia="Arial" w:hAnsi="Arial"/>
                <w:sz w:val="12"/>
                <w:szCs w:val="12"/>
                <w:color w:val="auto"/>
              </w:rPr>
              <w:t>Total deductions</w:t>
            </w:r>
          </w:p>
        </w:tc>
        <w:tc>
          <w:tcPr>
            <w:tcW w:w="4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6,246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10,113</w:t>
            </w:r>
          </w:p>
        </w:tc>
        <w:tc>
          <w:tcPr>
            <w:tcW w:w="120" w:type="dxa"/>
            <w:vAlign w:val="bottom"/>
          </w:tcPr>
          <w:p>
            <w:pPr>
              <w:spacing w:after="0"/>
              <w:rPr>
                <w:sz w:val="12"/>
                <w:szCs w:val="12"/>
                <w:color w:val="auto"/>
              </w:rPr>
            </w:pPr>
          </w:p>
        </w:tc>
      </w:tr>
      <w:tr>
        <w:trPr>
          <w:trHeight w:val="153"/>
        </w:trPr>
        <w:tc>
          <w:tcPr>
            <w:tcW w:w="4440" w:type="dxa"/>
            <w:vAlign w:val="bottom"/>
            <w:shd w:val="clear" w:color="auto" w:fill="CFF0FC"/>
          </w:tcPr>
          <w:p>
            <w:pPr>
              <w:spacing w:after="0"/>
              <w:rPr>
                <w:sz w:val="13"/>
                <w:szCs w:val="13"/>
                <w:color w:val="auto"/>
              </w:rPr>
            </w:pPr>
          </w:p>
        </w:tc>
        <w:tc>
          <w:tcPr>
            <w:tcW w:w="4400" w:type="dxa"/>
            <w:vAlign w:val="bottom"/>
            <w:gridSpan w:val="2"/>
            <w:shd w:val="clear" w:color="auto" w:fill="CFF0FC"/>
          </w:tcPr>
          <w:p>
            <w:pPr>
              <w:spacing w:after="0"/>
              <w:rPr>
                <w:sz w:val="13"/>
                <w:szCs w:val="13"/>
                <w:color w:val="auto"/>
              </w:rPr>
            </w:pPr>
          </w:p>
        </w:tc>
        <w:tc>
          <w:tcPr>
            <w:tcW w:w="960" w:type="dxa"/>
            <w:vAlign w:val="bottom"/>
            <w:gridSpan w:val="2"/>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60" w:type="dxa"/>
            <w:vAlign w:val="bottom"/>
            <w:gridSpan w:val="2"/>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53"/>
        </w:trPr>
        <w:tc>
          <w:tcPr>
            <w:tcW w:w="4440" w:type="dxa"/>
            <w:vAlign w:val="bottom"/>
          </w:tcPr>
          <w:p>
            <w:pPr>
              <w:spacing w:after="0"/>
              <w:rPr>
                <w:sz w:val="20"/>
                <w:szCs w:val="20"/>
                <w:color w:val="auto"/>
              </w:rPr>
            </w:pPr>
            <w:r>
              <w:rPr>
                <w:rFonts w:ascii="Arial" w:cs="Arial" w:eastAsia="Arial" w:hAnsi="Arial"/>
                <w:sz w:val="12"/>
                <w:szCs w:val="12"/>
                <w:color w:val="auto"/>
              </w:rPr>
              <w:t>Balance at end</w:t>
            </w:r>
          </w:p>
        </w:tc>
        <w:tc>
          <w:tcPr>
            <w:tcW w:w="44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4,399,789</w:t>
            </w:r>
          </w:p>
        </w:tc>
        <w:tc>
          <w:tcPr>
            <w:tcW w:w="160" w:type="dxa"/>
            <w:vAlign w:val="bottom"/>
          </w:tcPr>
          <w:p>
            <w:pPr>
              <w:spacing w:after="0"/>
              <w:rPr>
                <w:sz w:val="13"/>
                <w:szCs w:val="13"/>
                <w:color w:val="auto"/>
              </w:rPr>
            </w:pPr>
          </w:p>
        </w:tc>
        <w:tc>
          <w:tcPr>
            <w:tcW w:w="420" w:type="dxa"/>
            <w:vAlign w:val="bottom"/>
            <w:gridSpan w:val="3"/>
          </w:tcPr>
          <w:p>
            <w:pPr>
              <w:jc w:val="right"/>
              <w:ind w:right="200"/>
              <w:spacing w:after="0"/>
              <w:rPr>
                <w:sz w:val="20"/>
                <w:szCs w:val="20"/>
                <w:color w:val="auto"/>
              </w:rPr>
            </w:pPr>
            <w:r>
              <w:rPr>
                <w:rFonts w:ascii="Arial" w:cs="Arial" w:eastAsia="Arial" w:hAnsi="Arial"/>
                <w:sz w:val="12"/>
                <w:szCs w:val="12"/>
                <w:color w:val="auto"/>
              </w:rPr>
              <w:t>$</w:t>
            </w:r>
          </w:p>
        </w:tc>
        <w:tc>
          <w:tcPr>
            <w:tcW w:w="980" w:type="dxa"/>
            <w:vAlign w:val="bottom"/>
          </w:tcPr>
          <w:p>
            <w:pPr>
              <w:jc w:val="right"/>
              <w:spacing w:after="0"/>
              <w:rPr>
                <w:sz w:val="20"/>
                <w:szCs w:val="20"/>
                <w:color w:val="auto"/>
              </w:rPr>
            </w:pPr>
            <w:r>
              <w:rPr>
                <w:rFonts w:ascii="Arial" w:cs="Arial" w:eastAsia="Arial" w:hAnsi="Arial"/>
                <w:sz w:val="12"/>
                <w:szCs w:val="12"/>
                <w:color w:val="auto"/>
              </w:rPr>
              <w:t>4,054,748</w:t>
            </w:r>
          </w:p>
        </w:tc>
        <w:tc>
          <w:tcPr>
            <w:tcW w:w="120" w:type="dxa"/>
            <w:vAlign w:val="bottom"/>
          </w:tcPr>
          <w:p>
            <w:pPr>
              <w:spacing w:after="0"/>
              <w:rPr>
                <w:sz w:val="13"/>
                <w:szCs w:val="13"/>
                <w:color w:val="auto"/>
              </w:rPr>
            </w:pPr>
          </w:p>
        </w:tc>
      </w:tr>
      <w:tr>
        <w:trPr>
          <w:trHeight w:val="576"/>
        </w:trPr>
        <w:tc>
          <w:tcPr>
            <w:tcW w:w="4440" w:type="dxa"/>
            <w:vAlign w:val="bottom"/>
          </w:tcPr>
          <w:p>
            <w:pPr>
              <w:spacing w:after="0"/>
              <w:rPr>
                <w:sz w:val="24"/>
                <w:szCs w:val="24"/>
                <w:color w:val="auto"/>
              </w:rPr>
            </w:pPr>
          </w:p>
        </w:tc>
        <w:tc>
          <w:tcPr>
            <w:tcW w:w="4400" w:type="dxa"/>
            <w:vAlign w:val="bottom"/>
            <w:gridSpan w:val="2"/>
          </w:tcPr>
          <w:p>
            <w:pPr>
              <w:jc w:val="right"/>
              <w:ind w:right="3020"/>
              <w:spacing w:after="0"/>
              <w:rPr>
                <w:sz w:val="20"/>
                <w:szCs w:val="20"/>
                <w:color w:val="auto"/>
              </w:rPr>
            </w:pPr>
            <w:r>
              <w:rPr>
                <w:rFonts w:ascii="Arial" w:cs="Arial" w:eastAsia="Arial" w:hAnsi="Arial"/>
                <w:sz w:val="12"/>
                <w:szCs w:val="12"/>
                <w:color w:val="auto"/>
              </w:rPr>
              <w:t>S-7</w:t>
            </w: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480"/>
          </w:cols>
          <w:pgMar w:left="220" w:top="131" w:right="199" w:bottom="1440" w:gutter="0" w:footer="0" w:header="0"/>
        </w:sectPr>
      </w:pPr>
    </w:p>
    <w:bookmarkStart w:id="116" w:name="page117"/>
    <w:bookmarkEnd w:id="116"/>
    <w:p>
      <w:pPr>
        <w:ind w:left="10860"/>
        <w:spacing w:after="0"/>
        <w:rPr>
          <w:sz w:val="20"/>
          <w:szCs w:val="20"/>
          <w:color w:val="auto"/>
        </w:rPr>
      </w:pPr>
      <w:r>
        <w:rPr>
          <w:rFonts w:ascii="Arial" w:cs="Arial" w:eastAsia="Arial" w:hAnsi="Arial"/>
          <w:sz w:val="11"/>
          <w:szCs w:val="11"/>
          <w:b w:val="1"/>
          <w:bCs w:val="1"/>
          <w:color w:val="auto"/>
        </w:rPr>
        <w:t>Exhibit 21.1</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540" w:type="dxa"/>
            <w:vAlign w:val="bottom"/>
          </w:tcPr>
          <w:p>
            <w:pPr>
              <w:spacing w:after="0"/>
              <w:rPr>
                <w:sz w:val="13"/>
                <w:szCs w:val="13"/>
                <w:color w:val="auto"/>
              </w:rPr>
            </w:pPr>
          </w:p>
        </w:tc>
        <w:tc>
          <w:tcPr>
            <w:tcW w:w="7940" w:type="dxa"/>
            <w:vAlign w:val="bottom"/>
            <w:gridSpan w:val="3"/>
          </w:tcPr>
          <w:p>
            <w:pPr>
              <w:ind w:left="1420"/>
              <w:spacing w:after="0"/>
              <w:rPr>
                <w:sz w:val="20"/>
                <w:szCs w:val="20"/>
                <w:color w:val="auto"/>
              </w:rPr>
            </w:pPr>
            <w:r>
              <w:rPr>
                <w:rFonts w:ascii="Arial" w:cs="Arial" w:eastAsia="Arial" w:hAnsi="Arial"/>
                <w:sz w:val="12"/>
                <w:szCs w:val="12"/>
                <w:b w:val="1"/>
                <w:bCs w:val="1"/>
                <w:color w:val="auto"/>
              </w:rPr>
              <w:t>Subsidiaries of the Registrants</w:t>
            </w:r>
          </w:p>
        </w:tc>
        <w:tc>
          <w:tcPr>
            <w:tcW w:w="20" w:type="dxa"/>
            <w:vAlign w:val="bottom"/>
          </w:tcPr>
          <w:p>
            <w:pPr>
              <w:spacing w:after="0"/>
              <w:rPr>
                <w:sz w:val="13"/>
                <w:szCs w:val="13"/>
                <w:color w:val="auto"/>
              </w:rPr>
            </w:pPr>
          </w:p>
        </w:tc>
      </w:tr>
      <w:tr>
        <w:trPr>
          <w:trHeight w:val="284"/>
        </w:trPr>
        <w:tc>
          <w:tcPr>
            <w:tcW w:w="354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Subsidiary</w:t>
            </w:r>
          </w:p>
        </w:tc>
        <w:tc>
          <w:tcPr>
            <w:tcW w:w="3920" w:type="dxa"/>
            <w:vAlign w:val="bottom"/>
            <w:tcBorders>
              <w:bottom w:val="single" w:sz="8" w:color="auto"/>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6"/>
              </w:rPr>
              <w:t>State or other jurisdiction of incorporation or organization</w:t>
            </w:r>
          </w:p>
        </w:tc>
        <w:tc>
          <w:tcPr>
            <w:tcW w:w="20" w:type="dxa"/>
            <w:vAlign w:val="bottom"/>
          </w:tcPr>
          <w:p>
            <w:pPr>
              <w:spacing w:after="0"/>
              <w:rPr>
                <w:sz w:val="24"/>
                <w:szCs w:val="24"/>
                <w:color w:val="auto"/>
              </w:rPr>
            </w:pPr>
          </w:p>
        </w:tc>
      </w:tr>
      <w:tr>
        <w:trPr>
          <w:trHeight w:val="142"/>
        </w:trPr>
        <w:tc>
          <w:tcPr>
            <w:tcW w:w="3540" w:type="dxa"/>
            <w:vAlign w:val="bottom"/>
            <w:shd w:val="clear" w:color="auto" w:fill="CCEEFF"/>
          </w:tcPr>
          <w:p>
            <w:pPr>
              <w:spacing w:after="0"/>
              <w:rPr>
                <w:sz w:val="20"/>
                <w:szCs w:val="20"/>
                <w:color w:val="auto"/>
              </w:rPr>
            </w:pPr>
            <w:r>
              <w:rPr>
                <w:rFonts w:ascii="Arial" w:cs="Arial" w:eastAsia="Arial" w:hAnsi="Arial"/>
                <w:sz w:val="12"/>
                <w:szCs w:val="12"/>
                <w:color w:val="auto"/>
              </w:rPr>
              <w:t>CSL Capital, LLC</w:t>
            </w:r>
          </w:p>
        </w:tc>
        <w:tc>
          <w:tcPr>
            <w:tcW w:w="39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6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0"/>
              </w:rPr>
              <w:t>Delaware</w:t>
            </w:r>
          </w:p>
        </w:tc>
        <w:tc>
          <w:tcPr>
            <w:tcW w:w="20" w:type="dxa"/>
            <w:vAlign w:val="bottom"/>
          </w:tcPr>
          <w:p>
            <w:pPr>
              <w:spacing w:after="0"/>
              <w:rPr>
                <w:sz w:val="12"/>
                <w:szCs w:val="12"/>
                <w:color w:val="auto"/>
              </w:rPr>
            </w:pPr>
          </w:p>
        </w:tc>
      </w:tr>
      <w:tr>
        <w:trPr>
          <w:trHeight w:val="153"/>
        </w:trPr>
        <w:tc>
          <w:tcPr>
            <w:tcW w:w="3540" w:type="dxa"/>
            <w:vAlign w:val="bottom"/>
          </w:tcPr>
          <w:p>
            <w:pPr>
              <w:spacing w:after="0"/>
              <w:rPr>
                <w:sz w:val="20"/>
                <w:szCs w:val="20"/>
                <w:color w:val="auto"/>
              </w:rPr>
            </w:pPr>
            <w:r>
              <w:rPr>
                <w:rFonts w:ascii="Arial" w:cs="Arial" w:eastAsia="Arial" w:hAnsi="Arial"/>
                <w:sz w:val="12"/>
                <w:szCs w:val="12"/>
                <w:color w:val="auto"/>
              </w:rPr>
              <w:t>Contact Network, LLC</w:t>
            </w:r>
          </w:p>
        </w:tc>
        <w:tc>
          <w:tcPr>
            <w:tcW w:w="39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60" w:type="dxa"/>
            <w:vAlign w:val="bottom"/>
          </w:tcPr>
          <w:p>
            <w:pPr>
              <w:jc w:val="center"/>
              <w:spacing w:after="0"/>
              <w:rPr>
                <w:sz w:val="20"/>
                <w:szCs w:val="20"/>
                <w:color w:val="auto"/>
              </w:rPr>
            </w:pPr>
            <w:r>
              <w:rPr>
                <w:rFonts w:ascii="Arial" w:cs="Arial" w:eastAsia="Arial" w:hAnsi="Arial"/>
                <w:sz w:val="12"/>
                <w:szCs w:val="12"/>
                <w:color w:val="auto"/>
                <w:w w:val="92"/>
              </w:rPr>
              <w:t>Alabama</w:t>
            </w:r>
          </w:p>
        </w:tc>
        <w:tc>
          <w:tcPr>
            <w:tcW w:w="20" w:type="dxa"/>
            <w:vAlign w:val="bottom"/>
          </w:tcPr>
          <w:p>
            <w:pPr>
              <w:spacing w:after="0"/>
              <w:rPr>
                <w:sz w:val="13"/>
                <w:szCs w:val="13"/>
                <w:color w:val="auto"/>
              </w:rPr>
            </w:pPr>
          </w:p>
        </w:tc>
      </w:tr>
      <w:tr>
        <w:trPr>
          <w:trHeight w:val="153"/>
        </w:trPr>
        <w:tc>
          <w:tcPr>
            <w:tcW w:w="3540" w:type="dxa"/>
            <w:vAlign w:val="bottom"/>
            <w:shd w:val="clear" w:color="auto" w:fill="CCEEFF"/>
          </w:tcPr>
          <w:p>
            <w:pPr>
              <w:spacing w:after="0"/>
              <w:rPr>
                <w:sz w:val="20"/>
                <w:szCs w:val="20"/>
                <w:color w:val="auto"/>
              </w:rPr>
            </w:pPr>
            <w:r>
              <w:rPr>
                <w:rFonts w:ascii="Arial" w:cs="Arial" w:eastAsia="Arial" w:hAnsi="Arial"/>
                <w:sz w:val="12"/>
                <w:szCs w:val="12"/>
                <w:color w:val="auto"/>
              </w:rPr>
              <w:t>CSL Alabama System, LLC</w:t>
            </w:r>
          </w:p>
        </w:tc>
        <w:tc>
          <w:tcPr>
            <w:tcW w:w="39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6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0"/>
              </w:rPr>
              <w:t>Delaware</w:t>
            </w:r>
          </w:p>
        </w:tc>
        <w:tc>
          <w:tcPr>
            <w:tcW w:w="20" w:type="dxa"/>
            <w:vAlign w:val="bottom"/>
          </w:tcPr>
          <w:p>
            <w:pPr>
              <w:spacing w:after="0"/>
              <w:rPr>
                <w:sz w:val="13"/>
                <w:szCs w:val="13"/>
                <w:color w:val="auto"/>
              </w:rPr>
            </w:pPr>
          </w:p>
        </w:tc>
      </w:tr>
      <w:tr>
        <w:trPr>
          <w:trHeight w:val="153"/>
        </w:trPr>
        <w:tc>
          <w:tcPr>
            <w:tcW w:w="3540" w:type="dxa"/>
            <w:vAlign w:val="bottom"/>
          </w:tcPr>
          <w:p>
            <w:pPr>
              <w:spacing w:after="0"/>
              <w:rPr>
                <w:sz w:val="20"/>
                <w:szCs w:val="20"/>
                <w:color w:val="auto"/>
              </w:rPr>
            </w:pPr>
            <w:r>
              <w:rPr>
                <w:rFonts w:ascii="Arial" w:cs="Arial" w:eastAsia="Arial" w:hAnsi="Arial"/>
                <w:sz w:val="12"/>
                <w:szCs w:val="12"/>
                <w:color w:val="auto"/>
              </w:rPr>
              <w:t>CSL Arkansas System, LLC</w:t>
            </w:r>
          </w:p>
        </w:tc>
        <w:tc>
          <w:tcPr>
            <w:tcW w:w="39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60" w:type="dxa"/>
            <w:vAlign w:val="bottom"/>
          </w:tcPr>
          <w:p>
            <w:pPr>
              <w:jc w:val="center"/>
              <w:spacing w:after="0"/>
              <w:rPr>
                <w:sz w:val="20"/>
                <w:szCs w:val="20"/>
                <w:color w:val="auto"/>
              </w:rPr>
            </w:pPr>
            <w:r>
              <w:rPr>
                <w:rFonts w:ascii="Arial" w:cs="Arial" w:eastAsia="Arial" w:hAnsi="Arial"/>
                <w:sz w:val="12"/>
                <w:szCs w:val="12"/>
                <w:color w:val="auto"/>
                <w:w w:val="90"/>
              </w:rPr>
              <w:t>Delaware</w:t>
            </w:r>
          </w:p>
        </w:tc>
        <w:tc>
          <w:tcPr>
            <w:tcW w:w="20" w:type="dxa"/>
            <w:vAlign w:val="bottom"/>
          </w:tcPr>
          <w:p>
            <w:pPr>
              <w:spacing w:after="0"/>
              <w:rPr>
                <w:sz w:val="13"/>
                <w:szCs w:val="13"/>
                <w:color w:val="auto"/>
              </w:rPr>
            </w:pPr>
          </w:p>
        </w:tc>
      </w:tr>
      <w:tr>
        <w:trPr>
          <w:trHeight w:val="153"/>
        </w:trPr>
        <w:tc>
          <w:tcPr>
            <w:tcW w:w="3540" w:type="dxa"/>
            <w:vAlign w:val="bottom"/>
            <w:shd w:val="clear" w:color="auto" w:fill="CCEEFF"/>
          </w:tcPr>
          <w:p>
            <w:pPr>
              <w:spacing w:after="0"/>
              <w:rPr>
                <w:sz w:val="20"/>
                <w:szCs w:val="20"/>
                <w:color w:val="auto"/>
              </w:rPr>
            </w:pPr>
            <w:r>
              <w:rPr>
                <w:rFonts w:ascii="Arial" w:cs="Arial" w:eastAsia="Arial" w:hAnsi="Arial"/>
                <w:sz w:val="12"/>
                <w:szCs w:val="12"/>
                <w:color w:val="auto"/>
              </w:rPr>
              <w:t>CSL Florida System, LLC</w:t>
            </w:r>
          </w:p>
        </w:tc>
        <w:tc>
          <w:tcPr>
            <w:tcW w:w="39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6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0"/>
              </w:rPr>
              <w:t>Delaware</w:t>
            </w:r>
          </w:p>
        </w:tc>
        <w:tc>
          <w:tcPr>
            <w:tcW w:w="20" w:type="dxa"/>
            <w:vAlign w:val="bottom"/>
          </w:tcPr>
          <w:p>
            <w:pPr>
              <w:spacing w:after="0"/>
              <w:rPr>
                <w:sz w:val="13"/>
                <w:szCs w:val="13"/>
                <w:color w:val="auto"/>
              </w:rPr>
            </w:pPr>
          </w:p>
        </w:tc>
      </w:tr>
      <w:tr>
        <w:trPr>
          <w:trHeight w:val="153"/>
        </w:trPr>
        <w:tc>
          <w:tcPr>
            <w:tcW w:w="3540" w:type="dxa"/>
            <w:vAlign w:val="bottom"/>
          </w:tcPr>
          <w:p>
            <w:pPr>
              <w:spacing w:after="0"/>
              <w:rPr>
                <w:sz w:val="20"/>
                <w:szCs w:val="20"/>
                <w:color w:val="auto"/>
              </w:rPr>
            </w:pPr>
            <w:r>
              <w:rPr>
                <w:rFonts w:ascii="Arial" w:cs="Arial" w:eastAsia="Arial" w:hAnsi="Arial"/>
                <w:sz w:val="12"/>
                <w:szCs w:val="12"/>
                <w:color w:val="auto"/>
              </w:rPr>
              <w:t>CSL Georgia Realty, LLC</w:t>
            </w:r>
          </w:p>
        </w:tc>
        <w:tc>
          <w:tcPr>
            <w:tcW w:w="39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60" w:type="dxa"/>
            <w:vAlign w:val="bottom"/>
          </w:tcPr>
          <w:p>
            <w:pPr>
              <w:jc w:val="center"/>
              <w:spacing w:after="0"/>
              <w:rPr>
                <w:sz w:val="20"/>
                <w:szCs w:val="20"/>
                <w:color w:val="auto"/>
              </w:rPr>
            </w:pPr>
            <w:r>
              <w:rPr>
                <w:rFonts w:ascii="Arial" w:cs="Arial" w:eastAsia="Arial" w:hAnsi="Arial"/>
                <w:sz w:val="12"/>
                <w:szCs w:val="12"/>
                <w:color w:val="auto"/>
                <w:w w:val="90"/>
              </w:rPr>
              <w:t>Delaware</w:t>
            </w:r>
          </w:p>
        </w:tc>
        <w:tc>
          <w:tcPr>
            <w:tcW w:w="20" w:type="dxa"/>
            <w:vAlign w:val="bottom"/>
          </w:tcPr>
          <w:p>
            <w:pPr>
              <w:spacing w:after="0"/>
              <w:rPr>
                <w:sz w:val="13"/>
                <w:szCs w:val="13"/>
                <w:color w:val="auto"/>
              </w:rPr>
            </w:pPr>
          </w:p>
        </w:tc>
      </w:tr>
      <w:tr>
        <w:trPr>
          <w:trHeight w:val="153"/>
        </w:trPr>
        <w:tc>
          <w:tcPr>
            <w:tcW w:w="3540" w:type="dxa"/>
            <w:vAlign w:val="bottom"/>
            <w:shd w:val="clear" w:color="auto" w:fill="CCEEFF"/>
          </w:tcPr>
          <w:p>
            <w:pPr>
              <w:spacing w:after="0"/>
              <w:rPr>
                <w:sz w:val="20"/>
                <w:szCs w:val="20"/>
                <w:color w:val="auto"/>
              </w:rPr>
            </w:pPr>
            <w:r>
              <w:rPr>
                <w:rFonts w:ascii="Arial" w:cs="Arial" w:eastAsia="Arial" w:hAnsi="Arial"/>
                <w:sz w:val="12"/>
                <w:szCs w:val="12"/>
                <w:color w:val="auto"/>
              </w:rPr>
              <w:t>CSL Georgia System, LLC</w:t>
            </w:r>
          </w:p>
        </w:tc>
        <w:tc>
          <w:tcPr>
            <w:tcW w:w="39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6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0"/>
              </w:rPr>
              <w:t>Delaware</w:t>
            </w:r>
          </w:p>
        </w:tc>
        <w:tc>
          <w:tcPr>
            <w:tcW w:w="20" w:type="dxa"/>
            <w:vAlign w:val="bottom"/>
          </w:tcPr>
          <w:p>
            <w:pPr>
              <w:spacing w:after="0"/>
              <w:rPr>
                <w:sz w:val="13"/>
                <w:szCs w:val="13"/>
                <w:color w:val="auto"/>
              </w:rPr>
            </w:pPr>
          </w:p>
        </w:tc>
      </w:tr>
      <w:tr>
        <w:trPr>
          <w:trHeight w:val="153"/>
        </w:trPr>
        <w:tc>
          <w:tcPr>
            <w:tcW w:w="3540" w:type="dxa"/>
            <w:vAlign w:val="bottom"/>
          </w:tcPr>
          <w:p>
            <w:pPr>
              <w:spacing w:after="0"/>
              <w:rPr>
                <w:sz w:val="20"/>
                <w:szCs w:val="20"/>
                <w:color w:val="auto"/>
              </w:rPr>
            </w:pPr>
            <w:r>
              <w:rPr>
                <w:rFonts w:ascii="Arial" w:cs="Arial" w:eastAsia="Arial" w:hAnsi="Arial"/>
                <w:sz w:val="12"/>
                <w:szCs w:val="12"/>
                <w:color w:val="auto"/>
              </w:rPr>
              <w:t>CSL Iowa System, LLC</w:t>
            </w:r>
          </w:p>
        </w:tc>
        <w:tc>
          <w:tcPr>
            <w:tcW w:w="39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60" w:type="dxa"/>
            <w:vAlign w:val="bottom"/>
          </w:tcPr>
          <w:p>
            <w:pPr>
              <w:jc w:val="center"/>
              <w:spacing w:after="0"/>
              <w:rPr>
                <w:sz w:val="20"/>
                <w:szCs w:val="20"/>
                <w:color w:val="auto"/>
              </w:rPr>
            </w:pPr>
            <w:r>
              <w:rPr>
                <w:rFonts w:ascii="Arial" w:cs="Arial" w:eastAsia="Arial" w:hAnsi="Arial"/>
                <w:sz w:val="12"/>
                <w:szCs w:val="12"/>
                <w:color w:val="auto"/>
                <w:w w:val="90"/>
              </w:rPr>
              <w:t>Delaware</w:t>
            </w:r>
          </w:p>
        </w:tc>
        <w:tc>
          <w:tcPr>
            <w:tcW w:w="20" w:type="dxa"/>
            <w:vAlign w:val="bottom"/>
          </w:tcPr>
          <w:p>
            <w:pPr>
              <w:spacing w:after="0"/>
              <w:rPr>
                <w:sz w:val="13"/>
                <w:szCs w:val="13"/>
                <w:color w:val="auto"/>
              </w:rPr>
            </w:pPr>
          </w:p>
        </w:tc>
      </w:tr>
      <w:tr>
        <w:trPr>
          <w:trHeight w:val="153"/>
        </w:trPr>
        <w:tc>
          <w:tcPr>
            <w:tcW w:w="3540" w:type="dxa"/>
            <w:vAlign w:val="bottom"/>
            <w:shd w:val="clear" w:color="auto" w:fill="CCEEFF"/>
          </w:tcPr>
          <w:p>
            <w:pPr>
              <w:spacing w:after="0"/>
              <w:rPr>
                <w:sz w:val="20"/>
                <w:szCs w:val="20"/>
                <w:color w:val="auto"/>
              </w:rPr>
            </w:pPr>
            <w:r>
              <w:rPr>
                <w:rFonts w:ascii="Arial" w:cs="Arial" w:eastAsia="Arial" w:hAnsi="Arial"/>
                <w:sz w:val="12"/>
                <w:szCs w:val="12"/>
                <w:color w:val="auto"/>
              </w:rPr>
              <w:t>CSL Kentucky System, LLC</w:t>
            </w:r>
          </w:p>
        </w:tc>
        <w:tc>
          <w:tcPr>
            <w:tcW w:w="39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6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0"/>
              </w:rPr>
              <w:t>Delaware</w:t>
            </w:r>
          </w:p>
        </w:tc>
        <w:tc>
          <w:tcPr>
            <w:tcW w:w="20" w:type="dxa"/>
            <w:vAlign w:val="bottom"/>
          </w:tcPr>
          <w:p>
            <w:pPr>
              <w:spacing w:after="0"/>
              <w:rPr>
                <w:sz w:val="13"/>
                <w:szCs w:val="13"/>
                <w:color w:val="auto"/>
              </w:rPr>
            </w:pPr>
          </w:p>
        </w:tc>
      </w:tr>
      <w:tr>
        <w:trPr>
          <w:trHeight w:val="153"/>
        </w:trPr>
        <w:tc>
          <w:tcPr>
            <w:tcW w:w="3540" w:type="dxa"/>
            <w:vAlign w:val="bottom"/>
          </w:tcPr>
          <w:p>
            <w:pPr>
              <w:spacing w:after="0"/>
              <w:rPr>
                <w:sz w:val="20"/>
                <w:szCs w:val="20"/>
                <w:color w:val="auto"/>
              </w:rPr>
            </w:pPr>
            <w:r>
              <w:rPr>
                <w:rFonts w:ascii="Arial" w:cs="Arial" w:eastAsia="Arial" w:hAnsi="Arial"/>
                <w:sz w:val="12"/>
                <w:szCs w:val="12"/>
                <w:color w:val="auto"/>
              </w:rPr>
              <w:t>CSL Mississippi System, LLC</w:t>
            </w:r>
          </w:p>
        </w:tc>
        <w:tc>
          <w:tcPr>
            <w:tcW w:w="39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60" w:type="dxa"/>
            <w:vAlign w:val="bottom"/>
          </w:tcPr>
          <w:p>
            <w:pPr>
              <w:jc w:val="center"/>
              <w:spacing w:after="0"/>
              <w:rPr>
                <w:sz w:val="20"/>
                <w:szCs w:val="20"/>
                <w:color w:val="auto"/>
              </w:rPr>
            </w:pPr>
            <w:r>
              <w:rPr>
                <w:rFonts w:ascii="Arial" w:cs="Arial" w:eastAsia="Arial" w:hAnsi="Arial"/>
                <w:sz w:val="12"/>
                <w:szCs w:val="12"/>
                <w:color w:val="auto"/>
                <w:w w:val="90"/>
              </w:rPr>
              <w:t>Delaware</w:t>
            </w:r>
          </w:p>
        </w:tc>
        <w:tc>
          <w:tcPr>
            <w:tcW w:w="20" w:type="dxa"/>
            <w:vAlign w:val="bottom"/>
          </w:tcPr>
          <w:p>
            <w:pPr>
              <w:spacing w:after="0"/>
              <w:rPr>
                <w:sz w:val="13"/>
                <w:szCs w:val="13"/>
                <w:color w:val="auto"/>
              </w:rPr>
            </w:pPr>
          </w:p>
        </w:tc>
      </w:tr>
      <w:tr>
        <w:trPr>
          <w:trHeight w:val="153"/>
        </w:trPr>
        <w:tc>
          <w:tcPr>
            <w:tcW w:w="3540" w:type="dxa"/>
            <w:vAlign w:val="bottom"/>
            <w:shd w:val="clear" w:color="auto" w:fill="CCEEFF"/>
          </w:tcPr>
          <w:p>
            <w:pPr>
              <w:spacing w:after="0"/>
              <w:rPr>
                <w:sz w:val="20"/>
                <w:szCs w:val="20"/>
                <w:color w:val="auto"/>
              </w:rPr>
            </w:pPr>
            <w:r>
              <w:rPr>
                <w:rFonts w:ascii="Arial" w:cs="Arial" w:eastAsia="Arial" w:hAnsi="Arial"/>
                <w:sz w:val="12"/>
                <w:szCs w:val="12"/>
                <w:color w:val="auto"/>
              </w:rPr>
              <w:t>CSL Missouri System, LLC</w:t>
            </w:r>
          </w:p>
        </w:tc>
        <w:tc>
          <w:tcPr>
            <w:tcW w:w="39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6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0"/>
              </w:rPr>
              <w:t>Delaware</w:t>
            </w:r>
          </w:p>
        </w:tc>
        <w:tc>
          <w:tcPr>
            <w:tcW w:w="20" w:type="dxa"/>
            <w:vAlign w:val="bottom"/>
          </w:tcPr>
          <w:p>
            <w:pPr>
              <w:spacing w:after="0"/>
              <w:rPr>
                <w:sz w:val="13"/>
                <w:szCs w:val="13"/>
                <w:color w:val="auto"/>
              </w:rPr>
            </w:pPr>
          </w:p>
        </w:tc>
      </w:tr>
      <w:tr>
        <w:trPr>
          <w:trHeight w:val="153"/>
        </w:trPr>
        <w:tc>
          <w:tcPr>
            <w:tcW w:w="3540" w:type="dxa"/>
            <w:vAlign w:val="bottom"/>
          </w:tcPr>
          <w:p>
            <w:pPr>
              <w:spacing w:after="0"/>
              <w:rPr>
                <w:sz w:val="20"/>
                <w:szCs w:val="20"/>
                <w:color w:val="auto"/>
              </w:rPr>
            </w:pPr>
            <w:r>
              <w:rPr>
                <w:rFonts w:ascii="Arial" w:cs="Arial" w:eastAsia="Arial" w:hAnsi="Arial"/>
                <w:sz w:val="12"/>
                <w:szCs w:val="12"/>
                <w:color w:val="auto"/>
              </w:rPr>
              <w:t>CSL National, LP</w:t>
            </w:r>
          </w:p>
        </w:tc>
        <w:tc>
          <w:tcPr>
            <w:tcW w:w="39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60" w:type="dxa"/>
            <w:vAlign w:val="bottom"/>
          </w:tcPr>
          <w:p>
            <w:pPr>
              <w:jc w:val="center"/>
              <w:spacing w:after="0"/>
              <w:rPr>
                <w:sz w:val="20"/>
                <w:szCs w:val="20"/>
                <w:color w:val="auto"/>
              </w:rPr>
            </w:pPr>
            <w:r>
              <w:rPr>
                <w:rFonts w:ascii="Arial" w:cs="Arial" w:eastAsia="Arial" w:hAnsi="Arial"/>
                <w:sz w:val="12"/>
                <w:szCs w:val="12"/>
                <w:color w:val="auto"/>
                <w:w w:val="90"/>
              </w:rPr>
              <w:t>Delaware</w:t>
            </w:r>
          </w:p>
        </w:tc>
        <w:tc>
          <w:tcPr>
            <w:tcW w:w="20" w:type="dxa"/>
            <w:vAlign w:val="bottom"/>
          </w:tcPr>
          <w:p>
            <w:pPr>
              <w:spacing w:after="0"/>
              <w:rPr>
                <w:sz w:val="13"/>
                <w:szCs w:val="13"/>
                <w:color w:val="auto"/>
              </w:rPr>
            </w:pPr>
          </w:p>
        </w:tc>
      </w:tr>
      <w:tr>
        <w:trPr>
          <w:trHeight w:val="153"/>
        </w:trPr>
        <w:tc>
          <w:tcPr>
            <w:tcW w:w="3540" w:type="dxa"/>
            <w:vAlign w:val="bottom"/>
            <w:shd w:val="clear" w:color="auto" w:fill="CCEEFF"/>
          </w:tcPr>
          <w:p>
            <w:pPr>
              <w:spacing w:after="0"/>
              <w:rPr>
                <w:sz w:val="20"/>
                <w:szCs w:val="20"/>
                <w:color w:val="auto"/>
              </w:rPr>
            </w:pPr>
            <w:r>
              <w:rPr>
                <w:rFonts w:ascii="Arial" w:cs="Arial" w:eastAsia="Arial" w:hAnsi="Arial"/>
                <w:sz w:val="12"/>
                <w:szCs w:val="12"/>
                <w:color w:val="auto"/>
              </w:rPr>
              <w:t>CSL National GP, LLC</w:t>
            </w:r>
          </w:p>
        </w:tc>
        <w:tc>
          <w:tcPr>
            <w:tcW w:w="39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6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0"/>
              </w:rPr>
              <w:t>Delaware</w:t>
            </w:r>
          </w:p>
        </w:tc>
        <w:tc>
          <w:tcPr>
            <w:tcW w:w="20" w:type="dxa"/>
            <w:vAlign w:val="bottom"/>
          </w:tcPr>
          <w:p>
            <w:pPr>
              <w:spacing w:after="0"/>
              <w:rPr>
                <w:sz w:val="13"/>
                <w:szCs w:val="13"/>
                <w:color w:val="auto"/>
              </w:rPr>
            </w:pPr>
          </w:p>
        </w:tc>
      </w:tr>
      <w:tr>
        <w:trPr>
          <w:trHeight w:val="153"/>
        </w:trPr>
        <w:tc>
          <w:tcPr>
            <w:tcW w:w="3540" w:type="dxa"/>
            <w:vAlign w:val="bottom"/>
          </w:tcPr>
          <w:p>
            <w:pPr>
              <w:spacing w:after="0"/>
              <w:rPr>
                <w:sz w:val="20"/>
                <w:szCs w:val="20"/>
                <w:color w:val="auto"/>
              </w:rPr>
            </w:pPr>
            <w:r>
              <w:rPr>
                <w:rFonts w:ascii="Arial" w:cs="Arial" w:eastAsia="Arial" w:hAnsi="Arial"/>
                <w:sz w:val="12"/>
                <w:szCs w:val="12"/>
                <w:color w:val="auto"/>
              </w:rPr>
              <w:t>CSL New Mexico System, LLC</w:t>
            </w:r>
          </w:p>
        </w:tc>
        <w:tc>
          <w:tcPr>
            <w:tcW w:w="39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60" w:type="dxa"/>
            <w:vAlign w:val="bottom"/>
          </w:tcPr>
          <w:p>
            <w:pPr>
              <w:jc w:val="center"/>
              <w:spacing w:after="0"/>
              <w:rPr>
                <w:sz w:val="20"/>
                <w:szCs w:val="20"/>
                <w:color w:val="auto"/>
              </w:rPr>
            </w:pPr>
            <w:r>
              <w:rPr>
                <w:rFonts w:ascii="Arial" w:cs="Arial" w:eastAsia="Arial" w:hAnsi="Arial"/>
                <w:sz w:val="12"/>
                <w:szCs w:val="12"/>
                <w:color w:val="auto"/>
                <w:w w:val="90"/>
              </w:rPr>
              <w:t>Delaware</w:t>
            </w:r>
          </w:p>
        </w:tc>
        <w:tc>
          <w:tcPr>
            <w:tcW w:w="20" w:type="dxa"/>
            <w:vAlign w:val="bottom"/>
          </w:tcPr>
          <w:p>
            <w:pPr>
              <w:spacing w:after="0"/>
              <w:rPr>
                <w:sz w:val="13"/>
                <w:szCs w:val="13"/>
                <w:color w:val="auto"/>
              </w:rPr>
            </w:pPr>
          </w:p>
        </w:tc>
      </w:tr>
      <w:tr>
        <w:trPr>
          <w:trHeight w:val="153"/>
        </w:trPr>
        <w:tc>
          <w:tcPr>
            <w:tcW w:w="3540" w:type="dxa"/>
            <w:vAlign w:val="bottom"/>
            <w:shd w:val="clear" w:color="auto" w:fill="CCEEFF"/>
          </w:tcPr>
          <w:p>
            <w:pPr>
              <w:spacing w:after="0"/>
              <w:rPr>
                <w:sz w:val="20"/>
                <w:szCs w:val="20"/>
                <w:color w:val="auto"/>
              </w:rPr>
            </w:pPr>
            <w:r>
              <w:rPr>
                <w:rFonts w:ascii="Arial" w:cs="Arial" w:eastAsia="Arial" w:hAnsi="Arial"/>
                <w:sz w:val="12"/>
                <w:szCs w:val="12"/>
                <w:color w:val="auto"/>
              </w:rPr>
              <w:t>CSL North Carolina Realty, LP</w:t>
            </w:r>
          </w:p>
        </w:tc>
        <w:tc>
          <w:tcPr>
            <w:tcW w:w="39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6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0"/>
              </w:rPr>
              <w:t>Delaware</w:t>
            </w:r>
          </w:p>
        </w:tc>
        <w:tc>
          <w:tcPr>
            <w:tcW w:w="20" w:type="dxa"/>
            <w:vAlign w:val="bottom"/>
          </w:tcPr>
          <w:p>
            <w:pPr>
              <w:spacing w:after="0"/>
              <w:rPr>
                <w:sz w:val="13"/>
                <w:szCs w:val="13"/>
                <w:color w:val="auto"/>
              </w:rPr>
            </w:pPr>
          </w:p>
        </w:tc>
      </w:tr>
      <w:tr>
        <w:trPr>
          <w:trHeight w:val="153"/>
        </w:trPr>
        <w:tc>
          <w:tcPr>
            <w:tcW w:w="3540" w:type="dxa"/>
            <w:vAlign w:val="bottom"/>
          </w:tcPr>
          <w:p>
            <w:pPr>
              <w:spacing w:after="0"/>
              <w:rPr>
                <w:sz w:val="20"/>
                <w:szCs w:val="20"/>
                <w:color w:val="auto"/>
              </w:rPr>
            </w:pPr>
            <w:r>
              <w:rPr>
                <w:rFonts w:ascii="Arial" w:cs="Arial" w:eastAsia="Arial" w:hAnsi="Arial"/>
                <w:sz w:val="12"/>
                <w:szCs w:val="12"/>
                <w:color w:val="auto"/>
              </w:rPr>
              <w:t>CSL North Carolina Realty GP, LLC</w:t>
            </w:r>
          </w:p>
        </w:tc>
        <w:tc>
          <w:tcPr>
            <w:tcW w:w="39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60" w:type="dxa"/>
            <w:vAlign w:val="bottom"/>
          </w:tcPr>
          <w:p>
            <w:pPr>
              <w:jc w:val="center"/>
              <w:spacing w:after="0"/>
              <w:rPr>
                <w:sz w:val="20"/>
                <w:szCs w:val="20"/>
                <w:color w:val="auto"/>
              </w:rPr>
            </w:pPr>
            <w:r>
              <w:rPr>
                <w:rFonts w:ascii="Arial" w:cs="Arial" w:eastAsia="Arial" w:hAnsi="Arial"/>
                <w:sz w:val="12"/>
                <w:szCs w:val="12"/>
                <w:color w:val="auto"/>
                <w:w w:val="90"/>
              </w:rPr>
              <w:t>Delaware</w:t>
            </w:r>
          </w:p>
        </w:tc>
        <w:tc>
          <w:tcPr>
            <w:tcW w:w="20" w:type="dxa"/>
            <w:vAlign w:val="bottom"/>
          </w:tcPr>
          <w:p>
            <w:pPr>
              <w:spacing w:after="0"/>
              <w:rPr>
                <w:sz w:val="13"/>
                <w:szCs w:val="13"/>
                <w:color w:val="auto"/>
              </w:rPr>
            </w:pPr>
          </w:p>
        </w:tc>
      </w:tr>
      <w:tr>
        <w:trPr>
          <w:trHeight w:val="153"/>
        </w:trPr>
        <w:tc>
          <w:tcPr>
            <w:tcW w:w="3540" w:type="dxa"/>
            <w:vAlign w:val="bottom"/>
            <w:shd w:val="clear" w:color="auto" w:fill="CCEEFF"/>
          </w:tcPr>
          <w:p>
            <w:pPr>
              <w:spacing w:after="0"/>
              <w:rPr>
                <w:sz w:val="20"/>
                <w:szCs w:val="20"/>
                <w:color w:val="auto"/>
              </w:rPr>
            </w:pPr>
            <w:r>
              <w:rPr>
                <w:rFonts w:ascii="Arial" w:cs="Arial" w:eastAsia="Arial" w:hAnsi="Arial"/>
                <w:sz w:val="12"/>
                <w:szCs w:val="12"/>
                <w:color w:val="auto"/>
              </w:rPr>
              <w:t>CSL North Carolina System, LP</w:t>
            </w:r>
          </w:p>
        </w:tc>
        <w:tc>
          <w:tcPr>
            <w:tcW w:w="39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6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0"/>
              </w:rPr>
              <w:t>Delaware</w:t>
            </w:r>
          </w:p>
        </w:tc>
        <w:tc>
          <w:tcPr>
            <w:tcW w:w="20" w:type="dxa"/>
            <w:vAlign w:val="bottom"/>
          </w:tcPr>
          <w:p>
            <w:pPr>
              <w:spacing w:after="0"/>
              <w:rPr>
                <w:sz w:val="13"/>
                <w:szCs w:val="13"/>
                <w:color w:val="auto"/>
              </w:rPr>
            </w:pPr>
          </w:p>
        </w:tc>
      </w:tr>
      <w:tr>
        <w:trPr>
          <w:trHeight w:val="153"/>
        </w:trPr>
        <w:tc>
          <w:tcPr>
            <w:tcW w:w="3540" w:type="dxa"/>
            <w:vAlign w:val="bottom"/>
          </w:tcPr>
          <w:p>
            <w:pPr>
              <w:spacing w:after="0"/>
              <w:rPr>
                <w:sz w:val="20"/>
                <w:szCs w:val="20"/>
                <w:color w:val="auto"/>
              </w:rPr>
            </w:pPr>
            <w:r>
              <w:rPr>
                <w:rFonts w:ascii="Arial" w:cs="Arial" w:eastAsia="Arial" w:hAnsi="Arial"/>
                <w:sz w:val="12"/>
                <w:szCs w:val="12"/>
                <w:color w:val="auto"/>
              </w:rPr>
              <w:t>CSL Ohio System, LLC</w:t>
            </w:r>
          </w:p>
        </w:tc>
        <w:tc>
          <w:tcPr>
            <w:tcW w:w="39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60" w:type="dxa"/>
            <w:vAlign w:val="bottom"/>
          </w:tcPr>
          <w:p>
            <w:pPr>
              <w:jc w:val="center"/>
              <w:spacing w:after="0"/>
              <w:rPr>
                <w:sz w:val="20"/>
                <w:szCs w:val="20"/>
                <w:color w:val="auto"/>
              </w:rPr>
            </w:pPr>
            <w:r>
              <w:rPr>
                <w:rFonts w:ascii="Arial" w:cs="Arial" w:eastAsia="Arial" w:hAnsi="Arial"/>
                <w:sz w:val="12"/>
                <w:szCs w:val="12"/>
                <w:color w:val="auto"/>
                <w:w w:val="90"/>
              </w:rPr>
              <w:t>Delaware</w:t>
            </w:r>
          </w:p>
        </w:tc>
        <w:tc>
          <w:tcPr>
            <w:tcW w:w="20" w:type="dxa"/>
            <w:vAlign w:val="bottom"/>
          </w:tcPr>
          <w:p>
            <w:pPr>
              <w:spacing w:after="0"/>
              <w:rPr>
                <w:sz w:val="13"/>
                <w:szCs w:val="13"/>
                <w:color w:val="auto"/>
              </w:rPr>
            </w:pPr>
          </w:p>
        </w:tc>
      </w:tr>
      <w:tr>
        <w:trPr>
          <w:trHeight w:val="153"/>
        </w:trPr>
        <w:tc>
          <w:tcPr>
            <w:tcW w:w="3540" w:type="dxa"/>
            <w:vAlign w:val="bottom"/>
            <w:shd w:val="clear" w:color="auto" w:fill="CCEEFF"/>
          </w:tcPr>
          <w:p>
            <w:pPr>
              <w:spacing w:after="0"/>
              <w:rPr>
                <w:sz w:val="20"/>
                <w:szCs w:val="20"/>
                <w:color w:val="auto"/>
              </w:rPr>
            </w:pPr>
            <w:r>
              <w:rPr>
                <w:rFonts w:ascii="Arial" w:cs="Arial" w:eastAsia="Arial" w:hAnsi="Arial"/>
                <w:sz w:val="12"/>
                <w:szCs w:val="12"/>
                <w:color w:val="auto"/>
              </w:rPr>
              <w:t>CSL Oklahoma System, LLC</w:t>
            </w:r>
          </w:p>
        </w:tc>
        <w:tc>
          <w:tcPr>
            <w:tcW w:w="39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6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0"/>
              </w:rPr>
              <w:t>Delaware</w:t>
            </w:r>
          </w:p>
        </w:tc>
        <w:tc>
          <w:tcPr>
            <w:tcW w:w="20" w:type="dxa"/>
            <w:vAlign w:val="bottom"/>
          </w:tcPr>
          <w:p>
            <w:pPr>
              <w:spacing w:after="0"/>
              <w:rPr>
                <w:sz w:val="13"/>
                <w:szCs w:val="13"/>
                <w:color w:val="auto"/>
              </w:rPr>
            </w:pPr>
          </w:p>
        </w:tc>
      </w:tr>
      <w:tr>
        <w:trPr>
          <w:trHeight w:val="153"/>
        </w:trPr>
        <w:tc>
          <w:tcPr>
            <w:tcW w:w="3540" w:type="dxa"/>
            <w:vAlign w:val="bottom"/>
          </w:tcPr>
          <w:p>
            <w:pPr>
              <w:spacing w:after="0"/>
              <w:rPr>
                <w:sz w:val="20"/>
                <w:szCs w:val="20"/>
                <w:color w:val="auto"/>
              </w:rPr>
            </w:pPr>
            <w:r>
              <w:rPr>
                <w:rFonts w:ascii="Arial" w:cs="Arial" w:eastAsia="Arial" w:hAnsi="Arial"/>
                <w:sz w:val="12"/>
                <w:szCs w:val="12"/>
                <w:color w:val="auto"/>
              </w:rPr>
              <w:t>CSL Realty, LLC</w:t>
            </w:r>
          </w:p>
        </w:tc>
        <w:tc>
          <w:tcPr>
            <w:tcW w:w="39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60" w:type="dxa"/>
            <w:vAlign w:val="bottom"/>
          </w:tcPr>
          <w:p>
            <w:pPr>
              <w:jc w:val="center"/>
              <w:spacing w:after="0"/>
              <w:rPr>
                <w:sz w:val="20"/>
                <w:szCs w:val="20"/>
                <w:color w:val="auto"/>
              </w:rPr>
            </w:pPr>
            <w:r>
              <w:rPr>
                <w:rFonts w:ascii="Arial" w:cs="Arial" w:eastAsia="Arial" w:hAnsi="Arial"/>
                <w:sz w:val="12"/>
                <w:szCs w:val="12"/>
                <w:color w:val="auto"/>
                <w:w w:val="90"/>
              </w:rPr>
              <w:t>Delaware</w:t>
            </w:r>
          </w:p>
        </w:tc>
        <w:tc>
          <w:tcPr>
            <w:tcW w:w="20" w:type="dxa"/>
            <w:vAlign w:val="bottom"/>
          </w:tcPr>
          <w:p>
            <w:pPr>
              <w:spacing w:after="0"/>
              <w:rPr>
                <w:sz w:val="13"/>
                <w:szCs w:val="13"/>
                <w:color w:val="auto"/>
              </w:rPr>
            </w:pPr>
          </w:p>
        </w:tc>
      </w:tr>
      <w:tr>
        <w:trPr>
          <w:trHeight w:val="153"/>
        </w:trPr>
        <w:tc>
          <w:tcPr>
            <w:tcW w:w="3540" w:type="dxa"/>
            <w:vAlign w:val="bottom"/>
            <w:shd w:val="clear" w:color="auto" w:fill="CCEEFF"/>
          </w:tcPr>
          <w:p>
            <w:pPr>
              <w:spacing w:after="0"/>
              <w:rPr>
                <w:sz w:val="20"/>
                <w:szCs w:val="20"/>
                <w:color w:val="auto"/>
              </w:rPr>
            </w:pPr>
            <w:r>
              <w:rPr>
                <w:rFonts w:ascii="Arial" w:cs="Arial" w:eastAsia="Arial" w:hAnsi="Arial"/>
                <w:sz w:val="12"/>
                <w:szCs w:val="12"/>
                <w:color w:val="auto"/>
              </w:rPr>
              <w:t>CSL Tennessee Realty, LLC</w:t>
            </w:r>
          </w:p>
        </w:tc>
        <w:tc>
          <w:tcPr>
            <w:tcW w:w="39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6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0"/>
              </w:rPr>
              <w:t>Delaware</w:t>
            </w:r>
          </w:p>
        </w:tc>
        <w:tc>
          <w:tcPr>
            <w:tcW w:w="20" w:type="dxa"/>
            <w:vAlign w:val="bottom"/>
          </w:tcPr>
          <w:p>
            <w:pPr>
              <w:spacing w:after="0"/>
              <w:rPr>
                <w:sz w:val="13"/>
                <w:szCs w:val="13"/>
                <w:color w:val="auto"/>
              </w:rPr>
            </w:pPr>
          </w:p>
        </w:tc>
      </w:tr>
      <w:tr>
        <w:trPr>
          <w:trHeight w:val="153"/>
        </w:trPr>
        <w:tc>
          <w:tcPr>
            <w:tcW w:w="3540" w:type="dxa"/>
            <w:vAlign w:val="bottom"/>
          </w:tcPr>
          <w:p>
            <w:pPr>
              <w:spacing w:after="0"/>
              <w:rPr>
                <w:sz w:val="20"/>
                <w:szCs w:val="20"/>
                <w:color w:val="auto"/>
              </w:rPr>
            </w:pPr>
            <w:r>
              <w:rPr>
                <w:rFonts w:ascii="Arial" w:cs="Arial" w:eastAsia="Arial" w:hAnsi="Arial"/>
                <w:sz w:val="12"/>
                <w:szCs w:val="12"/>
                <w:color w:val="auto"/>
              </w:rPr>
              <w:t>CSL Tennessee Realty Partner, LLC</w:t>
            </w:r>
          </w:p>
        </w:tc>
        <w:tc>
          <w:tcPr>
            <w:tcW w:w="39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60" w:type="dxa"/>
            <w:vAlign w:val="bottom"/>
          </w:tcPr>
          <w:p>
            <w:pPr>
              <w:jc w:val="center"/>
              <w:spacing w:after="0"/>
              <w:rPr>
                <w:sz w:val="20"/>
                <w:szCs w:val="20"/>
                <w:color w:val="auto"/>
              </w:rPr>
            </w:pPr>
            <w:r>
              <w:rPr>
                <w:rFonts w:ascii="Arial" w:cs="Arial" w:eastAsia="Arial" w:hAnsi="Arial"/>
                <w:sz w:val="12"/>
                <w:szCs w:val="12"/>
                <w:color w:val="auto"/>
                <w:w w:val="90"/>
              </w:rPr>
              <w:t>Delaware</w:t>
            </w:r>
          </w:p>
        </w:tc>
        <w:tc>
          <w:tcPr>
            <w:tcW w:w="20" w:type="dxa"/>
            <w:vAlign w:val="bottom"/>
          </w:tcPr>
          <w:p>
            <w:pPr>
              <w:spacing w:after="0"/>
              <w:rPr>
                <w:sz w:val="13"/>
                <w:szCs w:val="13"/>
                <w:color w:val="auto"/>
              </w:rPr>
            </w:pPr>
          </w:p>
        </w:tc>
      </w:tr>
      <w:tr>
        <w:trPr>
          <w:trHeight w:val="153"/>
        </w:trPr>
        <w:tc>
          <w:tcPr>
            <w:tcW w:w="3540" w:type="dxa"/>
            <w:vAlign w:val="bottom"/>
            <w:shd w:val="clear" w:color="auto" w:fill="CCEEFF"/>
          </w:tcPr>
          <w:p>
            <w:pPr>
              <w:spacing w:after="0"/>
              <w:rPr>
                <w:sz w:val="20"/>
                <w:szCs w:val="20"/>
                <w:color w:val="auto"/>
              </w:rPr>
            </w:pPr>
            <w:r>
              <w:rPr>
                <w:rFonts w:ascii="Arial" w:cs="Arial" w:eastAsia="Arial" w:hAnsi="Arial"/>
                <w:sz w:val="12"/>
                <w:szCs w:val="12"/>
                <w:color w:val="auto"/>
              </w:rPr>
              <w:t>CSL Texas System, LLC</w:t>
            </w:r>
          </w:p>
        </w:tc>
        <w:tc>
          <w:tcPr>
            <w:tcW w:w="39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6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0"/>
              </w:rPr>
              <w:t>Delaware</w:t>
            </w:r>
          </w:p>
        </w:tc>
        <w:tc>
          <w:tcPr>
            <w:tcW w:w="20" w:type="dxa"/>
            <w:vAlign w:val="bottom"/>
          </w:tcPr>
          <w:p>
            <w:pPr>
              <w:spacing w:after="0"/>
              <w:rPr>
                <w:sz w:val="13"/>
                <w:szCs w:val="13"/>
                <w:color w:val="auto"/>
              </w:rPr>
            </w:pPr>
          </w:p>
        </w:tc>
      </w:tr>
      <w:tr>
        <w:trPr>
          <w:trHeight w:val="153"/>
        </w:trPr>
        <w:tc>
          <w:tcPr>
            <w:tcW w:w="3540" w:type="dxa"/>
            <w:vAlign w:val="bottom"/>
          </w:tcPr>
          <w:p>
            <w:pPr>
              <w:spacing w:after="0"/>
              <w:rPr>
                <w:sz w:val="20"/>
                <w:szCs w:val="20"/>
                <w:color w:val="auto"/>
              </w:rPr>
            </w:pPr>
            <w:r>
              <w:rPr>
                <w:rFonts w:ascii="Arial" w:cs="Arial" w:eastAsia="Arial" w:hAnsi="Arial"/>
                <w:sz w:val="12"/>
                <w:szCs w:val="12"/>
                <w:color w:val="auto"/>
              </w:rPr>
              <w:t>Hunt Brothers of Louisiana, L.L.C.</w:t>
            </w:r>
          </w:p>
        </w:tc>
        <w:tc>
          <w:tcPr>
            <w:tcW w:w="39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60" w:type="dxa"/>
            <w:vAlign w:val="bottom"/>
          </w:tcPr>
          <w:p>
            <w:pPr>
              <w:jc w:val="center"/>
              <w:spacing w:after="0"/>
              <w:rPr>
                <w:sz w:val="20"/>
                <w:szCs w:val="20"/>
                <w:color w:val="auto"/>
              </w:rPr>
            </w:pPr>
            <w:r>
              <w:rPr>
                <w:rFonts w:ascii="Arial" w:cs="Arial" w:eastAsia="Arial" w:hAnsi="Arial"/>
                <w:sz w:val="12"/>
                <w:szCs w:val="12"/>
                <w:color w:val="auto"/>
                <w:w w:val="93"/>
              </w:rPr>
              <w:t>Louisiana</w:t>
            </w:r>
          </w:p>
        </w:tc>
        <w:tc>
          <w:tcPr>
            <w:tcW w:w="20" w:type="dxa"/>
            <w:vAlign w:val="bottom"/>
          </w:tcPr>
          <w:p>
            <w:pPr>
              <w:spacing w:after="0"/>
              <w:rPr>
                <w:sz w:val="13"/>
                <w:szCs w:val="13"/>
                <w:color w:val="auto"/>
              </w:rPr>
            </w:pPr>
          </w:p>
        </w:tc>
      </w:tr>
      <w:tr>
        <w:trPr>
          <w:trHeight w:val="153"/>
        </w:trPr>
        <w:tc>
          <w:tcPr>
            <w:tcW w:w="3540" w:type="dxa"/>
            <w:vAlign w:val="bottom"/>
            <w:shd w:val="clear" w:color="auto" w:fill="CCEEFF"/>
          </w:tcPr>
          <w:p>
            <w:pPr>
              <w:spacing w:after="0"/>
              <w:rPr>
                <w:sz w:val="20"/>
                <w:szCs w:val="20"/>
                <w:color w:val="auto"/>
              </w:rPr>
            </w:pPr>
            <w:r>
              <w:rPr>
                <w:rFonts w:ascii="Arial" w:cs="Arial" w:eastAsia="Arial" w:hAnsi="Arial"/>
                <w:sz w:val="12"/>
                <w:szCs w:val="12"/>
                <w:color w:val="auto"/>
              </w:rPr>
              <w:t>Hunt Telecommunications, LLC</w:t>
            </w:r>
          </w:p>
        </w:tc>
        <w:tc>
          <w:tcPr>
            <w:tcW w:w="39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6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3"/>
              </w:rPr>
              <w:t>Louisiana</w:t>
            </w:r>
          </w:p>
        </w:tc>
        <w:tc>
          <w:tcPr>
            <w:tcW w:w="20" w:type="dxa"/>
            <w:vAlign w:val="bottom"/>
          </w:tcPr>
          <w:p>
            <w:pPr>
              <w:spacing w:after="0"/>
              <w:rPr>
                <w:sz w:val="13"/>
                <w:szCs w:val="13"/>
                <w:color w:val="auto"/>
              </w:rPr>
            </w:pPr>
          </w:p>
        </w:tc>
      </w:tr>
      <w:tr>
        <w:trPr>
          <w:trHeight w:val="153"/>
        </w:trPr>
        <w:tc>
          <w:tcPr>
            <w:tcW w:w="3540" w:type="dxa"/>
            <w:vAlign w:val="bottom"/>
          </w:tcPr>
          <w:p>
            <w:pPr>
              <w:spacing w:after="0"/>
              <w:rPr>
                <w:sz w:val="20"/>
                <w:szCs w:val="20"/>
                <w:color w:val="auto"/>
              </w:rPr>
            </w:pPr>
            <w:r>
              <w:rPr>
                <w:rFonts w:ascii="Arial" w:cs="Arial" w:eastAsia="Arial" w:hAnsi="Arial"/>
                <w:sz w:val="12"/>
                <w:szCs w:val="12"/>
                <w:color w:val="auto"/>
              </w:rPr>
              <w:t>InLine Services, LLC</w:t>
            </w:r>
          </w:p>
        </w:tc>
        <w:tc>
          <w:tcPr>
            <w:tcW w:w="39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60" w:type="dxa"/>
            <w:vAlign w:val="bottom"/>
          </w:tcPr>
          <w:p>
            <w:pPr>
              <w:jc w:val="center"/>
              <w:spacing w:after="0"/>
              <w:rPr>
                <w:sz w:val="20"/>
                <w:szCs w:val="20"/>
                <w:color w:val="auto"/>
              </w:rPr>
            </w:pPr>
            <w:r>
              <w:rPr>
                <w:rFonts w:ascii="Arial" w:cs="Arial" w:eastAsia="Arial" w:hAnsi="Arial"/>
                <w:sz w:val="12"/>
                <w:szCs w:val="12"/>
                <w:color w:val="auto"/>
                <w:w w:val="90"/>
              </w:rPr>
              <w:t>Delaware</w:t>
            </w:r>
          </w:p>
        </w:tc>
        <w:tc>
          <w:tcPr>
            <w:tcW w:w="20" w:type="dxa"/>
            <w:vAlign w:val="bottom"/>
          </w:tcPr>
          <w:p>
            <w:pPr>
              <w:spacing w:after="0"/>
              <w:rPr>
                <w:sz w:val="13"/>
                <w:szCs w:val="13"/>
                <w:color w:val="auto"/>
              </w:rPr>
            </w:pPr>
          </w:p>
        </w:tc>
      </w:tr>
      <w:tr>
        <w:trPr>
          <w:trHeight w:val="153"/>
        </w:trPr>
        <w:tc>
          <w:tcPr>
            <w:tcW w:w="3540" w:type="dxa"/>
            <w:vAlign w:val="bottom"/>
            <w:shd w:val="clear" w:color="auto" w:fill="CCEEFF"/>
          </w:tcPr>
          <w:p>
            <w:pPr>
              <w:spacing w:after="0"/>
              <w:rPr>
                <w:sz w:val="20"/>
                <w:szCs w:val="20"/>
                <w:color w:val="auto"/>
              </w:rPr>
            </w:pPr>
            <w:r>
              <w:rPr>
                <w:rFonts w:ascii="Arial" w:cs="Arial" w:eastAsia="Arial" w:hAnsi="Arial"/>
                <w:sz w:val="12"/>
                <w:szCs w:val="12"/>
                <w:color w:val="auto"/>
              </w:rPr>
              <w:t>Integrated Data Systems, L.L.C.</w:t>
            </w:r>
          </w:p>
        </w:tc>
        <w:tc>
          <w:tcPr>
            <w:tcW w:w="39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6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3"/>
              </w:rPr>
              <w:t>Louisiana</w:t>
            </w:r>
          </w:p>
        </w:tc>
        <w:tc>
          <w:tcPr>
            <w:tcW w:w="20" w:type="dxa"/>
            <w:vAlign w:val="bottom"/>
          </w:tcPr>
          <w:p>
            <w:pPr>
              <w:spacing w:after="0"/>
              <w:rPr>
                <w:sz w:val="13"/>
                <w:szCs w:val="13"/>
                <w:color w:val="auto"/>
              </w:rPr>
            </w:pPr>
          </w:p>
        </w:tc>
      </w:tr>
      <w:tr>
        <w:trPr>
          <w:trHeight w:val="153"/>
        </w:trPr>
        <w:tc>
          <w:tcPr>
            <w:tcW w:w="3540" w:type="dxa"/>
            <w:vAlign w:val="bottom"/>
          </w:tcPr>
          <w:p>
            <w:pPr>
              <w:spacing w:after="0"/>
              <w:rPr>
                <w:sz w:val="20"/>
                <w:szCs w:val="20"/>
                <w:color w:val="auto"/>
              </w:rPr>
            </w:pPr>
            <w:r>
              <w:rPr>
                <w:rFonts w:ascii="Arial" w:cs="Arial" w:eastAsia="Arial" w:hAnsi="Arial"/>
                <w:sz w:val="12"/>
                <w:szCs w:val="12"/>
                <w:color w:val="auto"/>
              </w:rPr>
              <w:t>Network Management Holdings, Ltd</w:t>
            </w:r>
          </w:p>
        </w:tc>
        <w:tc>
          <w:tcPr>
            <w:tcW w:w="39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60" w:type="dxa"/>
            <w:vAlign w:val="bottom"/>
          </w:tcPr>
          <w:p>
            <w:pPr>
              <w:jc w:val="center"/>
              <w:spacing w:after="0"/>
              <w:rPr>
                <w:sz w:val="20"/>
                <w:szCs w:val="20"/>
                <w:color w:val="auto"/>
              </w:rPr>
            </w:pPr>
            <w:r>
              <w:rPr>
                <w:rFonts w:ascii="Arial" w:cs="Arial" w:eastAsia="Arial" w:hAnsi="Arial"/>
                <w:sz w:val="12"/>
                <w:szCs w:val="12"/>
                <w:color w:val="auto"/>
                <w:w w:val="88"/>
              </w:rPr>
              <w:t>Cayman Islands</w:t>
            </w:r>
          </w:p>
        </w:tc>
        <w:tc>
          <w:tcPr>
            <w:tcW w:w="20" w:type="dxa"/>
            <w:vAlign w:val="bottom"/>
          </w:tcPr>
          <w:p>
            <w:pPr>
              <w:spacing w:after="0"/>
              <w:rPr>
                <w:sz w:val="13"/>
                <w:szCs w:val="13"/>
                <w:color w:val="auto"/>
              </w:rPr>
            </w:pPr>
          </w:p>
        </w:tc>
      </w:tr>
      <w:tr>
        <w:trPr>
          <w:trHeight w:val="153"/>
        </w:trPr>
        <w:tc>
          <w:tcPr>
            <w:tcW w:w="3540" w:type="dxa"/>
            <w:vAlign w:val="bottom"/>
            <w:shd w:val="clear" w:color="auto" w:fill="CCEEFF"/>
          </w:tcPr>
          <w:p>
            <w:pPr>
              <w:spacing w:after="0"/>
              <w:rPr>
                <w:sz w:val="20"/>
                <w:szCs w:val="20"/>
                <w:color w:val="auto"/>
              </w:rPr>
            </w:pPr>
            <w:r>
              <w:rPr>
                <w:rFonts w:ascii="Arial" w:cs="Arial" w:eastAsia="Arial" w:hAnsi="Arial"/>
                <w:sz w:val="12"/>
                <w:szCs w:val="12"/>
                <w:color w:val="auto"/>
              </w:rPr>
              <w:t>Network Mgmt. Services, S.A.</w:t>
            </w:r>
          </w:p>
        </w:tc>
        <w:tc>
          <w:tcPr>
            <w:tcW w:w="39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6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Nicaragua</w:t>
            </w:r>
          </w:p>
        </w:tc>
        <w:tc>
          <w:tcPr>
            <w:tcW w:w="20" w:type="dxa"/>
            <w:vAlign w:val="bottom"/>
          </w:tcPr>
          <w:p>
            <w:pPr>
              <w:spacing w:after="0"/>
              <w:rPr>
                <w:sz w:val="13"/>
                <w:szCs w:val="13"/>
                <w:color w:val="auto"/>
              </w:rPr>
            </w:pPr>
          </w:p>
        </w:tc>
      </w:tr>
      <w:tr>
        <w:trPr>
          <w:trHeight w:val="153"/>
        </w:trPr>
        <w:tc>
          <w:tcPr>
            <w:tcW w:w="3540" w:type="dxa"/>
            <w:vAlign w:val="bottom"/>
          </w:tcPr>
          <w:p>
            <w:pPr>
              <w:spacing w:after="0"/>
              <w:rPr>
                <w:sz w:val="20"/>
                <w:szCs w:val="20"/>
                <w:color w:val="auto"/>
              </w:rPr>
            </w:pPr>
            <w:r>
              <w:rPr>
                <w:rFonts w:ascii="Arial" w:cs="Arial" w:eastAsia="Arial" w:hAnsi="Arial"/>
                <w:sz w:val="12"/>
                <w:szCs w:val="12"/>
                <w:color w:val="auto"/>
              </w:rPr>
              <w:t>Nexus Systems, Inc.</w:t>
            </w:r>
          </w:p>
        </w:tc>
        <w:tc>
          <w:tcPr>
            <w:tcW w:w="39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60" w:type="dxa"/>
            <w:vAlign w:val="bottom"/>
          </w:tcPr>
          <w:p>
            <w:pPr>
              <w:jc w:val="center"/>
              <w:spacing w:after="0"/>
              <w:rPr>
                <w:sz w:val="20"/>
                <w:szCs w:val="20"/>
                <w:color w:val="auto"/>
              </w:rPr>
            </w:pPr>
            <w:r>
              <w:rPr>
                <w:rFonts w:ascii="Arial" w:cs="Arial" w:eastAsia="Arial" w:hAnsi="Arial"/>
                <w:sz w:val="12"/>
                <w:szCs w:val="12"/>
                <w:color w:val="auto"/>
                <w:w w:val="93"/>
              </w:rPr>
              <w:t>Louisiana</w:t>
            </w:r>
          </w:p>
        </w:tc>
        <w:tc>
          <w:tcPr>
            <w:tcW w:w="20" w:type="dxa"/>
            <w:vAlign w:val="bottom"/>
          </w:tcPr>
          <w:p>
            <w:pPr>
              <w:spacing w:after="0"/>
              <w:rPr>
                <w:sz w:val="13"/>
                <w:szCs w:val="13"/>
                <w:color w:val="auto"/>
              </w:rPr>
            </w:pPr>
          </w:p>
        </w:tc>
      </w:tr>
      <w:tr>
        <w:trPr>
          <w:trHeight w:val="153"/>
        </w:trPr>
        <w:tc>
          <w:tcPr>
            <w:tcW w:w="3540" w:type="dxa"/>
            <w:vAlign w:val="bottom"/>
            <w:shd w:val="clear" w:color="auto" w:fill="CCEEFF"/>
          </w:tcPr>
          <w:p>
            <w:pPr>
              <w:spacing w:after="0"/>
              <w:rPr>
                <w:sz w:val="20"/>
                <w:szCs w:val="20"/>
                <w:color w:val="auto"/>
              </w:rPr>
            </w:pPr>
            <w:r>
              <w:rPr>
                <w:rFonts w:ascii="Arial" w:cs="Arial" w:eastAsia="Arial" w:hAnsi="Arial"/>
                <w:sz w:val="12"/>
                <w:szCs w:val="12"/>
                <w:color w:val="auto"/>
              </w:rPr>
              <w:t>Nexus Wireless, L.L.C.</w:t>
            </w:r>
          </w:p>
        </w:tc>
        <w:tc>
          <w:tcPr>
            <w:tcW w:w="39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6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3"/>
              </w:rPr>
              <w:t>Louisiana</w:t>
            </w:r>
          </w:p>
        </w:tc>
        <w:tc>
          <w:tcPr>
            <w:tcW w:w="20" w:type="dxa"/>
            <w:vAlign w:val="bottom"/>
          </w:tcPr>
          <w:p>
            <w:pPr>
              <w:spacing w:after="0"/>
              <w:rPr>
                <w:sz w:val="13"/>
                <w:szCs w:val="13"/>
                <w:color w:val="auto"/>
              </w:rPr>
            </w:pPr>
          </w:p>
        </w:tc>
      </w:tr>
      <w:tr>
        <w:trPr>
          <w:trHeight w:val="153"/>
        </w:trPr>
        <w:tc>
          <w:tcPr>
            <w:tcW w:w="3540" w:type="dxa"/>
            <w:vAlign w:val="bottom"/>
          </w:tcPr>
          <w:p>
            <w:pPr>
              <w:spacing w:after="0"/>
              <w:rPr>
                <w:sz w:val="20"/>
                <w:szCs w:val="20"/>
                <w:color w:val="auto"/>
              </w:rPr>
            </w:pPr>
            <w:r>
              <w:rPr>
                <w:rFonts w:ascii="Arial" w:cs="Arial" w:eastAsia="Arial" w:hAnsi="Arial"/>
                <w:sz w:val="12"/>
                <w:szCs w:val="12"/>
                <w:color w:val="auto"/>
              </w:rPr>
              <w:t>NMS Delaware Subsidiary, LLC</w:t>
            </w:r>
          </w:p>
        </w:tc>
        <w:tc>
          <w:tcPr>
            <w:tcW w:w="39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60" w:type="dxa"/>
            <w:vAlign w:val="bottom"/>
          </w:tcPr>
          <w:p>
            <w:pPr>
              <w:jc w:val="center"/>
              <w:spacing w:after="0"/>
              <w:rPr>
                <w:sz w:val="20"/>
                <w:szCs w:val="20"/>
                <w:color w:val="auto"/>
              </w:rPr>
            </w:pPr>
            <w:r>
              <w:rPr>
                <w:rFonts w:ascii="Arial" w:cs="Arial" w:eastAsia="Arial" w:hAnsi="Arial"/>
                <w:sz w:val="12"/>
                <w:szCs w:val="12"/>
                <w:color w:val="auto"/>
                <w:w w:val="90"/>
              </w:rPr>
              <w:t>Delaware</w:t>
            </w:r>
          </w:p>
        </w:tc>
        <w:tc>
          <w:tcPr>
            <w:tcW w:w="20" w:type="dxa"/>
            <w:vAlign w:val="bottom"/>
          </w:tcPr>
          <w:p>
            <w:pPr>
              <w:spacing w:after="0"/>
              <w:rPr>
                <w:sz w:val="13"/>
                <w:szCs w:val="13"/>
                <w:color w:val="auto"/>
              </w:rPr>
            </w:pPr>
          </w:p>
        </w:tc>
      </w:tr>
      <w:tr>
        <w:trPr>
          <w:trHeight w:val="153"/>
        </w:trPr>
        <w:tc>
          <w:tcPr>
            <w:tcW w:w="3540" w:type="dxa"/>
            <w:vAlign w:val="bottom"/>
            <w:shd w:val="clear" w:color="auto" w:fill="CCEEFF"/>
          </w:tcPr>
          <w:p>
            <w:pPr>
              <w:spacing w:after="0"/>
              <w:rPr>
                <w:sz w:val="20"/>
                <w:szCs w:val="20"/>
                <w:color w:val="auto"/>
              </w:rPr>
            </w:pPr>
            <w:r>
              <w:rPr>
                <w:rFonts w:ascii="Arial" w:cs="Arial" w:eastAsia="Arial" w:hAnsi="Arial"/>
                <w:sz w:val="12"/>
                <w:szCs w:val="12"/>
                <w:color w:val="auto"/>
              </w:rPr>
              <w:t>NMS NewCo 1, LLC</w:t>
            </w:r>
          </w:p>
        </w:tc>
        <w:tc>
          <w:tcPr>
            <w:tcW w:w="39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6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0"/>
              </w:rPr>
              <w:t>Delaware</w:t>
            </w:r>
          </w:p>
        </w:tc>
        <w:tc>
          <w:tcPr>
            <w:tcW w:w="20" w:type="dxa"/>
            <w:vAlign w:val="bottom"/>
          </w:tcPr>
          <w:p>
            <w:pPr>
              <w:spacing w:after="0"/>
              <w:rPr>
                <w:sz w:val="13"/>
                <w:szCs w:val="13"/>
                <w:color w:val="auto"/>
              </w:rPr>
            </w:pPr>
          </w:p>
        </w:tc>
      </w:tr>
      <w:tr>
        <w:trPr>
          <w:trHeight w:val="153"/>
        </w:trPr>
        <w:tc>
          <w:tcPr>
            <w:tcW w:w="3540" w:type="dxa"/>
            <w:vAlign w:val="bottom"/>
          </w:tcPr>
          <w:p>
            <w:pPr>
              <w:spacing w:after="0"/>
              <w:rPr>
                <w:sz w:val="20"/>
                <w:szCs w:val="20"/>
                <w:color w:val="auto"/>
              </w:rPr>
            </w:pPr>
            <w:r>
              <w:rPr>
                <w:rFonts w:ascii="Arial" w:cs="Arial" w:eastAsia="Arial" w:hAnsi="Arial"/>
                <w:sz w:val="12"/>
                <w:szCs w:val="12"/>
                <w:color w:val="auto"/>
              </w:rPr>
              <w:t>NMS NewCo 2, LLC</w:t>
            </w:r>
          </w:p>
        </w:tc>
        <w:tc>
          <w:tcPr>
            <w:tcW w:w="39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60" w:type="dxa"/>
            <w:vAlign w:val="bottom"/>
          </w:tcPr>
          <w:p>
            <w:pPr>
              <w:jc w:val="center"/>
              <w:spacing w:after="0"/>
              <w:rPr>
                <w:sz w:val="20"/>
                <w:szCs w:val="20"/>
                <w:color w:val="auto"/>
              </w:rPr>
            </w:pPr>
            <w:r>
              <w:rPr>
                <w:rFonts w:ascii="Arial" w:cs="Arial" w:eastAsia="Arial" w:hAnsi="Arial"/>
                <w:sz w:val="12"/>
                <w:szCs w:val="12"/>
                <w:color w:val="auto"/>
                <w:w w:val="90"/>
              </w:rPr>
              <w:t>Delaware</w:t>
            </w:r>
          </w:p>
        </w:tc>
        <w:tc>
          <w:tcPr>
            <w:tcW w:w="20" w:type="dxa"/>
            <w:vAlign w:val="bottom"/>
          </w:tcPr>
          <w:p>
            <w:pPr>
              <w:spacing w:after="0"/>
              <w:rPr>
                <w:sz w:val="13"/>
                <w:szCs w:val="13"/>
                <w:color w:val="auto"/>
              </w:rPr>
            </w:pPr>
          </w:p>
        </w:tc>
      </w:tr>
      <w:tr>
        <w:trPr>
          <w:trHeight w:val="153"/>
        </w:trPr>
        <w:tc>
          <w:tcPr>
            <w:tcW w:w="3540" w:type="dxa"/>
            <w:vAlign w:val="bottom"/>
            <w:shd w:val="clear" w:color="auto" w:fill="CCEEFF"/>
          </w:tcPr>
          <w:p>
            <w:pPr>
              <w:spacing w:after="0"/>
              <w:rPr>
                <w:sz w:val="20"/>
                <w:szCs w:val="20"/>
                <w:color w:val="auto"/>
              </w:rPr>
            </w:pPr>
            <w:r>
              <w:rPr>
                <w:rFonts w:ascii="Arial" w:cs="Arial" w:eastAsia="Arial" w:hAnsi="Arial"/>
                <w:sz w:val="12"/>
                <w:szCs w:val="12"/>
                <w:color w:val="auto"/>
              </w:rPr>
              <w:t>NMS Towers De Colombia SAS</w:t>
            </w:r>
          </w:p>
        </w:tc>
        <w:tc>
          <w:tcPr>
            <w:tcW w:w="39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6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4"/>
              </w:rPr>
              <w:t>Colombia</w:t>
            </w:r>
          </w:p>
        </w:tc>
        <w:tc>
          <w:tcPr>
            <w:tcW w:w="20" w:type="dxa"/>
            <w:vAlign w:val="bottom"/>
          </w:tcPr>
          <w:p>
            <w:pPr>
              <w:spacing w:after="0"/>
              <w:rPr>
                <w:sz w:val="13"/>
                <w:szCs w:val="13"/>
                <w:color w:val="auto"/>
              </w:rPr>
            </w:pPr>
          </w:p>
        </w:tc>
      </w:tr>
      <w:tr>
        <w:trPr>
          <w:trHeight w:val="153"/>
        </w:trPr>
        <w:tc>
          <w:tcPr>
            <w:tcW w:w="3540" w:type="dxa"/>
            <w:vAlign w:val="bottom"/>
          </w:tcPr>
          <w:p>
            <w:pPr>
              <w:spacing w:after="0"/>
              <w:rPr>
                <w:sz w:val="20"/>
                <w:szCs w:val="20"/>
                <w:color w:val="auto"/>
              </w:rPr>
            </w:pPr>
            <w:r>
              <w:rPr>
                <w:rFonts w:ascii="Arial" w:cs="Arial" w:eastAsia="Arial" w:hAnsi="Arial"/>
                <w:sz w:val="12"/>
                <w:szCs w:val="12"/>
                <w:color w:val="auto"/>
              </w:rPr>
              <w:t>NMS Towers de Mexico, S. De R.L. de C.V.</w:t>
            </w:r>
          </w:p>
        </w:tc>
        <w:tc>
          <w:tcPr>
            <w:tcW w:w="39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60" w:type="dxa"/>
            <w:vAlign w:val="bottom"/>
          </w:tcPr>
          <w:p>
            <w:pPr>
              <w:jc w:val="center"/>
              <w:spacing w:after="0"/>
              <w:rPr>
                <w:sz w:val="20"/>
                <w:szCs w:val="20"/>
                <w:color w:val="auto"/>
              </w:rPr>
            </w:pPr>
            <w:r>
              <w:rPr>
                <w:rFonts w:ascii="Arial" w:cs="Arial" w:eastAsia="Arial" w:hAnsi="Arial"/>
                <w:sz w:val="12"/>
                <w:szCs w:val="12"/>
                <w:color w:val="auto"/>
                <w:w w:val="94"/>
              </w:rPr>
              <w:t>Mexico</w:t>
            </w:r>
          </w:p>
        </w:tc>
        <w:tc>
          <w:tcPr>
            <w:tcW w:w="20" w:type="dxa"/>
            <w:vAlign w:val="bottom"/>
          </w:tcPr>
          <w:p>
            <w:pPr>
              <w:spacing w:after="0"/>
              <w:rPr>
                <w:sz w:val="13"/>
                <w:szCs w:val="13"/>
                <w:color w:val="auto"/>
              </w:rPr>
            </w:pPr>
          </w:p>
        </w:tc>
      </w:tr>
      <w:tr>
        <w:trPr>
          <w:trHeight w:val="153"/>
        </w:trPr>
        <w:tc>
          <w:tcPr>
            <w:tcW w:w="3540" w:type="dxa"/>
            <w:vAlign w:val="bottom"/>
            <w:shd w:val="clear" w:color="auto" w:fill="CCEEFF"/>
          </w:tcPr>
          <w:p>
            <w:pPr>
              <w:spacing w:after="0"/>
              <w:rPr>
                <w:sz w:val="20"/>
                <w:szCs w:val="20"/>
                <w:color w:val="auto"/>
              </w:rPr>
            </w:pPr>
            <w:r>
              <w:rPr>
                <w:rFonts w:ascii="Arial" w:cs="Arial" w:eastAsia="Arial" w:hAnsi="Arial"/>
                <w:sz w:val="12"/>
                <w:szCs w:val="12"/>
                <w:color w:val="auto"/>
              </w:rPr>
              <w:t>PEG Bandwidth DC, LLC</w:t>
            </w:r>
          </w:p>
        </w:tc>
        <w:tc>
          <w:tcPr>
            <w:tcW w:w="39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6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0"/>
              </w:rPr>
              <w:t>Delaware</w:t>
            </w:r>
          </w:p>
        </w:tc>
        <w:tc>
          <w:tcPr>
            <w:tcW w:w="20" w:type="dxa"/>
            <w:vAlign w:val="bottom"/>
          </w:tcPr>
          <w:p>
            <w:pPr>
              <w:spacing w:after="0"/>
              <w:rPr>
                <w:sz w:val="13"/>
                <w:szCs w:val="13"/>
                <w:color w:val="auto"/>
              </w:rPr>
            </w:pPr>
          </w:p>
        </w:tc>
      </w:tr>
      <w:tr>
        <w:trPr>
          <w:trHeight w:val="153"/>
        </w:trPr>
        <w:tc>
          <w:tcPr>
            <w:tcW w:w="3540" w:type="dxa"/>
            <w:vAlign w:val="bottom"/>
          </w:tcPr>
          <w:p>
            <w:pPr>
              <w:spacing w:after="0"/>
              <w:rPr>
                <w:sz w:val="20"/>
                <w:szCs w:val="20"/>
                <w:color w:val="auto"/>
              </w:rPr>
            </w:pPr>
            <w:r>
              <w:rPr>
                <w:rFonts w:ascii="Arial" w:cs="Arial" w:eastAsia="Arial" w:hAnsi="Arial"/>
                <w:sz w:val="12"/>
                <w:szCs w:val="12"/>
                <w:color w:val="auto"/>
              </w:rPr>
              <w:t>PEG Bandwidth DE, LLC</w:t>
            </w:r>
          </w:p>
        </w:tc>
        <w:tc>
          <w:tcPr>
            <w:tcW w:w="39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60" w:type="dxa"/>
            <w:vAlign w:val="bottom"/>
          </w:tcPr>
          <w:p>
            <w:pPr>
              <w:jc w:val="center"/>
              <w:spacing w:after="0"/>
              <w:rPr>
                <w:sz w:val="20"/>
                <w:szCs w:val="20"/>
                <w:color w:val="auto"/>
              </w:rPr>
            </w:pPr>
            <w:r>
              <w:rPr>
                <w:rFonts w:ascii="Arial" w:cs="Arial" w:eastAsia="Arial" w:hAnsi="Arial"/>
                <w:sz w:val="12"/>
                <w:szCs w:val="12"/>
                <w:color w:val="auto"/>
                <w:w w:val="90"/>
              </w:rPr>
              <w:t>Delaware</w:t>
            </w:r>
          </w:p>
        </w:tc>
        <w:tc>
          <w:tcPr>
            <w:tcW w:w="20" w:type="dxa"/>
            <w:vAlign w:val="bottom"/>
          </w:tcPr>
          <w:p>
            <w:pPr>
              <w:spacing w:after="0"/>
              <w:rPr>
                <w:sz w:val="13"/>
                <w:szCs w:val="13"/>
                <w:color w:val="auto"/>
              </w:rPr>
            </w:pPr>
          </w:p>
        </w:tc>
      </w:tr>
      <w:tr>
        <w:trPr>
          <w:trHeight w:val="153"/>
        </w:trPr>
        <w:tc>
          <w:tcPr>
            <w:tcW w:w="3540" w:type="dxa"/>
            <w:vAlign w:val="bottom"/>
            <w:shd w:val="clear" w:color="auto" w:fill="CCEEFF"/>
          </w:tcPr>
          <w:p>
            <w:pPr>
              <w:spacing w:after="0"/>
              <w:rPr>
                <w:sz w:val="20"/>
                <w:szCs w:val="20"/>
                <w:color w:val="auto"/>
              </w:rPr>
            </w:pPr>
            <w:r>
              <w:rPr>
                <w:rFonts w:ascii="Arial" w:cs="Arial" w:eastAsia="Arial" w:hAnsi="Arial"/>
                <w:sz w:val="12"/>
                <w:szCs w:val="12"/>
                <w:color w:val="auto"/>
              </w:rPr>
              <w:t>PEG Bandwidth IA, LLC</w:t>
            </w:r>
          </w:p>
        </w:tc>
        <w:tc>
          <w:tcPr>
            <w:tcW w:w="39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6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0"/>
              </w:rPr>
              <w:t>Delaware</w:t>
            </w:r>
          </w:p>
        </w:tc>
        <w:tc>
          <w:tcPr>
            <w:tcW w:w="20" w:type="dxa"/>
            <w:vAlign w:val="bottom"/>
          </w:tcPr>
          <w:p>
            <w:pPr>
              <w:spacing w:after="0"/>
              <w:rPr>
                <w:sz w:val="13"/>
                <w:szCs w:val="13"/>
                <w:color w:val="auto"/>
              </w:rPr>
            </w:pPr>
          </w:p>
        </w:tc>
      </w:tr>
      <w:tr>
        <w:trPr>
          <w:trHeight w:val="153"/>
        </w:trPr>
        <w:tc>
          <w:tcPr>
            <w:tcW w:w="3540" w:type="dxa"/>
            <w:vAlign w:val="bottom"/>
          </w:tcPr>
          <w:p>
            <w:pPr>
              <w:spacing w:after="0"/>
              <w:rPr>
                <w:sz w:val="20"/>
                <w:szCs w:val="20"/>
                <w:color w:val="auto"/>
              </w:rPr>
            </w:pPr>
            <w:r>
              <w:rPr>
                <w:rFonts w:ascii="Arial" w:cs="Arial" w:eastAsia="Arial" w:hAnsi="Arial"/>
                <w:sz w:val="12"/>
                <w:szCs w:val="12"/>
                <w:color w:val="auto"/>
              </w:rPr>
              <w:t>PEG Bandwidth IL, LLC</w:t>
            </w:r>
          </w:p>
        </w:tc>
        <w:tc>
          <w:tcPr>
            <w:tcW w:w="39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60" w:type="dxa"/>
            <w:vAlign w:val="bottom"/>
          </w:tcPr>
          <w:p>
            <w:pPr>
              <w:jc w:val="center"/>
              <w:spacing w:after="0"/>
              <w:rPr>
                <w:sz w:val="20"/>
                <w:szCs w:val="20"/>
                <w:color w:val="auto"/>
              </w:rPr>
            </w:pPr>
            <w:r>
              <w:rPr>
                <w:rFonts w:ascii="Arial" w:cs="Arial" w:eastAsia="Arial" w:hAnsi="Arial"/>
                <w:sz w:val="12"/>
                <w:szCs w:val="12"/>
                <w:color w:val="auto"/>
                <w:w w:val="90"/>
              </w:rPr>
              <w:t>Delaware</w:t>
            </w:r>
          </w:p>
        </w:tc>
        <w:tc>
          <w:tcPr>
            <w:tcW w:w="20" w:type="dxa"/>
            <w:vAlign w:val="bottom"/>
          </w:tcPr>
          <w:p>
            <w:pPr>
              <w:spacing w:after="0"/>
              <w:rPr>
                <w:sz w:val="13"/>
                <w:szCs w:val="13"/>
                <w:color w:val="auto"/>
              </w:rPr>
            </w:pPr>
          </w:p>
        </w:tc>
      </w:tr>
      <w:tr>
        <w:trPr>
          <w:trHeight w:val="153"/>
        </w:trPr>
        <w:tc>
          <w:tcPr>
            <w:tcW w:w="3540" w:type="dxa"/>
            <w:vAlign w:val="bottom"/>
            <w:shd w:val="clear" w:color="auto" w:fill="CCEEFF"/>
          </w:tcPr>
          <w:p>
            <w:pPr>
              <w:spacing w:after="0"/>
              <w:rPr>
                <w:sz w:val="20"/>
                <w:szCs w:val="20"/>
                <w:color w:val="auto"/>
              </w:rPr>
            </w:pPr>
            <w:r>
              <w:rPr>
                <w:rFonts w:ascii="Arial" w:cs="Arial" w:eastAsia="Arial" w:hAnsi="Arial"/>
                <w:sz w:val="12"/>
                <w:szCs w:val="12"/>
                <w:color w:val="auto"/>
              </w:rPr>
              <w:t>PEG Bandwidth LA, LLC</w:t>
            </w:r>
          </w:p>
        </w:tc>
        <w:tc>
          <w:tcPr>
            <w:tcW w:w="39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6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0"/>
              </w:rPr>
              <w:t>Delaware</w:t>
            </w:r>
          </w:p>
        </w:tc>
        <w:tc>
          <w:tcPr>
            <w:tcW w:w="20" w:type="dxa"/>
            <w:vAlign w:val="bottom"/>
          </w:tcPr>
          <w:p>
            <w:pPr>
              <w:spacing w:after="0"/>
              <w:rPr>
                <w:sz w:val="13"/>
                <w:szCs w:val="13"/>
                <w:color w:val="auto"/>
              </w:rPr>
            </w:pPr>
          </w:p>
        </w:tc>
      </w:tr>
      <w:tr>
        <w:trPr>
          <w:trHeight w:val="153"/>
        </w:trPr>
        <w:tc>
          <w:tcPr>
            <w:tcW w:w="3540" w:type="dxa"/>
            <w:vAlign w:val="bottom"/>
          </w:tcPr>
          <w:p>
            <w:pPr>
              <w:spacing w:after="0"/>
              <w:rPr>
                <w:sz w:val="20"/>
                <w:szCs w:val="20"/>
                <w:color w:val="auto"/>
              </w:rPr>
            </w:pPr>
            <w:r>
              <w:rPr>
                <w:rFonts w:ascii="Arial" w:cs="Arial" w:eastAsia="Arial" w:hAnsi="Arial"/>
                <w:sz w:val="12"/>
                <w:szCs w:val="12"/>
                <w:color w:val="auto"/>
              </w:rPr>
              <w:t>PEG Bandwidth MA, LLC</w:t>
            </w:r>
          </w:p>
        </w:tc>
        <w:tc>
          <w:tcPr>
            <w:tcW w:w="39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60" w:type="dxa"/>
            <w:vAlign w:val="bottom"/>
          </w:tcPr>
          <w:p>
            <w:pPr>
              <w:jc w:val="center"/>
              <w:spacing w:after="0"/>
              <w:rPr>
                <w:sz w:val="20"/>
                <w:szCs w:val="20"/>
                <w:color w:val="auto"/>
              </w:rPr>
            </w:pPr>
            <w:r>
              <w:rPr>
                <w:rFonts w:ascii="Arial" w:cs="Arial" w:eastAsia="Arial" w:hAnsi="Arial"/>
                <w:sz w:val="12"/>
                <w:szCs w:val="12"/>
                <w:color w:val="auto"/>
                <w:w w:val="90"/>
              </w:rPr>
              <w:t>Delaware</w:t>
            </w:r>
          </w:p>
        </w:tc>
        <w:tc>
          <w:tcPr>
            <w:tcW w:w="20" w:type="dxa"/>
            <w:vAlign w:val="bottom"/>
          </w:tcPr>
          <w:p>
            <w:pPr>
              <w:spacing w:after="0"/>
              <w:rPr>
                <w:sz w:val="13"/>
                <w:szCs w:val="13"/>
                <w:color w:val="auto"/>
              </w:rPr>
            </w:pPr>
          </w:p>
        </w:tc>
      </w:tr>
      <w:tr>
        <w:trPr>
          <w:trHeight w:val="153"/>
        </w:trPr>
        <w:tc>
          <w:tcPr>
            <w:tcW w:w="3540" w:type="dxa"/>
            <w:vAlign w:val="bottom"/>
            <w:shd w:val="clear" w:color="auto" w:fill="CCEEFF"/>
          </w:tcPr>
          <w:p>
            <w:pPr>
              <w:spacing w:after="0"/>
              <w:rPr>
                <w:sz w:val="20"/>
                <w:szCs w:val="20"/>
                <w:color w:val="auto"/>
              </w:rPr>
            </w:pPr>
            <w:r>
              <w:rPr>
                <w:rFonts w:ascii="Arial" w:cs="Arial" w:eastAsia="Arial" w:hAnsi="Arial"/>
                <w:sz w:val="12"/>
                <w:szCs w:val="12"/>
                <w:color w:val="auto"/>
              </w:rPr>
              <w:t>PEG Bandwidth MD, LLC</w:t>
            </w:r>
          </w:p>
        </w:tc>
        <w:tc>
          <w:tcPr>
            <w:tcW w:w="39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6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0"/>
              </w:rPr>
              <w:t>Delaware</w:t>
            </w:r>
          </w:p>
        </w:tc>
        <w:tc>
          <w:tcPr>
            <w:tcW w:w="20" w:type="dxa"/>
            <w:vAlign w:val="bottom"/>
          </w:tcPr>
          <w:p>
            <w:pPr>
              <w:spacing w:after="0"/>
              <w:rPr>
                <w:sz w:val="13"/>
                <w:szCs w:val="13"/>
                <w:color w:val="auto"/>
              </w:rPr>
            </w:pPr>
          </w:p>
        </w:tc>
      </w:tr>
      <w:tr>
        <w:trPr>
          <w:trHeight w:val="153"/>
        </w:trPr>
        <w:tc>
          <w:tcPr>
            <w:tcW w:w="3540" w:type="dxa"/>
            <w:vAlign w:val="bottom"/>
          </w:tcPr>
          <w:p>
            <w:pPr>
              <w:spacing w:after="0"/>
              <w:rPr>
                <w:sz w:val="20"/>
                <w:szCs w:val="20"/>
                <w:color w:val="auto"/>
              </w:rPr>
            </w:pPr>
            <w:r>
              <w:rPr>
                <w:rFonts w:ascii="Arial" w:cs="Arial" w:eastAsia="Arial" w:hAnsi="Arial"/>
                <w:sz w:val="12"/>
                <w:szCs w:val="12"/>
                <w:color w:val="auto"/>
              </w:rPr>
              <w:t>PEG Bandwidth MS, LLC</w:t>
            </w:r>
          </w:p>
        </w:tc>
        <w:tc>
          <w:tcPr>
            <w:tcW w:w="39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60" w:type="dxa"/>
            <w:vAlign w:val="bottom"/>
          </w:tcPr>
          <w:p>
            <w:pPr>
              <w:jc w:val="center"/>
              <w:spacing w:after="0"/>
              <w:rPr>
                <w:sz w:val="20"/>
                <w:szCs w:val="20"/>
                <w:color w:val="auto"/>
              </w:rPr>
            </w:pPr>
            <w:r>
              <w:rPr>
                <w:rFonts w:ascii="Arial" w:cs="Arial" w:eastAsia="Arial" w:hAnsi="Arial"/>
                <w:sz w:val="12"/>
                <w:szCs w:val="12"/>
                <w:color w:val="auto"/>
                <w:w w:val="90"/>
              </w:rPr>
              <w:t>Delaware</w:t>
            </w:r>
          </w:p>
        </w:tc>
        <w:tc>
          <w:tcPr>
            <w:tcW w:w="20" w:type="dxa"/>
            <w:vAlign w:val="bottom"/>
          </w:tcPr>
          <w:p>
            <w:pPr>
              <w:spacing w:after="0"/>
              <w:rPr>
                <w:sz w:val="13"/>
                <w:szCs w:val="13"/>
                <w:color w:val="auto"/>
              </w:rPr>
            </w:pPr>
          </w:p>
        </w:tc>
      </w:tr>
      <w:tr>
        <w:trPr>
          <w:trHeight w:val="153"/>
        </w:trPr>
        <w:tc>
          <w:tcPr>
            <w:tcW w:w="3540" w:type="dxa"/>
            <w:vAlign w:val="bottom"/>
            <w:shd w:val="clear" w:color="auto" w:fill="CCEEFF"/>
          </w:tcPr>
          <w:p>
            <w:pPr>
              <w:spacing w:after="0"/>
              <w:rPr>
                <w:sz w:val="20"/>
                <w:szCs w:val="20"/>
                <w:color w:val="auto"/>
              </w:rPr>
            </w:pPr>
            <w:r>
              <w:rPr>
                <w:rFonts w:ascii="Arial" w:cs="Arial" w:eastAsia="Arial" w:hAnsi="Arial"/>
                <w:sz w:val="12"/>
                <w:szCs w:val="12"/>
                <w:color w:val="auto"/>
              </w:rPr>
              <w:t>PEG Bandwidth NJ, LLC</w:t>
            </w:r>
          </w:p>
        </w:tc>
        <w:tc>
          <w:tcPr>
            <w:tcW w:w="39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6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0"/>
              </w:rPr>
              <w:t>Delaware</w:t>
            </w:r>
          </w:p>
        </w:tc>
        <w:tc>
          <w:tcPr>
            <w:tcW w:w="20" w:type="dxa"/>
            <w:vAlign w:val="bottom"/>
          </w:tcPr>
          <w:p>
            <w:pPr>
              <w:spacing w:after="0"/>
              <w:rPr>
                <w:sz w:val="13"/>
                <w:szCs w:val="13"/>
                <w:color w:val="auto"/>
              </w:rPr>
            </w:pPr>
          </w:p>
        </w:tc>
      </w:tr>
      <w:tr>
        <w:trPr>
          <w:trHeight w:val="153"/>
        </w:trPr>
        <w:tc>
          <w:tcPr>
            <w:tcW w:w="3540" w:type="dxa"/>
            <w:vAlign w:val="bottom"/>
          </w:tcPr>
          <w:p>
            <w:pPr>
              <w:spacing w:after="0"/>
              <w:rPr>
                <w:sz w:val="20"/>
                <w:szCs w:val="20"/>
                <w:color w:val="auto"/>
              </w:rPr>
            </w:pPr>
            <w:r>
              <w:rPr>
                <w:rFonts w:ascii="Arial" w:cs="Arial" w:eastAsia="Arial" w:hAnsi="Arial"/>
                <w:sz w:val="12"/>
                <w:szCs w:val="12"/>
                <w:color w:val="auto"/>
              </w:rPr>
              <w:t>PEG Bandwidth NY, LLC</w:t>
            </w:r>
          </w:p>
        </w:tc>
        <w:tc>
          <w:tcPr>
            <w:tcW w:w="39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60" w:type="dxa"/>
            <w:vAlign w:val="bottom"/>
          </w:tcPr>
          <w:p>
            <w:pPr>
              <w:jc w:val="center"/>
              <w:spacing w:after="0"/>
              <w:rPr>
                <w:sz w:val="20"/>
                <w:szCs w:val="20"/>
                <w:color w:val="auto"/>
              </w:rPr>
            </w:pPr>
            <w:r>
              <w:rPr>
                <w:rFonts w:ascii="Arial" w:cs="Arial" w:eastAsia="Arial" w:hAnsi="Arial"/>
                <w:sz w:val="12"/>
                <w:szCs w:val="12"/>
                <w:color w:val="auto"/>
                <w:w w:val="90"/>
              </w:rPr>
              <w:t>Delaware</w:t>
            </w:r>
          </w:p>
        </w:tc>
        <w:tc>
          <w:tcPr>
            <w:tcW w:w="20" w:type="dxa"/>
            <w:vAlign w:val="bottom"/>
          </w:tcPr>
          <w:p>
            <w:pPr>
              <w:spacing w:after="0"/>
              <w:rPr>
                <w:sz w:val="13"/>
                <w:szCs w:val="13"/>
                <w:color w:val="auto"/>
              </w:rPr>
            </w:pPr>
          </w:p>
        </w:tc>
      </w:tr>
      <w:tr>
        <w:trPr>
          <w:trHeight w:val="153"/>
        </w:trPr>
        <w:tc>
          <w:tcPr>
            <w:tcW w:w="3540" w:type="dxa"/>
            <w:vAlign w:val="bottom"/>
            <w:shd w:val="clear" w:color="auto" w:fill="CCEEFF"/>
          </w:tcPr>
          <w:p>
            <w:pPr>
              <w:spacing w:after="0"/>
              <w:rPr>
                <w:sz w:val="20"/>
                <w:szCs w:val="20"/>
                <w:color w:val="auto"/>
              </w:rPr>
            </w:pPr>
            <w:r>
              <w:rPr>
                <w:rFonts w:ascii="Arial" w:cs="Arial" w:eastAsia="Arial" w:hAnsi="Arial"/>
                <w:sz w:val="12"/>
                <w:szCs w:val="12"/>
                <w:color w:val="auto"/>
              </w:rPr>
              <w:t>PEG Bandwidth NY Telephone Corp.</w:t>
            </w:r>
          </w:p>
        </w:tc>
        <w:tc>
          <w:tcPr>
            <w:tcW w:w="39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6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2"/>
              </w:rPr>
              <w:t>New York</w:t>
            </w:r>
          </w:p>
        </w:tc>
        <w:tc>
          <w:tcPr>
            <w:tcW w:w="20" w:type="dxa"/>
            <w:vAlign w:val="bottom"/>
          </w:tcPr>
          <w:p>
            <w:pPr>
              <w:spacing w:after="0"/>
              <w:rPr>
                <w:sz w:val="13"/>
                <w:szCs w:val="13"/>
                <w:color w:val="auto"/>
              </w:rPr>
            </w:pPr>
          </w:p>
        </w:tc>
      </w:tr>
      <w:tr>
        <w:trPr>
          <w:trHeight w:val="153"/>
        </w:trPr>
        <w:tc>
          <w:tcPr>
            <w:tcW w:w="3540" w:type="dxa"/>
            <w:vAlign w:val="bottom"/>
          </w:tcPr>
          <w:p>
            <w:pPr>
              <w:spacing w:after="0"/>
              <w:rPr>
                <w:sz w:val="20"/>
                <w:szCs w:val="20"/>
                <w:color w:val="auto"/>
              </w:rPr>
            </w:pPr>
            <w:r>
              <w:rPr>
                <w:rFonts w:ascii="Arial" w:cs="Arial" w:eastAsia="Arial" w:hAnsi="Arial"/>
                <w:sz w:val="12"/>
                <w:szCs w:val="12"/>
                <w:color w:val="auto"/>
              </w:rPr>
              <w:t>PEG Bandwidth PA, LLC</w:t>
            </w:r>
          </w:p>
        </w:tc>
        <w:tc>
          <w:tcPr>
            <w:tcW w:w="39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60" w:type="dxa"/>
            <w:vAlign w:val="bottom"/>
          </w:tcPr>
          <w:p>
            <w:pPr>
              <w:jc w:val="center"/>
              <w:spacing w:after="0"/>
              <w:rPr>
                <w:sz w:val="20"/>
                <w:szCs w:val="20"/>
                <w:color w:val="auto"/>
              </w:rPr>
            </w:pPr>
            <w:r>
              <w:rPr>
                <w:rFonts w:ascii="Arial" w:cs="Arial" w:eastAsia="Arial" w:hAnsi="Arial"/>
                <w:sz w:val="12"/>
                <w:szCs w:val="12"/>
                <w:color w:val="auto"/>
                <w:w w:val="90"/>
              </w:rPr>
              <w:t>Delaware</w:t>
            </w:r>
          </w:p>
        </w:tc>
        <w:tc>
          <w:tcPr>
            <w:tcW w:w="20" w:type="dxa"/>
            <w:vAlign w:val="bottom"/>
          </w:tcPr>
          <w:p>
            <w:pPr>
              <w:spacing w:after="0"/>
              <w:rPr>
                <w:sz w:val="13"/>
                <w:szCs w:val="13"/>
                <w:color w:val="auto"/>
              </w:rPr>
            </w:pPr>
          </w:p>
        </w:tc>
      </w:tr>
      <w:tr>
        <w:trPr>
          <w:trHeight w:val="72"/>
        </w:trPr>
        <w:tc>
          <w:tcPr>
            <w:tcW w:w="3540" w:type="dxa"/>
            <w:vAlign w:val="bottom"/>
            <w:tcBorders>
              <w:bottom w:val="single" w:sz="8" w:color="9A9A9A"/>
            </w:tcBorders>
          </w:tcPr>
          <w:p>
            <w:pPr>
              <w:spacing w:after="0"/>
              <w:rPr>
                <w:sz w:val="6"/>
                <w:szCs w:val="6"/>
                <w:color w:val="auto"/>
              </w:rPr>
            </w:pPr>
          </w:p>
        </w:tc>
        <w:tc>
          <w:tcPr>
            <w:tcW w:w="392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366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7280275</wp:posOffset>
            </wp:positionH>
            <wp:positionV relativeFrom="paragraph">
              <wp:posOffset>-23495</wp:posOffset>
            </wp:positionV>
            <wp:extent cx="31115" cy="3683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11">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12">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0"/>
          </w:cols>
          <w:pgMar w:left="220" w:top="127" w:right="179"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153"/>
        </w:trPr>
        <w:tc>
          <w:tcPr>
            <w:tcW w:w="6200" w:type="dxa"/>
            <w:vAlign w:val="bottom"/>
            <w:shd w:val="clear" w:color="auto" w:fill="CCEEFF"/>
          </w:tcPr>
          <w:p>
            <w:pPr>
              <w:spacing w:after="0"/>
              <w:rPr>
                <w:sz w:val="20"/>
                <w:szCs w:val="20"/>
                <w:color w:val="auto"/>
              </w:rPr>
            </w:pPr>
            <w:r>
              <w:rPr>
                <w:rFonts w:ascii="Arial" w:cs="Arial" w:eastAsia="Arial" w:hAnsi="Arial"/>
                <w:sz w:val="12"/>
                <w:szCs w:val="12"/>
                <w:color w:val="auto"/>
              </w:rPr>
              <w:t>PEG Bandwidth Services, LLC</w:t>
            </w:r>
          </w:p>
        </w:tc>
        <w:tc>
          <w:tcPr>
            <w:tcW w:w="5280" w:type="dxa"/>
            <w:vAlign w:val="bottom"/>
            <w:shd w:val="clear" w:color="auto" w:fill="CCEEFF"/>
          </w:tcPr>
          <w:p>
            <w:pPr>
              <w:jc w:val="center"/>
              <w:ind w:left="1560"/>
              <w:spacing w:after="0"/>
              <w:rPr>
                <w:sz w:val="20"/>
                <w:szCs w:val="20"/>
                <w:color w:val="auto"/>
              </w:rPr>
            </w:pPr>
            <w:r>
              <w:rPr>
                <w:rFonts w:ascii="Arial" w:cs="Arial" w:eastAsia="Arial" w:hAnsi="Arial"/>
                <w:sz w:val="12"/>
                <w:szCs w:val="12"/>
                <w:color w:val="auto"/>
                <w:w w:val="90"/>
              </w:rPr>
              <w:t>Delaware</w:t>
            </w:r>
          </w:p>
        </w:tc>
      </w:tr>
      <w:tr>
        <w:trPr>
          <w:trHeight w:val="153"/>
        </w:trPr>
        <w:tc>
          <w:tcPr>
            <w:tcW w:w="6200" w:type="dxa"/>
            <w:vAlign w:val="bottom"/>
          </w:tcPr>
          <w:p>
            <w:pPr>
              <w:spacing w:after="0"/>
              <w:rPr>
                <w:sz w:val="20"/>
                <w:szCs w:val="20"/>
                <w:color w:val="auto"/>
              </w:rPr>
            </w:pPr>
            <w:r>
              <w:rPr>
                <w:rFonts w:ascii="Arial" w:cs="Arial" w:eastAsia="Arial" w:hAnsi="Arial"/>
                <w:sz w:val="12"/>
                <w:szCs w:val="12"/>
                <w:color w:val="auto"/>
              </w:rPr>
              <w:t>PEG Bandwidth TX, LLC</w:t>
            </w:r>
          </w:p>
        </w:tc>
        <w:tc>
          <w:tcPr>
            <w:tcW w:w="5280" w:type="dxa"/>
            <w:vAlign w:val="bottom"/>
          </w:tcPr>
          <w:p>
            <w:pPr>
              <w:jc w:val="center"/>
              <w:ind w:left="1560"/>
              <w:spacing w:after="0"/>
              <w:rPr>
                <w:sz w:val="20"/>
                <w:szCs w:val="20"/>
                <w:color w:val="auto"/>
              </w:rPr>
            </w:pPr>
            <w:r>
              <w:rPr>
                <w:rFonts w:ascii="Arial" w:cs="Arial" w:eastAsia="Arial" w:hAnsi="Arial"/>
                <w:sz w:val="12"/>
                <w:szCs w:val="12"/>
                <w:color w:val="auto"/>
                <w:w w:val="90"/>
              </w:rPr>
              <w:t>Delaware</w:t>
            </w:r>
          </w:p>
        </w:tc>
      </w:tr>
      <w:tr>
        <w:trPr>
          <w:trHeight w:val="153"/>
        </w:trPr>
        <w:tc>
          <w:tcPr>
            <w:tcW w:w="6200" w:type="dxa"/>
            <w:vAlign w:val="bottom"/>
            <w:shd w:val="clear" w:color="auto" w:fill="CCEEFF"/>
          </w:tcPr>
          <w:p>
            <w:pPr>
              <w:spacing w:after="0"/>
              <w:rPr>
                <w:sz w:val="20"/>
                <w:szCs w:val="20"/>
                <w:color w:val="auto"/>
              </w:rPr>
            </w:pPr>
            <w:r>
              <w:rPr>
                <w:rFonts w:ascii="Arial" w:cs="Arial" w:eastAsia="Arial" w:hAnsi="Arial"/>
                <w:sz w:val="12"/>
                <w:szCs w:val="12"/>
                <w:color w:val="auto"/>
              </w:rPr>
              <w:t>PEG Bandwidth VA, LLC</w:t>
            </w:r>
          </w:p>
        </w:tc>
        <w:tc>
          <w:tcPr>
            <w:tcW w:w="5280" w:type="dxa"/>
            <w:vAlign w:val="bottom"/>
            <w:shd w:val="clear" w:color="auto" w:fill="CCEEFF"/>
          </w:tcPr>
          <w:p>
            <w:pPr>
              <w:jc w:val="center"/>
              <w:ind w:left="1560"/>
              <w:spacing w:after="0"/>
              <w:rPr>
                <w:sz w:val="20"/>
                <w:szCs w:val="20"/>
                <w:color w:val="auto"/>
              </w:rPr>
            </w:pPr>
            <w:r>
              <w:rPr>
                <w:rFonts w:ascii="Arial" w:cs="Arial" w:eastAsia="Arial" w:hAnsi="Arial"/>
                <w:sz w:val="12"/>
                <w:szCs w:val="12"/>
                <w:color w:val="auto"/>
                <w:w w:val="90"/>
              </w:rPr>
              <w:t>Delaware</w:t>
            </w:r>
          </w:p>
        </w:tc>
      </w:tr>
      <w:tr>
        <w:trPr>
          <w:trHeight w:val="153"/>
        </w:trPr>
        <w:tc>
          <w:tcPr>
            <w:tcW w:w="6200" w:type="dxa"/>
            <w:vAlign w:val="bottom"/>
          </w:tcPr>
          <w:p>
            <w:pPr>
              <w:spacing w:after="0"/>
              <w:rPr>
                <w:sz w:val="20"/>
                <w:szCs w:val="20"/>
                <w:color w:val="auto"/>
              </w:rPr>
            </w:pPr>
            <w:r>
              <w:rPr>
                <w:rFonts w:ascii="Arial" w:cs="Arial" w:eastAsia="Arial" w:hAnsi="Arial"/>
                <w:sz w:val="12"/>
                <w:szCs w:val="12"/>
                <w:color w:val="auto"/>
              </w:rPr>
              <w:t>Southern Light, LLC</w:t>
            </w:r>
          </w:p>
        </w:tc>
        <w:tc>
          <w:tcPr>
            <w:tcW w:w="5280" w:type="dxa"/>
            <w:vAlign w:val="bottom"/>
          </w:tcPr>
          <w:p>
            <w:pPr>
              <w:jc w:val="center"/>
              <w:ind w:left="1540"/>
              <w:spacing w:after="0"/>
              <w:rPr>
                <w:sz w:val="20"/>
                <w:szCs w:val="20"/>
                <w:color w:val="auto"/>
              </w:rPr>
            </w:pPr>
            <w:r>
              <w:rPr>
                <w:rFonts w:ascii="Arial" w:cs="Arial" w:eastAsia="Arial" w:hAnsi="Arial"/>
                <w:sz w:val="12"/>
                <w:szCs w:val="12"/>
                <w:color w:val="auto"/>
                <w:w w:val="92"/>
              </w:rPr>
              <w:t>Alabama</w:t>
            </w:r>
          </w:p>
        </w:tc>
      </w:tr>
      <w:tr>
        <w:trPr>
          <w:trHeight w:val="153"/>
        </w:trPr>
        <w:tc>
          <w:tcPr>
            <w:tcW w:w="6200" w:type="dxa"/>
            <w:vAlign w:val="bottom"/>
            <w:shd w:val="clear" w:color="auto" w:fill="CCEEFF"/>
          </w:tcPr>
          <w:p>
            <w:pPr>
              <w:spacing w:after="0"/>
              <w:rPr>
                <w:sz w:val="20"/>
                <w:szCs w:val="20"/>
                <w:color w:val="auto"/>
              </w:rPr>
            </w:pPr>
            <w:r>
              <w:rPr>
                <w:rFonts w:ascii="Arial" w:cs="Arial" w:eastAsia="Arial" w:hAnsi="Arial"/>
                <w:sz w:val="12"/>
                <w:szCs w:val="12"/>
                <w:color w:val="auto"/>
              </w:rPr>
              <w:t>Summit Wireless Infrastructure de México, S. de R.L. de C.V.</w:t>
            </w:r>
          </w:p>
        </w:tc>
        <w:tc>
          <w:tcPr>
            <w:tcW w:w="5280" w:type="dxa"/>
            <w:vAlign w:val="bottom"/>
            <w:shd w:val="clear" w:color="auto" w:fill="CCEEFF"/>
          </w:tcPr>
          <w:p>
            <w:pPr>
              <w:jc w:val="center"/>
              <w:ind w:left="1540"/>
              <w:spacing w:after="0"/>
              <w:rPr>
                <w:sz w:val="20"/>
                <w:szCs w:val="20"/>
                <w:color w:val="auto"/>
              </w:rPr>
            </w:pPr>
            <w:r>
              <w:rPr>
                <w:rFonts w:ascii="Arial" w:cs="Arial" w:eastAsia="Arial" w:hAnsi="Arial"/>
                <w:sz w:val="12"/>
                <w:szCs w:val="12"/>
                <w:color w:val="auto"/>
                <w:w w:val="94"/>
              </w:rPr>
              <w:t>Mexico</w:t>
            </w:r>
          </w:p>
        </w:tc>
      </w:tr>
      <w:tr>
        <w:trPr>
          <w:trHeight w:val="153"/>
        </w:trPr>
        <w:tc>
          <w:tcPr>
            <w:tcW w:w="6200" w:type="dxa"/>
            <w:vAlign w:val="bottom"/>
          </w:tcPr>
          <w:p>
            <w:pPr>
              <w:spacing w:after="0"/>
              <w:rPr>
                <w:sz w:val="20"/>
                <w:szCs w:val="20"/>
                <w:color w:val="auto"/>
              </w:rPr>
            </w:pPr>
            <w:r>
              <w:rPr>
                <w:rFonts w:ascii="Arial" w:cs="Arial" w:eastAsia="Arial" w:hAnsi="Arial"/>
                <w:sz w:val="12"/>
                <w:szCs w:val="12"/>
                <w:color w:val="auto"/>
              </w:rPr>
              <w:t>Summit Wireless Infrastructure Servicios, S. de R.L. de C.V.</w:t>
            </w:r>
          </w:p>
        </w:tc>
        <w:tc>
          <w:tcPr>
            <w:tcW w:w="5280" w:type="dxa"/>
            <w:vAlign w:val="bottom"/>
          </w:tcPr>
          <w:p>
            <w:pPr>
              <w:jc w:val="center"/>
              <w:ind w:left="1540"/>
              <w:spacing w:after="0"/>
              <w:rPr>
                <w:sz w:val="20"/>
                <w:szCs w:val="20"/>
                <w:color w:val="auto"/>
              </w:rPr>
            </w:pPr>
            <w:r>
              <w:rPr>
                <w:rFonts w:ascii="Arial" w:cs="Arial" w:eastAsia="Arial" w:hAnsi="Arial"/>
                <w:sz w:val="12"/>
                <w:szCs w:val="12"/>
                <w:color w:val="auto"/>
                <w:w w:val="94"/>
              </w:rPr>
              <w:t>Mexico</w:t>
            </w:r>
          </w:p>
        </w:tc>
      </w:tr>
      <w:tr>
        <w:trPr>
          <w:trHeight w:val="153"/>
        </w:trPr>
        <w:tc>
          <w:tcPr>
            <w:tcW w:w="6200" w:type="dxa"/>
            <w:vAlign w:val="bottom"/>
            <w:shd w:val="clear" w:color="auto" w:fill="CCEEFF"/>
          </w:tcPr>
          <w:p>
            <w:pPr>
              <w:spacing w:after="0"/>
              <w:rPr>
                <w:sz w:val="20"/>
                <w:szCs w:val="20"/>
                <w:color w:val="auto"/>
              </w:rPr>
            </w:pPr>
            <w:r>
              <w:rPr>
                <w:rFonts w:ascii="Arial" w:cs="Arial" w:eastAsia="Arial" w:hAnsi="Arial"/>
                <w:sz w:val="12"/>
                <w:szCs w:val="12"/>
                <w:color w:val="auto"/>
              </w:rPr>
              <w:t>Talk America Services, LLC*</w:t>
            </w:r>
          </w:p>
        </w:tc>
        <w:tc>
          <w:tcPr>
            <w:tcW w:w="5280" w:type="dxa"/>
            <w:vAlign w:val="bottom"/>
            <w:shd w:val="clear" w:color="auto" w:fill="CCEEFF"/>
          </w:tcPr>
          <w:p>
            <w:pPr>
              <w:jc w:val="center"/>
              <w:ind w:left="1560"/>
              <w:spacing w:after="0"/>
              <w:rPr>
                <w:sz w:val="20"/>
                <w:szCs w:val="20"/>
                <w:color w:val="auto"/>
              </w:rPr>
            </w:pPr>
            <w:r>
              <w:rPr>
                <w:rFonts w:ascii="Arial" w:cs="Arial" w:eastAsia="Arial" w:hAnsi="Arial"/>
                <w:sz w:val="12"/>
                <w:szCs w:val="12"/>
                <w:color w:val="auto"/>
                <w:w w:val="90"/>
              </w:rPr>
              <w:t>Delaware</w:t>
            </w:r>
          </w:p>
        </w:tc>
      </w:tr>
      <w:tr>
        <w:trPr>
          <w:trHeight w:val="153"/>
        </w:trPr>
        <w:tc>
          <w:tcPr>
            <w:tcW w:w="6200" w:type="dxa"/>
            <w:vAlign w:val="bottom"/>
          </w:tcPr>
          <w:p>
            <w:pPr>
              <w:spacing w:after="0"/>
              <w:rPr>
                <w:sz w:val="20"/>
                <w:szCs w:val="20"/>
                <w:color w:val="auto"/>
              </w:rPr>
            </w:pPr>
            <w:r>
              <w:rPr>
                <w:rFonts w:ascii="Arial" w:cs="Arial" w:eastAsia="Arial" w:hAnsi="Arial"/>
                <w:sz w:val="12"/>
                <w:szCs w:val="12"/>
                <w:color w:val="auto"/>
              </w:rPr>
              <w:t>Tower Cloud, Inc.</w:t>
            </w:r>
          </w:p>
        </w:tc>
        <w:tc>
          <w:tcPr>
            <w:tcW w:w="5280" w:type="dxa"/>
            <w:vAlign w:val="bottom"/>
          </w:tcPr>
          <w:p>
            <w:pPr>
              <w:jc w:val="center"/>
              <w:ind w:left="1560"/>
              <w:spacing w:after="0"/>
              <w:rPr>
                <w:sz w:val="20"/>
                <w:szCs w:val="20"/>
                <w:color w:val="auto"/>
              </w:rPr>
            </w:pPr>
            <w:r>
              <w:rPr>
                <w:rFonts w:ascii="Arial" w:cs="Arial" w:eastAsia="Arial" w:hAnsi="Arial"/>
                <w:sz w:val="12"/>
                <w:szCs w:val="12"/>
                <w:color w:val="auto"/>
                <w:w w:val="90"/>
              </w:rPr>
              <w:t>Delaware</w:t>
            </w:r>
          </w:p>
        </w:tc>
      </w:tr>
      <w:tr>
        <w:trPr>
          <w:trHeight w:val="153"/>
        </w:trPr>
        <w:tc>
          <w:tcPr>
            <w:tcW w:w="6200" w:type="dxa"/>
            <w:vAlign w:val="bottom"/>
            <w:shd w:val="clear" w:color="auto" w:fill="CCEEFF"/>
          </w:tcPr>
          <w:p>
            <w:pPr>
              <w:spacing w:after="0"/>
              <w:rPr>
                <w:sz w:val="20"/>
                <w:szCs w:val="20"/>
                <w:color w:val="auto"/>
              </w:rPr>
            </w:pPr>
            <w:r>
              <w:rPr>
                <w:rFonts w:ascii="Arial" w:cs="Arial" w:eastAsia="Arial" w:hAnsi="Arial"/>
                <w:sz w:val="12"/>
                <w:szCs w:val="12"/>
                <w:color w:val="auto"/>
              </w:rPr>
              <w:t>Uniti Dark Fiber LLC</w:t>
            </w:r>
          </w:p>
        </w:tc>
        <w:tc>
          <w:tcPr>
            <w:tcW w:w="5280" w:type="dxa"/>
            <w:vAlign w:val="bottom"/>
            <w:shd w:val="clear" w:color="auto" w:fill="CCEEFF"/>
          </w:tcPr>
          <w:p>
            <w:pPr>
              <w:jc w:val="center"/>
              <w:ind w:left="1560"/>
              <w:spacing w:after="0"/>
              <w:rPr>
                <w:sz w:val="20"/>
                <w:szCs w:val="20"/>
                <w:color w:val="auto"/>
              </w:rPr>
            </w:pPr>
            <w:r>
              <w:rPr>
                <w:rFonts w:ascii="Arial" w:cs="Arial" w:eastAsia="Arial" w:hAnsi="Arial"/>
                <w:sz w:val="12"/>
                <w:szCs w:val="12"/>
                <w:color w:val="auto"/>
                <w:w w:val="90"/>
              </w:rPr>
              <w:t>Delaware</w:t>
            </w:r>
          </w:p>
        </w:tc>
      </w:tr>
      <w:tr>
        <w:trPr>
          <w:trHeight w:val="153"/>
        </w:trPr>
        <w:tc>
          <w:tcPr>
            <w:tcW w:w="6200" w:type="dxa"/>
            <w:vAlign w:val="bottom"/>
          </w:tcPr>
          <w:p>
            <w:pPr>
              <w:spacing w:after="0"/>
              <w:rPr>
                <w:sz w:val="20"/>
                <w:szCs w:val="20"/>
                <w:color w:val="auto"/>
              </w:rPr>
            </w:pPr>
            <w:r>
              <w:rPr>
                <w:rFonts w:ascii="Arial" w:cs="Arial" w:eastAsia="Arial" w:hAnsi="Arial"/>
                <w:sz w:val="12"/>
                <w:szCs w:val="12"/>
                <w:color w:val="auto"/>
              </w:rPr>
              <w:t>Uniti Fiber Holdings Inc.</w:t>
            </w:r>
          </w:p>
        </w:tc>
        <w:tc>
          <w:tcPr>
            <w:tcW w:w="5280" w:type="dxa"/>
            <w:vAlign w:val="bottom"/>
          </w:tcPr>
          <w:p>
            <w:pPr>
              <w:jc w:val="center"/>
              <w:ind w:left="1560"/>
              <w:spacing w:after="0"/>
              <w:rPr>
                <w:sz w:val="20"/>
                <w:szCs w:val="20"/>
                <w:color w:val="auto"/>
              </w:rPr>
            </w:pPr>
            <w:r>
              <w:rPr>
                <w:rFonts w:ascii="Arial" w:cs="Arial" w:eastAsia="Arial" w:hAnsi="Arial"/>
                <w:sz w:val="12"/>
                <w:szCs w:val="12"/>
                <w:color w:val="auto"/>
                <w:w w:val="90"/>
              </w:rPr>
              <w:t>Delaware</w:t>
            </w:r>
          </w:p>
        </w:tc>
      </w:tr>
      <w:tr>
        <w:trPr>
          <w:trHeight w:val="153"/>
        </w:trPr>
        <w:tc>
          <w:tcPr>
            <w:tcW w:w="6200" w:type="dxa"/>
            <w:vAlign w:val="bottom"/>
            <w:shd w:val="clear" w:color="auto" w:fill="CCEEFF"/>
          </w:tcPr>
          <w:p>
            <w:pPr>
              <w:spacing w:after="0"/>
              <w:rPr>
                <w:sz w:val="20"/>
                <w:szCs w:val="20"/>
                <w:color w:val="auto"/>
              </w:rPr>
            </w:pPr>
            <w:r>
              <w:rPr>
                <w:rFonts w:ascii="Arial" w:cs="Arial" w:eastAsia="Arial" w:hAnsi="Arial"/>
                <w:sz w:val="12"/>
                <w:szCs w:val="12"/>
                <w:color w:val="auto"/>
              </w:rPr>
              <w:t>Uniti Fiber Holdings-TC LLC</w:t>
            </w:r>
          </w:p>
        </w:tc>
        <w:tc>
          <w:tcPr>
            <w:tcW w:w="5280" w:type="dxa"/>
            <w:vAlign w:val="bottom"/>
            <w:shd w:val="clear" w:color="auto" w:fill="CCEEFF"/>
          </w:tcPr>
          <w:p>
            <w:pPr>
              <w:jc w:val="center"/>
              <w:ind w:left="1560"/>
              <w:spacing w:after="0"/>
              <w:rPr>
                <w:sz w:val="20"/>
                <w:szCs w:val="20"/>
                <w:color w:val="auto"/>
              </w:rPr>
            </w:pPr>
            <w:r>
              <w:rPr>
                <w:rFonts w:ascii="Arial" w:cs="Arial" w:eastAsia="Arial" w:hAnsi="Arial"/>
                <w:sz w:val="12"/>
                <w:szCs w:val="12"/>
                <w:color w:val="auto"/>
                <w:w w:val="90"/>
              </w:rPr>
              <w:t>Delaware</w:t>
            </w:r>
          </w:p>
        </w:tc>
      </w:tr>
      <w:tr>
        <w:trPr>
          <w:trHeight w:val="153"/>
        </w:trPr>
        <w:tc>
          <w:tcPr>
            <w:tcW w:w="6200" w:type="dxa"/>
            <w:vAlign w:val="bottom"/>
          </w:tcPr>
          <w:p>
            <w:pPr>
              <w:spacing w:after="0"/>
              <w:rPr>
                <w:sz w:val="20"/>
                <w:szCs w:val="20"/>
                <w:color w:val="auto"/>
              </w:rPr>
            </w:pPr>
            <w:r>
              <w:rPr>
                <w:rFonts w:ascii="Arial" w:cs="Arial" w:eastAsia="Arial" w:hAnsi="Arial"/>
                <w:sz w:val="12"/>
                <w:szCs w:val="12"/>
                <w:color w:val="auto"/>
              </w:rPr>
              <w:t>Uniti Fiber LLC</w:t>
            </w:r>
          </w:p>
        </w:tc>
        <w:tc>
          <w:tcPr>
            <w:tcW w:w="5280" w:type="dxa"/>
            <w:vAlign w:val="bottom"/>
          </w:tcPr>
          <w:p>
            <w:pPr>
              <w:jc w:val="center"/>
              <w:ind w:left="1560"/>
              <w:spacing w:after="0"/>
              <w:rPr>
                <w:sz w:val="20"/>
                <w:szCs w:val="20"/>
                <w:color w:val="auto"/>
              </w:rPr>
            </w:pPr>
            <w:r>
              <w:rPr>
                <w:rFonts w:ascii="Arial" w:cs="Arial" w:eastAsia="Arial" w:hAnsi="Arial"/>
                <w:sz w:val="12"/>
                <w:szCs w:val="12"/>
                <w:color w:val="auto"/>
                <w:w w:val="90"/>
              </w:rPr>
              <w:t>Delaware</w:t>
            </w:r>
          </w:p>
        </w:tc>
      </w:tr>
      <w:tr>
        <w:trPr>
          <w:trHeight w:val="153"/>
        </w:trPr>
        <w:tc>
          <w:tcPr>
            <w:tcW w:w="6200" w:type="dxa"/>
            <w:vAlign w:val="bottom"/>
            <w:shd w:val="clear" w:color="auto" w:fill="CCEEFF"/>
          </w:tcPr>
          <w:p>
            <w:pPr>
              <w:spacing w:after="0"/>
              <w:rPr>
                <w:sz w:val="20"/>
                <w:szCs w:val="20"/>
                <w:color w:val="auto"/>
              </w:rPr>
            </w:pPr>
            <w:r>
              <w:rPr>
                <w:rFonts w:ascii="Arial" w:cs="Arial" w:eastAsia="Arial" w:hAnsi="Arial"/>
                <w:sz w:val="12"/>
                <w:szCs w:val="12"/>
                <w:color w:val="auto"/>
              </w:rPr>
              <w:t>Uniti Group Finance Inc.</w:t>
            </w:r>
          </w:p>
        </w:tc>
        <w:tc>
          <w:tcPr>
            <w:tcW w:w="5280" w:type="dxa"/>
            <w:vAlign w:val="bottom"/>
            <w:shd w:val="clear" w:color="auto" w:fill="CCEEFF"/>
          </w:tcPr>
          <w:p>
            <w:pPr>
              <w:jc w:val="center"/>
              <w:ind w:left="1560"/>
              <w:spacing w:after="0"/>
              <w:rPr>
                <w:sz w:val="20"/>
                <w:szCs w:val="20"/>
                <w:color w:val="auto"/>
              </w:rPr>
            </w:pPr>
            <w:r>
              <w:rPr>
                <w:rFonts w:ascii="Arial" w:cs="Arial" w:eastAsia="Arial" w:hAnsi="Arial"/>
                <w:sz w:val="12"/>
                <w:szCs w:val="12"/>
                <w:color w:val="auto"/>
                <w:w w:val="90"/>
              </w:rPr>
              <w:t>Delaware</w:t>
            </w:r>
          </w:p>
        </w:tc>
      </w:tr>
      <w:tr>
        <w:trPr>
          <w:trHeight w:val="153"/>
        </w:trPr>
        <w:tc>
          <w:tcPr>
            <w:tcW w:w="6200" w:type="dxa"/>
            <w:vAlign w:val="bottom"/>
          </w:tcPr>
          <w:p>
            <w:pPr>
              <w:spacing w:after="0"/>
              <w:rPr>
                <w:sz w:val="20"/>
                <w:szCs w:val="20"/>
                <w:color w:val="auto"/>
              </w:rPr>
            </w:pPr>
            <w:r>
              <w:rPr>
                <w:rFonts w:ascii="Arial" w:cs="Arial" w:eastAsia="Arial" w:hAnsi="Arial"/>
                <w:sz w:val="12"/>
                <w:szCs w:val="12"/>
                <w:color w:val="auto"/>
              </w:rPr>
              <w:t>Uniti Group LP*</w:t>
            </w:r>
          </w:p>
        </w:tc>
        <w:tc>
          <w:tcPr>
            <w:tcW w:w="5280" w:type="dxa"/>
            <w:vAlign w:val="bottom"/>
          </w:tcPr>
          <w:p>
            <w:pPr>
              <w:jc w:val="center"/>
              <w:ind w:left="1560"/>
              <w:spacing w:after="0"/>
              <w:rPr>
                <w:sz w:val="20"/>
                <w:szCs w:val="20"/>
                <w:color w:val="auto"/>
              </w:rPr>
            </w:pPr>
            <w:r>
              <w:rPr>
                <w:rFonts w:ascii="Arial" w:cs="Arial" w:eastAsia="Arial" w:hAnsi="Arial"/>
                <w:sz w:val="12"/>
                <w:szCs w:val="12"/>
                <w:color w:val="auto"/>
                <w:w w:val="90"/>
              </w:rPr>
              <w:t>Delaware</w:t>
            </w:r>
          </w:p>
        </w:tc>
      </w:tr>
      <w:tr>
        <w:trPr>
          <w:trHeight w:val="153"/>
        </w:trPr>
        <w:tc>
          <w:tcPr>
            <w:tcW w:w="6200" w:type="dxa"/>
            <w:vAlign w:val="bottom"/>
            <w:shd w:val="clear" w:color="auto" w:fill="CCEEFF"/>
          </w:tcPr>
          <w:p>
            <w:pPr>
              <w:spacing w:after="0"/>
              <w:rPr>
                <w:sz w:val="20"/>
                <w:szCs w:val="20"/>
                <w:color w:val="auto"/>
              </w:rPr>
            </w:pPr>
            <w:r>
              <w:rPr>
                <w:rFonts w:ascii="Arial" w:cs="Arial" w:eastAsia="Arial" w:hAnsi="Arial"/>
                <w:sz w:val="12"/>
                <w:szCs w:val="12"/>
                <w:color w:val="auto"/>
              </w:rPr>
              <w:t>Uniti Group LP LLC*</w:t>
            </w:r>
          </w:p>
        </w:tc>
        <w:tc>
          <w:tcPr>
            <w:tcW w:w="5280" w:type="dxa"/>
            <w:vAlign w:val="bottom"/>
            <w:shd w:val="clear" w:color="auto" w:fill="CCEEFF"/>
          </w:tcPr>
          <w:p>
            <w:pPr>
              <w:jc w:val="center"/>
              <w:ind w:left="1560"/>
              <w:spacing w:after="0"/>
              <w:rPr>
                <w:sz w:val="20"/>
                <w:szCs w:val="20"/>
                <w:color w:val="auto"/>
              </w:rPr>
            </w:pPr>
            <w:r>
              <w:rPr>
                <w:rFonts w:ascii="Arial" w:cs="Arial" w:eastAsia="Arial" w:hAnsi="Arial"/>
                <w:sz w:val="12"/>
                <w:szCs w:val="12"/>
                <w:color w:val="auto"/>
                <w:w w:val="90"/>
              </w:rPr>
              <w:t>Delaware</w:t>
            </w:r>
          </w:p>
        </w:tc>
      </w:tr>
      <w:tr>
        <w:trPr>
          <w:trHeight w:val="153"/>
        </w:trPr>
        <w:tc>
          <w:tcPr>
            <w:tcW w:w="6200" w:type="dxa"/>
            <w:vAlign w:val="bottom"/>
          </w:tcPr>
          <w:p>
            <w:pPr>
              <w:spacing w:after="0"/>
              <w:rPr>
                <w:sz w:val="20"/>
                <w:szCs w:val="20"/>
                <w:color w:val="auto"/>
              </w:rPr>
            </w:pPr>
            <w:r>
              <w:rPr>
                <w:rFonts w:ascii="Arial" w:cs="Arial" w:eastAsia="Arial" w:hAnsi="Arial"/>
                <w:sz w:val="12"/>
                <w:szCs w:val="12"/>
                <w:color w:val="auto"/>
              </w:rPr>
              <w:t>Uniti Holdings GP LLC</w:t>
            </w:r>
          </w:p>
        </w:tc>
        <w:tc>
          <w:tcPr>
            <w:tcW w:w="5280" w:type="dxa"/>
            <w:vAlign w:val="bottom"/>
          </w:tcPr>
          <w:p>
            <w:pPr>
              <w:jc w:val="center"/>
              <w:ind w:left="1560"/>
              <w:spacing w:after="0"/>
              <w:rPr>
                <w:sz w:val="20"/>
                <w:szCs w:val="20"/>
                <w:color w:val="auto"/>
              </w:rPr>
            </w:pPr>
            <w:r>
              <w:rPr>
                <w:rFonts w:ascii="Arial" w:cs="Arial" w:eastAsia="Arial" w:hAnsi="Arial"/>
                <w:sz w:val="12"/>
                <w:szCs w:val="12"/>
                <w:color w:val="auto"/>
                <w:w w:val="90"/>
              </w:rPr>
              <w:t>Delaware</w:t>
            </w:r>
          </w:p>
        </w:tc>
      </w:tr>
      <w:tr>
        <w:trPr>
          <w:trHeight w:val="153"/>
        </w:trPr>
        <w:tc>
          <w:tcPr>
            <w:tcW w:w="6200" w:type="dxa"/>
            <w:vAlign w:val="bottom"/>
            <w:shd w:val="clear" w:color="auto" w:fill="CCEEFF"/>
          </w:tcPr>
          <w:p>
            <w:pPr>
              <w:spacing w:after="0"/>
              <w:rPr>
                <w:sz w:val="20"/>
                <w:szCs w:val="20"/>
                <w:color w:val="auto"/>
              </w:rPr>
            </w:pPr>
            <w:r>
              <w:rPr>
                <w:rFonts w:ascii="Arial" w:cs="Arial" w:eastAsia="Arial" w:hAnsi="Arial"/>
                <w:sz w:val="12"/>
                <w:szCs w:val="12"/>
                <w:color w:val="auto"/>
              </w:rPr>
              <w:t>Uniti Holdings LP</w:t>
            </w:r>
          </w:p>
        </w:tc>
        <w:tc>
          <w:tcPr>
            <w:tcW w:w="5280" w:type="dxa"/>
            <w:vAlign w:val="bottom"/>
            <w:shd w:val="clear" w:color="auto" w:fill="CCEEFF"/>
          </w:tcPr>
          <w:p>
            <w:pPr>
              <w:jc w:val="center"/>
              <w:ind w:left="1560"/>
              <w:spacing w:after="0"/>
              <w:rPr>
                <w:sz w:val="20"/>
                <w:szCs w:val="20"/>
                <w:color w:val="auto"/>
              </w:rPr>
            </w:pPr>
            <w:r>
              <w:rPr>
                <w:rFonts w:ascii="Arial" w:cs="Arial" w:eastAsia="Arial" w:hAnsi="Arial"/>
                <w:sz w:val="12"/>
                <w:szCs w:val="12"/>
                <w:color w:val="auto"/>
                <w:w w:val="90"/>
              </w:rPr>
              <w:t>Delaware</w:t>
            </w:r>
          </w:p>
        </w:tc>
      </w:tr>
      <w:tr>
        <w:trPr>
          <w:trHeight w:val="153"/>
        </w:trPr>
        <w:tc>
          <w:tcPr>
            <w:tcW w:w="6200" w:type="dxa"/>
            <w:vAlign w:val="bottom"/>
          </w:tcPr>
          <w:p>
            <w:pPr>
              <w:spacing w:after="0"/>
              <w:rPr>
                <w:sz w:val="20"/>
                <w:szCs w:val="20"/>
                <w:color w:val="auto"/>
              </w:rPr>
            </w:pPr>
            <w:r>
              <w:rPr>
                <w:rFonts w:ascii="Arial" w:cs="Arial" w:eastAsia="Arial" w:hAnsi="Arial"/>
                <w:sz w:val="12"/>
                <w:szCs w:val="12"/>
                <w:color w:val="auto"/>
              </w:rPr>
              <w:t>Uniti LATAM GP LLC</w:t>
            </w:r>
          </w:p>
        </w:tc>
        <w:tc>
          <w:tcPr>
            <w:tcW w:w="5280" w:type="dxa"/>
            <w:vAlign w:val="bottom"/>
          </w:tcPr>
          <w:p>
            <w:pPr>
              <w:jc w:val="center"/>
              <w:ind w:left="1560"/>
              <w:spacing w:after="0"/>
              <w:rPr>
                <w:sz w:val="20"/>
                <w:szCs w:val="20"/>
                <w:color w:val="auto"/>
              </w:rPr>
            </w:pPr>
            <w:r>
              <w:rPr>
                <w:rFonts w:ascii="Arial" w:cs="Arial" w:eastAsia="Arial" w:hAnsi="Arial"/>
                <w:sz w:val="12"/>
                <w:szCs w:val="12"/>
                <w:color w:val="auto"/>
                <w:w w:val="90"/>
              </w:rPr>
              <w:t>Delaware</w:t>
            </w:r>
          </w:p>
        </w:tc>
      </w:tr>
      <w:tr>
        <w:trPr>
          <w:trHeight w:val="153"/>
        </w:trPr>
        <w:tc>
          <w:tcPr>
            <w:tcW w:w="6200" w:type="dxa"/>
            <w:vAlign w:val="bottom"/>
            <w:shd w:val="clear" w:color="auto" w:fill="CCEEFF"/>
          </w:tcPr>
          <w:p>
            <w:pPr>
              <w:spacing w:after="0"/>
              <w:rPr>
                <w:sz w:val="20"/>
                <w:szCs w:val="20"/>
                <w:color w:val="auto"/>
              </w:rPr>
            </w:pPr>
            <w:r>
              <w:rPr>
                <w:rFonts w:ascii="Arial" w:cs="Arial" w:eastAsia="Arial" w:hAnsi="Arial"/>
                <w:sz w:val="12"/>
                <w:szCs w:val="12"/>
                <w:color w:val="auto"/>
              </w:rPr>
              <w:t>Uniti LATAM LP</w:t>
            </w:r>
          </w:p>
        </w:tc>
        <w:tc>
          <w:tcPr>
            <w:tcW w:w="5280" w:type="dxa"/>
            <w:vAlign w:val="bottom"/>
            <w:shd w:val="clear" w:color="auto" w:fill="CCEEFF"/>
          </w:tcPr>
          <w:p>
            <w:pPr>
              <w:jc w:val="center"/>
              <w:ind w:left="1560"/>
              <w:spacing w:after="0"/>
              <w:rPr>
                <w:sz w:val="20"/>
                <w:szCs w:val="20"/>
                <w:color w:val="auto"/>
              </w:rPr>
            </w:pPr>
            <w:r>
              <w:rPr>
                <w:rFonts w:ascii="Arial" w:cs="Arial" w:eastAsia="Arial" w:hAnsi="Arial"/>
                <w:sz w:val="12"/>
                <w:szCs w:val="12"/>
                <w:color w:val="auto"/>
                <w:w w:val="90"/>
              </w:rPr>
              <w:t>Delaware</w:t>
            </w:r>
          </w:p>
        </w:tc>
      </w:tr>
      <w:tr>
        <w:trPr>
          <w:trHeight w:val="153"/>
        </w:trPr>
        <w:tc>
          <w:tcPr>
            <w:tcW w:w="6200" w:type="dxa"/>
            <w:vAlign w:val="bottom"/>
          </w:tcPr>
          <w:p>
            <w:pPr>
              <w:spacing w:after="0"/>
              <w:rPr>
                <w:sz w:val="20"/>
                <w:szCs w:val="20"/>
                <w:color w:val="auto"/>
              </w:rPr>
            </w:pPr>
            <w:r>
              <w:rPr>
                <w:rFonts w:ascii="Arial" w:cs="Arial" w:eastAsia="Arial" w:hAnsi="Arial"/>
                <w:sz w:val="12"/>
                <w:szCs w:val="12"/>
                <w:color w:val="auto"/>
              </w:rPr>
              <w:t>Uniti Leasing LLC</w:t>
            </w:r>
          </w:p>
        </w:tc>
        <w:tc>
          <w:tcPr>
            <w:tcW w:w="5280" w:type="dxa"/>
            <w:vAlign w:val="bottom"/>
          </w:tcPr>
          <w:p>
            <w:pPr>
              <w:jc w:val="center"/>
              <w:ind w:left="1560"/>
              <w:spacing w:after="0"/>
              <w:rPr>
                <w:sz w:val="20"/>
                <w:szCs w:val="20"/>
                <w:color w:val="auto"/>
              </w:rPr>
            </w:pPr>
            <w:r>
              <w:rPr>
                <w:rFonts w:ascii="Arial" w:cs="Arial" w:eastAsia="Arial" w:hAnsi="Arial"/>
                <w:sz w:val="12"/>
                <w:szCs w:val="12"/>
                <w:color w:val="auto"/>
                <w:w w:val="90"/>
              </w:rPr>
              <w:t>Delaware</w:t>
            </w:r>
          </w:p>
        </w:tc>
      </w:tr>
      <w:tr>
        <w:trPr>
          <w:trHeight w:val="153"/>
        </w:trPr>
        <w:tc>
          <w:tcPr>
            <w:tcW w:w="6200" w:type="dxa"/>
            <w:vAlign w:val="bottom"/>
            <w:shd w:val="clear" w:color="auto" w:fill="CCEEFF"/>
          </w:tcPr>
          <w:p>
            <w:pPr>
              <w:spacing w:after="0"/>
              <w:rPr>
                <w:sz w:val="20"/>
                <w:szCs w:val="20"/>
                <w:color w:val="auto"/>
              </w:rPr>
            </w:pPr>
            <w:r>
              <w:rPr>
                <w:rFonts w:ascii="Arial" w:cs="Arial" w:eastAsia="Arial" w:hAnsi="Arial"/>
                <w:sz w:val="12"/>
                <w:szCs w:val="12"/>
                <w:color w:val="auto"/>
              </w:rPr>
              <w:t>Uniti QRS Holdings GP LLC</w:t>
            </w:r>
          </w:p>
        </w:tc>
        <w:tc>
          <w:tcPr>
            <w:tcW w:w="5280" w:type="dxa"/>
            <w:vAlign w:val="bottom"/>
            <w:shd w:val="clear" w:color="auto" w:fill="CCEEFF"/>
          </w:tcPr>
          <w:p>
            <w:pPr>
              <w:jc w:val="center"/>
              <w:ind w:left="1560"/>
              <w:spacing w:after="0"/>
              <w:rPr>
                <w:sz w:val="20"/>
                <w:szCs w:val="20"/>
                <w:color w:val="auto"/>
              </w:rPr>
            </w:pPr>
            <w:r>
              <w:rPr>
                <w:rFonts w:ascii="Arial" w:cs="Arial" w:eastAsia="Arial" w:hAnsi="Arial"/>
                <w:sz w:val="12"/>
                <w:szCs w:val="12"/>
                <w:color w:val="auto"/>
                <w:w w:val="90"/>
              </w:rPr>
              <w:t>Delaware</w:t>
            </w:r>
          </w:p>
        </w:tc>
      </w:tr>
      <w:tr>
        <w:trPr>
          <w:trHeight w:val="153"/>
        </w:trPr>
        <w:tc>
          <w:tcPr>
            <w:tcW w:w="6200" w:type="dxa"/>
            <w:vAlign w:val="bottom"/>
          </w:tcPr>
          <w:p>
            <w:pPr>
              <w:spacing w:after="0"/>
              <w:rPr>
                <w:sz w:val="20"/>
                <w:szCs w:val="20"/>
                <w:color w:val="auto"/>
              </w:rPr>
            </w:pPr>
            <w:r>
              <w:rPr>
                <w:rFonts w:ascii="Arial" w:cs="Arial" w:eastAsia="Arial" w:hAnsi="Arial"/>
                <w:sz w:val="12"/>
                <w:szCs w:val="12"/>
                <w:color w:val="auto"/>
              </w:rPr>
              <w:t>Uniti QRS Holdings LP</w:t>
            </w:r>
          </w:p>
        </w:tc>
        <w:tc>
          <w:tcPr>
            <w:tcW w:w="5280" w:type="dxa"/>
            <w:vAlign w:val="bottom"/>
          </w:tcPr>
          <w:p>
            <w:pPr>
              <w:jc w:val="center"/>
              <w:ind w:left="1560"/>
              <w:spacing w:after="0"/>
              <w:rPr>
                <w:sz w:val="20"/>
                <w:szCs w:val="20"/>
                <w:color w:val="auto"/>
              </w:rPr>
            </w:pPr>
            <w:r>
              <w:rPr>
                <w:rFonts w:ascii="Arial" w:cs="Arial" w:eastAsia="Arial" w:hAnsi="Arial"/>
                <w:sz w:val="12"/>
                <w:szCs w:val="12"/>
                <w:color w:val="auto"/>
                <w:w w:val="90"/>
              </w:rPr>
              <w:t>Delaware</w:t>
            </w:r>
          </w:p>
        </w:tc>
      </w:tr>
      <w:tr>
        <w:trPr>
          <w:trHeight w:val="153"/>
        </w:trPr>
        <w:tc>
          <w:tcPr>
            <w:tcW w:w="6200" w:type="dxa"/>
            <w:vAlign w:val="bottom"/>
            <w:shd w:val="clear" w:color="auto" w:fill="CCEEFF"/>
          </w:tcPr>
          <w:p>
            <w:pPr>
              <w:spacing w:after="0"/>
              <w:rPr>
                <w:sz w:val="20"/>
                <w:szCs w:val="20"/>
                <w:color w:val="auto"/>
              </w:rPr>
            </w:pPr>
            <w:r>
              <w:rPr>
                <w:rFonts w:ascii="Arial" w:cs="Arial" w:eastAsia="Arial" w:hAnsi="Arial"/>
                <w:sz w:val="12"/>
                <w:szCs w:val="12"/>
                <w:color w:val="auto"/>
              </w:rPr>
              <w:t>Uniti Towers LLC</w:t>
            </w:r>
          </w:p>
        </w:tc>
        <w:tc>
          <w:tcPr>
            <w:tcW w:w="5280" w:type="dxa"/>
            <w:vAlign w:val="bottom"/>
            <w:shd w:val="clear" w:color="auto" w:fill="CCEEFF"/>
          </w:tcPr>
          <w:p>
            <w:pPr>
              <w:jc w:val="center"/>
              <w:ind w:left="1560"/>
              <w:spacing w:after="0"/>
              <w:rPr>
                <w:sz w:val="20"/>
                <w:szCs w:val="20"/>
                <w:color w:val="auto"/>
              </w:rPr>
            </w:pPr>
            <w:r>
              <w:rPr>
                <w:rFonts w:ascii="Arial" w:cs="Arial" w:eastAsia="Arial" w:hAnsi="Arial"/>
                <w:sz w:val="12"/>
                <w:szCs w:val="12"/>
                <w:color w:val="auto"/>
                <w:w w:val="90"/>
              </w:rPr>
              <w:t>Delaware</w:t>
            </w:r>
          </w:p>
        </w:tc>
      </w:tr>
      <w:tr>
        <w:trPr>
          <w:trHeight w:val="153"/>
        </w:trPr>
        <w:tc>
          <w:tcPr>
            <w:tcW w:w="6200" w:type="dxa"/>
            <w:vAlign w:val="bottom"/>
          </w:tcPr>
          <w:p>
            <w:pPr>
              <w:spacing w:after="0"/>
              <w:rPr>
                <w:sz w:val="20"/>
                <w:szCs w:val="20"/>
                <w:color w:val="auto"/>
              </w:rPr>
            </w:pPr>
            <w:r>
              <w:rPr>
                <w:rFonts w:ascii="Arial" w:cs="Arial" w:eastAsia="Arial" w:hAnsi="Arial"/>
                <w:sz w:val="12"/>
                <w:szCs w:val="12"/>
                <w:color w:val="auto"/>
              </w:rPr>
              <w:t>Uniti Towers NMS Holdings LLC</w:t>
            </w:r>
          </w:p>
        </w:tc>
        <w:tc>
          <w:tcPr>
            <w:tcW w:w="5280" w:type="dxa"/>
            <w:vAlign w:val="bottom"/>
          </w:tcPr>
          <w:p>
            <w:pPr>
              <w:jc w:val="center"/>
              <w:ind w:left="1560"/>
              <w:spacing w:after="0"/>
              <w:rPr>
                <w:sz w:val="20"/>
                <w:szCs w:val="20"/>
                <w:color w:val="auto"/>
              </w:rPr>
            </w:pPr>
            <w:r>
              <w:rPr>
                <w:rFonts w:ascii="Arial" w:cs="Arial" w:eastAsia="Arial" w:hAnsi="Arial"/>
                <w:sz w:val="12"/>
                <w:szCs w:val="12"/>
                <w:color w:val="auto"/>
                <w:w w:val="90"/>
              </w:rPr>
              <w:t>Delaware</w:t>
            </w:r>
          </w:p>
        </w:tc>
      </w:tr>
      <w:tr>
        <w:trPr>
          <w:trHeight w:val="153"/>
        </w:trPr>
        <w:tc>
          <w:tcPr>
            <w:tcW w:w="6200" w:type="dxa"/>
            <w:vAlign w:val="bottom"/>
            <w:shd w:val="clear" w:color="auto" w:fill="CCEEFF"/>
          </w:tcPr>
          <w:p>
            <w:pPr>
              <w:spacing w:after="0"/>
              <w:rPr>
                <w:sz w:val="20"/>
                <w:szCs w:val="20"/>
                <w:color w:val="auto"/>
              </w:rPr>
            </w:pPr>
            <w:r>
              <w:rPr>
                <w:rFonts w:ascii="Arial" w:cs="Arial" w:eastAsia="Arial" w:hAnsi="Arial"/>
                <w:sz w:val="12"/>
                <w:szCs w:val="12"/>
                <w:color w:val="auto"/>
              </w:rPr>
              <w:t>Uniti Towers – NMS Investor LLC</w:t>
            </w:r>
          </w:p>
        </w:tc>
        <w:tc>
          <w:tcPr>
            <w:tcW w:w="5280" w:type="dxa"/>
            <w:vAlign w:val="bottom"/>
            <w:shd w:val="clear" w:color="auto" w:fill="CCEEFF"/>
          </w:tcPr>
          <w:p>
            <w:pPr>
              <w:jc w:val="center"/>
              <w:ind w:left="1560"/>
              <w:spacing w:after="0"/>
              <w:rPr>
                <w:sz w:val="20"/>
                <w:szCs w:val="20"/>
                <w:color w:val="auto"/>
              </w:rPr>
            </w:pPr>
            <w:r>
              <w:rPr>
                <w:rFonts w:ascii="Arial" w:cs="Arial" w:eastAsia="Arial" w:hAnsi="Arial"/>
                <w:sz w:val="12"/>
                <w:szCs w:val="12"/>
                <w:color w:val="auto"/>
                <w:w w:val="90"/>
              </w:rPr>
              <w:t>Delaware</w:t>
            </w:r>
          </w:p>
        </w:tc>
      </w:tr>
      <w:tr>
        <w:trPr>
          <w:trHeight w:val="153"/>
        </w:trPr>
        <w:tc>
          <w:tcPr>
            <w:tcW w:w="6200" w:type="dxa"/>
            <w:vAlign w:val="bottom"/>
          </w:tcPr>
          <w:p>
            <w:pPr>
              <w:spacing w:after="0"/>
              <w:rPr>
                <w:sz w:val="20"/>
                <w:szCs w:val="20"/>
                <w:color w:val="auto"/>
              </w:rPr>
            </w:pPr>
            <w:r>
              <w:rPr>
                <w:rFonts w:ascii="Arial" w:cs="Arial" w:eastAsia="Arial" w:hAnsi="Arial"/>
                <w:sz w:val="12"/>
                <w:szCs w:val="12"/>
                <w:color w:val="auto"/>
              </w:rPr>
              <w:t>Uniti Wireless Holdings LLC</w:t>
            </w:r>
          </w:p>
        </w:tc>
        <w:tc>
          <w:tcPr>
            <w:tcW w:w="5280" w:type="dxa"/>
            <w:vAlign w:val="bottom"/>
          </w:tcPr>
          <w:p>
            <w:pPr>
              <w:jc w:val="center"/>
              <w:ind w:left="1560"/>
              <w:spacing w:after="0"/>
              <w:rPr>
                <w:sz w:val="20"/>
                <w:szCs w:val="20"/>
                <w:color w:val="auto"/>
              </w:rPr>
            </w:pPr>
            <w:r>
              <w:rPr>
                <w:rFonts w:ascii="Arial" w:cs="Arial" w:eastAsia="Arial" w:hAnsi="Arial"/>
                <w:sz w:val="12"/>
                <w:szCs w:val="12"/>
                <w:color w:val="auto"/>
                <w:w w:val="90"/>
              </w:rPr>
              <w:t>Delaware</w:t>
            </w:r>
          </w:p>
        </w:tc>
      </w:tr>
      <w:tr>
        <w:trPr>
          <w:trHeight w:val="153"/>
        </w:trPr>
        <w:tc>
          <w:tcPr>
            <w:tcW w:w="6200" w:type="dxa"/>
            <w:vAlign w:val="bottom"/>
            <w:shd w:val="clear" w:color="auto" w:fill="CCEEFF"/>
          </w:tcPr>
          <w:p>
            <w:pPr>
              <w:spacing w:after="0"/>
              <w:rPr>
                <w:sz w:val="20"/>
                <w:szCs w:val="20"/>
                <w:color w:val="auto"/>
              </w:rPr>
            </w:pPr>
            <w:r>
              <w:rPr>
                <w:rFonts w:ascii="Arial" w:cs="Arial" w:eastAsia="Arial" w:hAnsi="Arial"/>
                <w:sz w:val="12"/>
                <w:szCs w:val="12"/>
                <w:color w:val="auto"/>
              </w:rPr>
              <w:t>Uniti Wireless Infrastructure LLC</w:t>
            </w:r>
          </w:p>
        </w:tc>
        <w:tc>
          <w:tcPr>
            <w:tcW w:w="5280" w:type="dxa"/>
            <w:vAlign w:val="bottom"/>
            <w:shd w:val="clear" w:color="auto" w:fill="CCEEFF"/>
          </w:tcPr>
          <w:p>
            <w:pPr>
              <w:jc w:val="center"/>
              <w:ind w:left="1560"/>
              <w:spacing w:after="0"/>
              <w:rPr>
                <w:sz w:val="20"/>
                <w:szCs w:val="20"/>
                <w:color w:val="auto"/>
              </w:rPr>
            </w:pPr>
            <w:r>
              <w:rPr>
                <w:rFonts w:ascii="Arial" w:cs="Arial" w:eastAsia="Arial" w:hAnsi="Arial"/>
                <w:sz w:val="12"/>
                <w:szCs w:val="12"/>
                <w:color w:val="auto"/>
                <w:w w:val="90"/>
              </w:rPr>
              <w:t>Delaware</w:t>
            </w:r>
          </w:p>
        </w:tc>
      </w:tr>
      <w:tr>
        <w:trPr>
          <w:trHeight w:val="157"/>
        </w:trPr>
        <w:tc>
          <w:tcPr>
            <w:tcW w:w="6200" w:type="dxa"/>
            <w:vAlign w:val="bottom"/>
          </w:tcPr>
          <w:p>
            <w:pPr>
              <w:spacing w:after="0"/>
              <w:rPr>
                <w:sz w:val="20"/>
                <w:szCs w:val="20"/>
                <w:color w:val="auto"/>
              </w:rPr>
            </w:pPr>
            <w:r>
              <w:rPr>
                <w:rFonts w:ascii="Arial" w:cs="Arial" w:eastAsia="Arial" w:hAnsi="Arial"/>
                <w:sz w:val="12"/>
                <w:szCs w:val="12"/>
                <w:b w:val="1"/>
                <w:bCs w:val="1"/>
                <w:color w:val="auto"/>
              </w:rPr>
              <w:t>____________________________</w:t>
            </w:r>
          </w:p>
        </w:tc>
        <w:tc>
          <w:tcPr>
            <w:tcW w:w="5280" w:type="dxa"/>
            <w:vAlign w:val="bottom"/>
          </w:tcPr>
          <w:p>
            <w:pPr>
              <w:spacing w:after="0"/>
              <w:rPr>
                <w:sz w:val="13"/>
                <w:szCs w:val="13"/>
                <w:color w:val="auto"/>
              </w:rPr>
            </w:pPr>
          </w:p>
        </w:tc>
      </w:tr>
    </w:tbl>
    <w:p>
      <w:pPr>
        <w:spacing w:after="0" w:line="5" w:lineRule="exact"/>
        <w:rPr>
          <w:sz w:val="20"/>
          <w:szCs w:val="20"/>
          <w:color w:val="auto"/>
        </w:rPr>
      </w:pPr>
    </w:p>
    <w:p>
      <w:pPr>
        <w:ind w:right="60"/>
        <w:spacing w:after="0" w:line="276" w:lineRule="auto"/>
        <w:rPr>
          <w:sz w:val="20"/>
          <w:szCs w:val="20"/>
          <w:color w:val="auto"/>
        </w:rPr>
      </w:pPr>
      <w:r>
        <w:rPr>
          <w:rFonts w:ascii="Arial" w:cs="Arial" w:eastAsia="Arial" w:hAnsi="Arial"/>
          <w:sz w:val="12"/>
          <w:szCs w:val="12"/>
          <w:color w:val="auto"/>
        </w:rPr>
        <w:t>*Uniti Group LP LLC and Talk America Services LLC are direct, wholly-owned subsidiaries of Uniti Group Inc. Uniti Group LP is a direct, majority-owned subsidiary of Uniti Group Inc. The remaining subsidiaries are direct or indirect, wholly-owned subsidiaries of Uniti Group LP.</w:t>
      </w:r>
    </w:p>
    <w:p>
      <w:pPr>
        <w:sectPr>
          <w:pgSz w:w="11900" w:h="16838" w:orient="portrait"/>
          <w:cols w:equalWidth="0" w:num="1">
            <w:col w:w="11480"/>
          </w:cols>
          <w:pgMar w:left="220" w:top="140" w:right="199" w:bottom="1440" w:gutter="0" w:footer="0" w:header="0"/>
        </w:sectPr>
      </w:pPr>
    </w:p>
    <w:bookmarkStart w:id="118" w:name="page119"/>
    <w:bookmarkEnd w:id="118"/>
    <w:p>
      <w:pPr>
        <w:jc w:val="right"/>
        <w:spacing w:after="0"/>
        <w:rPr>
          <w:sz w:val="20"/>
          <w:szCs w:val="20"/>
          <w:color w:val="auto"/>
        </w:rPr>
      </w:pPr>
      <w:r>
        <w:rPr>
          <w:rFonts w:ascii="Arial" w:cs="Arial" w:eastAsia="Arial" w:hAnsi="Arial"/>
          <w:sz w:val="12"/>
          <w:szCs w:val="12"/>
          <w:b w:val="1"/>
          <w:bCs w:val="1"/>
          <w:color w:val="auto"/>
        </w:rPr>
        <w:t>Exhibit 23.1</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2"/>
          <w:szCs w:val="12"/>
          <w:u w:val="single" w:color="auto"/>
          <w:color w:val="auto"/>
        </w:rPr>
        <w:t>CONSENT OF INDEPENDENT REGISTERED PUBLIC ACCOUNTING FIRM</w:t>
      </w:r>
    </w:p>
    <w:p>
      <w:pPr>
        <w:spacing w:after="0" w:line="294" w:lineRule="exact"/>
        <w:rPr>
          <w:sz w:val="20"/>
          <w:szCs w:val="20"/>
          <w:color w:val="auto"/>
        </w:rPr>
      </w:pPr>
    </w:p>
    <w:p>
      <w:pPr>
        <w:ind w:right="340"/>
        <w:spacing w:after="0" w:line="149" w:lineRule="exact"/>
        <w:rPr>
          <w:sz w:val="20"/>
          <w:szCs w:val="20"/>
          <w:color w:val="auto"/>
        </w:rPr>
      </w:pPr>
      <w:r>
        <w:rPr>
          <w:rFonts w:ascii="Arial" w:cs="Arial" w:eastAsia="Arial" w:hAnsi="Arial"/>
          <w:sz w:val="12"/>
          <w:szCs w:val="12"/>
          <w:color w:val="auto"/>
        </w:rPr>
        <w:t>We hereby consent to the incorporation by reference in the Registration Statements on Form S</w:t>
      </w:r>
      <w:r>
        <w:rPr>
          <w:rFonts w:ascii="MS PGothic" w:cs="MS PGothic" w:eastAsia="MS PGothic" w:hAnsi="MS PGothic"/>
          <w:sz w:val="12"/>
          <w:szCs w:val="12"/>
          <w:color w:val="auto"/>
        </w:rPr>
        <w:t>‑</w:t>
      </w:r>
      <w:r>
        <w:rPr>
          <w:rFonts w:ascii="Arial" w:cs="Arial" w:eastAsia="Arial" w:hAnsi="Arial"/>
          <w:sz w:val="12"/>
          <w:szCs w:val="12"/>
          <w:color w:val="auto"/>
        </w:rPr>
        <w:t>8 (No. 333-203591) and S-3 (No. 333-212046) of Uniti Group Inc. of our report dated March 1, 2018 relating to the financial statements, financial statement schedules and the effectiveness of internal control over financial reporting, which appears in this Form 10-K.</w:t>
      </w:r>
    </w:p>
    <w:p>
      <w:pPr>
        <w:spacing w:after="0" w:line="370" w:lineRule="exact"/>
        <w:rPr>
          <w:sz w:val="20"/>
          <w:szCs w:val="20"/>
          <w:color w:val="auto"/>
        </w:rPr>
      </w:pPr>
    </w:p>
    <w:p>
      <w:pPr>
        <w:spacing w:after="0"/>
        <w:rPr>
          <w:sz w:val="20"/>
          <w:szCs w:val="20"/>
          <w:color w:val="auto"/>
        </w:rPr>
      </w:pPr>
      <w:r>
        <w:rPr>
          <w:rFonts w:ascii="Arial" w:cs="Arial" w:eastAsia="Arial" w:hAnsi="Arial"/>
          <w:sz w:val="12"/>
          <w:szCs w:val="12"/>
          <w:color w:val="auto"/>
        </w:rPr>
        <w:t>/s/ PricewaterhouseCoopers LLP</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Little Rock, Arkansas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March 1, 2018</w:t>
      </w:r>
    </w:p>
    <w:p>
      <w:pPr>
        <w:sectPr>
          <w:pgSz w:w="11900" w:h="16838" w:orient="portrait"/>
          <w:cols w:equalWidth="0" w:num="1">
            <w:col w:w="11480"/>
          </w:cols>
          <w:pgMar w:left="220" w:top="280" w:right="199" w:bottom="1440" w:gutter="0" w:footer="0" w:header="0"/>
        </w:sectPr>
      </w:pPr>
    </w:p>
    <w:bookmarkStart w:id="119" w:name="page120"/>
    <w:bookmarkEnd w:id="119"/>
    <w:p>
      <w:pPr>
        <w:jc w:val="right"/>
        <w:spacing w:after="0"/>
        <w:rPr>
          <w:sz w:val="20"/>
          <w:szCs w:val="20"/>
          <w:color w:val="auto"/>
        </w:rPr>
      </w:pPr>
      <w:r>
        <w:rPr>
          <w:rFonts w:ascii="Arial" w:cs="Arial" w:eastAsia="Arial" w:hAnsi="Arial"/>
          <w:sz w:val="12"/>
          <w:szCs w:val="12"/>
          <w:b w:val="1"/>
          <w:bCs w:val="1"/>
          <w:color w:val="auto"/>
        </w:rPr>
        <w:t>Exhibit 23.2</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2"/>
          <w:szCs w:val="12"/>
          <w:u w:val="single" w:color="auto"/>
          <w:color w:val="auto"/>
        </w:rPr>
        <w:t>CONSENT OF INDEPENDENT REGISTERED PUBLIC ACCOUNTING FIRM</w:t>
      </w:r>
    </w:p>
    <w:p>
      <w:pPr>
        <w:spacing w:after="0" w:line="294" w:lineRule="exact"/>
        <w:rPr>
          <w:sz w:val="20"/>
          <w:szCs w:val="20"/>
          <w:color w:val="auto"/>
        </w:rPr>
      </w:pPr>
    </w:p>
    <w:p>
      <w:pPr>
        <w:ind w:right="100"/>
        <w:spacing w:after="0" w:line="149" w:lineRule="exact"/>
        <w:rPr>
          <w:sz w:val="20"/>
          <w:szCs w:val="20"/>
          <w:color w:val="auto"/>
        </w:rPr>
      </w:pPr>
      <w:r>
        <w:rPr>
          <w:rFonts w:ascii="Arial" w:cs="Arial" w:eastAsia="Arial" w:hAnsi="Arial"/>
          <w:sz w:val="11"/>
          <w:szCs w:val="11"/>
          <w:color w:val="auto"/>
        </w:rPr>
        <w:t>We hereby consent to the incorporation by reference in the Registration Statements on Form S</w:t>
      </w:r>
      <w:r>
        <w:rPr>
          <w:rFonts w:ascii="MS PGothic" w:cs="MS PGothic" w:eastAsia="MS PGothic" w:hAnsi="MS PGothic"/>
          <w:sz w:val="11"/>
          <w:szCs w:val="11"/>
          <w:color w:val="auto"/>
        </w:rPr>
        <w:t>‑</w:t>
      </w:r>
      <w:r>
        <w:rPr>
          <w:rFonts w:ascii="Arial" w:cs="Arial" w:eastAsia="Arial" w:hAnsi="Arial"/>
          <w:sz w:val="11"/>
          <w:szCs w:val="11"/>
          <w:color w:val="auto"/>
        </w:rPr>
        <w:t>8 (No. 333-203591) and S-3 (No. 333-212046) of Uniti Group Inc. of our report dated March 7, 2016 relating to the special purpose statement of revenues and direct expenses for the period from January 1, 2015 to April 24, 2015 of the Competitive Local Exchange Carrier (“CLEC”) Business of Windstream Holdings, Inc., which appears in this Form 10</w:t>
      </w:r>
      <w:r>
        <w:rPr>
          <w:rFonts w:ascii="MS PGothic" w:cs="MS PGothic" w:eastAsia="MS PGothic" w:hAnsi="MS PGothic"/>
          <w:sz w:val="11"/>
          <w:szCs w:val="11"/>
          <w:color w:val="auto"/>
        </w:rPr>
        <w:t>‑</w:t>
      </w:r>
      <w:r>
        <w:rPr>
          <w:rFonts w:ascii="Arial" w:cs="Arial" w:eastAsia="Arial" w:hAnsi="Arial"/>
          <w:sz w:val="11"/>
          <w:szCs w:val="11"/>
          <w:color w:val="auto"/>
        </w:rPr>
        <w:t>K.</w:t>
      </w:r>
    </w:p>
    <w:p>
      <w:pPr>
        <w:spacing w:after="0" w:line="298" w:lineRule="exact"/>
        <w:rPr>
          <w:sz w:val="20"/>
          <w:szCs w:val="20"/>
          <w:color w:val="auto"/>
        </w:rPr>
      </w:pPr>
    </w:p>
    <w:p>
      <w:pPr>
        <w:spacing w:after="0"/>
        <w:rPr>
          <w:sz w:val="20"/>
          <w:szCs w:val="20"/>
          <w:color w:val="auto"/>
        </w:rPr>
      </w:pPr>
      <w:r>
        <w:rPr>
          <w:rFonts w:ascii="Arial" w:cs="Arial" w:eastAsia="Arial" w:hAnsi="Arial"/>
          <w:sz w:val="12"/>
          <w:szCs w:val="12"/>
          <w:color w:val="auto"/>
        </w:rPr>
        <w:t>/s/ PricewaterhouseCoopers LLP</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Little Rock, Arkansas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March 1, 2018</w:t>
      </w:r>
    </w:p>
    <w:p>
      <w:pPr>
        <w:sectPr>
          <w:pgSz w:w="11900" w:h="16838" w:orient="portrait"/>
          <w:cols w:equalWidth="0" w:num="1">
            <w:col w:w="11480"/>
          </w:cols>
          <w:pgMar w:left="220" w:top="280" w:right="199" w:bottom="1440" w:gutter="0" w:footer="0" w:header="0"/>
        </w:sectPr>
      </w:pPr>
    </w:p>
    <w:bookmarkStart w:id="120" w:name="page121"/>
    <w:bookmarkEnd w:id="120"/>
    <w:p>
      <w:pPr>
        <w:jc w:val="right"/>
        <w:spacing w:after="0"/>
        <w:rPr>
          <w:sz w:val="20"/>
          <w:szCs w:val="20"/>
          <w:color w:val="auto"/>
        </w:rPr>
      </w:pPr>
      <w:r>
        <w:rPr>
          <w:rFonts w:ascii="Arial" w:cs="Arial" w:eastAsia="Arial" w:hAnsi="Arial"/>
          <w:sz w:val="12"/>
          <w:szCs w:val="12"/>
          <w:b w:val="1"/>
          <w:bCs w:val="1"/>
          <w:color w:val="auto"/>
        </w:rPr>
        <w:t>Exhibit 31.1</w:t>
      </w:r>
    </w:p>
    <w:p>
      <w:pPr>
        <w:spacing w:after="0" w:line="150"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CERTIFICATION PURSUANT TO</w:t>
      </w:r>
    </w:p>
    <w:p>
      <w:pPr>
        <w:spacing w:after="0" w:line="19"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RULES 13a-14(a) AND 15d-14(a) UNDER THE SECURITIES EXCHANGE ACT OF 1934,</w:t>
      </w:r>
    </w:p>
    <w:p>
      <w:pPr>
        <w:spacing w:after="0" w:line="6"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AS ADOPTED PURSUANT TO SECTION 302 OF THE SARBANES-OXLEY ACT OF 2002</w:t>
      </w:r>
    </w:p>
    <w:p>
      <w:pPr>
        <w:spacing w:after="0" w:line="141" w:lineRule="exact"/>
        <w:rPr>
          <w:sz w:val="20"/>
          <w:szCs w:val="20"/>
          <w:color w:val="auto"/>
        </w:rPr>
      </w:pPr>
    </w:p>
    <w:p>
      <w:pPr>
        <w:ind w:left="8"/>
        <w:spacing w:after="0"/>
        <w:rPr>
          <w:sz w:val="20"/>
          <w:szCs w:val="20"/>
          <w:color w:val="auto"/>
        </w:rPr>
      </w:pPr>
      <w:r>
        <w:rPr>
          <w:rFonts w:ascii="Arial" w:cs="Arial" w:eastAsia="Arial" w:hAnsi="Arial"/>
          <w:sz w:val="12"/>
          <w:szCs w:val="12"/>
          <w:color w:val="auto"/>
        </w:rPr>
        <w:t>I, Kenneth A. Gunderman, certify that:</w:t>
      </w:r>
    </w:p>
    <w:p>
      <w:pPr>
        <w:spacing w:after="0" w:line="78" w:lineRule="exact"/>
        <w:rPr>
          <w:sz w:val="20"/>
          <w:szCs w:val="20"/>
          <w:color w:val="auto"/>
        </w:rPr>
      </w:pPr>
    </w:p>
    <w:p>
      <w:pPr>
        <w:ind w:left="528" w:hanging="528"/>
        <w:spacing w:after="0"/>
        <w:tabs>
          <w:tab w:leader="none" w:pos="528" w:val="left"/>
        </w:tabs>
        <w:numPr>
          <w:ilvl w:val="0"/>
          <w:numId w:val="25"/>
        </w:numPr>
        <w:rPr>
          <w:rFonts w:ascii="Arial" w:cs="Arial" w:eastAsia="Arial" w:hAnsi="Arial"/>
          <w:sz w:val="12"/>
          <w:szCs w:val="12"/>
          <w:color w:val="auto"/>
        </w:rPr>
      </w:pPr>
      <w:r>
        <w:rPr>
          <w:rFonts w:ascii="Arial" w:cs="Arial" w:eastAsia="Arial" w:hAnsi="Arial"/>
          <w:sz w:val="12"/>
          <w:szCs w:val="12"/>
          <w:color w:val="auto"/>
        </w:rPr>
        <w:t>I have reviewed this Annual Report on Form 10-K of Uniti Group Inc.;</w:t>
      </w:r>
    </w:p>
    <w:p>
      <w:pPr>
        <w:spacing w:after="0" w:line="231" w:lineRule="exact"/>
        <w:rPr>
          <w:rFonts w:ascii="Arial" w:cs="Arial" w:eastAsia="Arial" w:hAnsi="Arial"/>
          <w:sz w:val="12"/>
          <w:szCs w:val="12"/>
          <w:color w:val="auto"/>
        </w:rPr>
      </w:pPr>
    </w:p>
    <w:p>
      <w:pPr>
        <w:ind w:left="528" w:right="60" w:hanging="528"/>
        <w:spacing w:after="0" w:line="276" w:lineRule="auto"/>
        <w:tabs>
          <w:tab w:leader="none" w:pos="528" w:val="left"/>
        </w:tabs>
        <w:numPr>
          <w:ilvl w:val="0"/>
          <w:numId w:val="25"/>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6" w:lineRule="exact"/>
        <w:rPr>
          <w:rFonts w:ascii="Arial" w:cs="Arial" w:eastAsia="Arial" w:hAnsi="Arial"/>
          <w:sz w:val="12"/>
          <w:szCs w:val="12"/>
          <w:color w:val="auto"/>
        </w:rPr>
      </w:pPr>
    </w:p>
    <w:p>
      <w:pPr>
        <w:ind w:left="528" w:right="140" w:hanging="528"/>
        <w:spacing w:after="0" w:line="276" w:lineRule="auto"/>
        <w:tabs>
          <w:tab w:leader="none" w:pos="528" w:val="left"/>
        </w:tabs>
        <w:numPr>
          <w:ilvl w:val="0"/>
          <w:numId w:val="25"/>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6" w:lineRule="exact"/>
        <w:rPr>
          <w:rFonts w:ascii="Arial" w:cs="Arial" w:eastAsia="Arial" w:hAnsi="Arial"/>
          <w:sz w:val="12"/>
          <w:szCs w:val="12"/>
          <w:color w:val="auto"/>
        </w:rPr>
      </w:pPr>
    </w:p>
    <w:p>
      <w:pPr>
        <w:ind w:left="528" w:right="60" w:hanging="528"/>
        <w:spacing w:after="0" w:line="276" w:lineRule="auto"/>
        <w:tabs>
          <w:tab w:leader="none" w:pos="528" w:val="left"/>
        </w:tabs>
        <w:numPr>
          <w:ilvl w:val="0"/>
          <w:numId w:val="25"/>
        </w:numPr>
        <w:rPr>
          <w:rFonts w:ascii="Arial" w:cs="Arial" w:eastAsia="Arial" w:hAnsi="Arial"/>
          <w:sz w:val="12"/>
          <w:szCs w:val="12"/>
          <w:color w:val="auto"/>
        </w:rPr>
      </w:pPr>
      <w:r>
        <w:rPr>
          <w:rFonts w:ascii="Arial" w:cs="Arial" w:eastAsia="Arial" w:hAnsi="Arial"/>
          <w:sz w:val="12"/>
          <w:szCs w:val="1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6" w:lineRule="exact"/>
        <w:rPr>
          <w:rFonts w:ascii="Arial" w:cs="Arial" w:eastAsia="Arial" w:hAnsi="Arial"/>
          <w:sz w:val="12"/>
          <w:szCs w:val="12"/>
          <w:color w:val="auto"/>
        </w:rPr>
      </w:pPr>
    </w:p>
    <w:p>
      <w:pPr>
        <w:ind w:left="1028" w:right="240" w:hanging="506"/>
        <w:spacing w:after="0" w:line="276" w:lineRule="auto"/>
        <w:tabs>
          <w:tab w:leader="none" w:pos="1028" w:val="left"/>
        </w:tabs>
        <w:numPr>
          <w:ilvl w:val="1"/>
          <w:numId w:val="25"/>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6" w:lineRule="exact"/>
        <w:rPr>
          <w:rFonts w:ascii="Arial" w:cs="Arial" w:eastAsia="Arial" w:hAnsi="Arial"/>
          <w:sz w:val="12"/>
          <w:szCs w:val="12"/>
          <w:color w:val="auto"/>
        </w:rPr>
      </w:pPr>
    </w:p>
    <w:p>
      <w:pPr>
        <w:ind w:left="1028" w:right="440" w:hanging="506"/>
        <w:spacing w:after="0" w:line="276" w:lineRule="auto"/>
        <w:tabs>
          <w:tab w:leader="none" w:pos="1028" w:val="left"/>
        </w:tabs>
        <w:numPr>
          <w:ilvl w:val="1"/>
          <w:numId w:val="25"/>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4" w:lineRule="exact"/>
        <w:rPr>
          <w:rFonts w:ascii="Arial" w:cs="Arial" w:eastAsia="Arial" w:hAnsi="Arial"/>
          <w:sz w:val="12"/>
          <w:szCs w:val="12"/>
          <w:color w:val="auto"/>
        </w:rPr>
      </w:pPr>
    </w:p>
    <w:p>
      <w:pPr>
        <w:ind w:left="1028" w:right="20" w:hanging="506"/>
        <w:spacing w:after="0" w:line="276" w:lineRule="auto"/>
        <w:tabs>
          <w:tab w:leader="none" w:pos="1028" w:val="left"/>
        </w:tabs>
        <w:numPr>
          <w:ilvl w:val="1"/>
          <w:numId w:val="25"/>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6" w:lineRule="exact"/>
        <w:rPr>
          <w:rFonts w:ascii="Arial" w:cs="Arial" w:eastAsia="Arial" w:hAnsi="Arial"/>
          <w:sz w:val="12"/>
          <w:szCs w:val="12"/>
          <w:color w:val="auto"/>
        </w:rPr>
      </w:pPr>
    </w:p>
    <w:p>
      <w:pPr>
        <w:ind w:left="1028" w:right="60" w:hanging="506"/>
        <w:spacing w:after="0" w:line="276" w:lineRule="auto"/>
        <w:tabs>
          <w:tab w:leader="none" w:pos="1028" w:val="left"/>
        </w:tabs>
        <w:numPr>
          <w:ilvl w:val="1"/>
          <w:numId w:val="25"/>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6" w:lineRule="exact"/>
        <w:rPr>
          <w:rFonts w:ascii="Arial" w:cs="Arial" w:eastAsia="Arial" w:hAnsi="Arial"/>
          <w:sz w:val="12"/>
          <w:szCs w:val="12"/>
          <w:color w:val="auto"/>
        </w:rPr>
      </w:pPr>
    </w:p>
    <w:p>
      <w:pPr>
        <w:ind w:left="528" w:right="320" w:hanging="528"/>
        <w:spacing w:after="0" w:line="276" w:lineRule="auto"/>
        <w:tabs>
          <w:tab w:leader="none" w:pos="528" w:val="left"/>
        </w:tabs>
        <w:numPr>
          <w:ilvl w:val="0"/>
          <w:numId w:val="25"/>
        </w:numPr>
        <w:rPr>
          <w:rFonts w:ascii="Arial" w:cs="Arial" w:eastAsia="Arial" w:hAnsi="Arial"/>
          <w:sz w:val="12"/>
          <w:szCs w:val="12"/>
          <w:color w:val="auto"/>
        </w:rPr>
      </w:pPr>
      <w:r>
        <w:rPr>
          <w:rFonts w:ascii="Arial" w:cs="Arial" w:eastAsia="Arial" w:hAnsi="Arial"/>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3" w:lineRule="exact"/>
        <w:rPr>
          <w:rFonts w:ascii="Arial" w:cs="Arial" w:eastAsia="Arial" w:hAnsi="Arial"/>
          <w:sz w:val="12"/>
          <w:szCs w:val="12"/>
          <w:color w:val="auto"/>
        </w:rPr>
      </w:pPr>
    </w:p>
    <w:p>
      <w:pPr>
        <w:ind w:left="1028" w:right="380" w:hanging="506"/>
        <w:spacing w:after="0" w:line="276" w:lineRule="auto"/>
        <w:tabs>
          <w:tab w:leader="none" w:pos="1028" w:val="left"/>
        </w:tabs>
        <w:numPr>
          <w:ilvl w:val="1"/>
          <w:numId w:val="25"/>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3" w:lineRule="exact"/>
        <w:rPr>
          <w:rFonts w:ascii="Arial" w:cs="Arial" w:eastAsia="Arial" w:hAnsi="Arial"/>
          <w:sz w:val="12"/>
          <w:szCs w:val="12"/>
          <w:color w:val="auto"/>
        </w:rPr>
      </w:pPr>
    </w:p>
    <w:p>
      <w:pPr>
        <w:ind w:left="1028" w:hanging="506"/>
        <w:spacing w:after="0"/>
        <w:tabs>
          <w:tab w:leader="none" w:pos="1028" w:val="left"/>
        </w:tabs>
        <w:numPr>
          <w:ilvl w:val="1"/>
          <w:numId w:val="25"/>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150" w:lineRule="exact"/>
        <w:rPr>
          <w:sz w:val="20"/>
          <w:szCs w:val="20"/>
          <w:color w:val="auto"/>
        </w:rPr>
      </w:pPr>
    </w:p>
    <w:p>
      <w:pPr>
        <w:ind w:left="8"/>
        <w:spacing w:after="0"/>
        <w:tabs>
          <w:tab w:leader="none" w:pos="4928" w:val="left"/>
          <w:tab w:leader="none" w:pos="7668" w:val="left"/>
        </w:tabs>
        <w:rPr>
          <w:sz w:val="20"/>
          <w:szCs w:val="20"/>
          <w:color w:val="auto"/>
        </w:rPr>
      </w:pPr>
      <w:r>
        <w:rPr>
          <w:rFonts w:ascii="Arial" w:cs="Arial" w:eastAsia="Arial" w:hAnsi="Arial"/>
          <w:sz w:val="12"/>
          <w:szCs w:val="12"/>
          <w:color w:val="auto"/>
        </w:rPr>
        <w:t>Date: March 1, 2018</w:t>
      </w:r>
      <w:r>
        <w:rPr>
          <w:sz w:val="20"/>
          <w:szCs w:val="20"/>
          <w:color w:val="auto"/>
        </w:rPr>
        <w:tab/>
      </w:r>
      <w:r>
        <w:rPr>
          <w:rFonts w:ascii="Arial" w:cs="Arial" w:eastAsia="Arial" w:hAnsi="Arial"/>
          <w:sz w:val="12"/>
          <w:szCs w:val="12"/>
          <w:color w:val="auto"/>
        </w:rPr>
        <w:t>By:</w:t>
      </w:r>
      <w:r>
        <w:rPr>
          <w:sz w:val="20"/>
          <w:szCs w:val="20"/>
          <w:color w:val="auto"/>
        </w:rPr>
        <w:tab/>
      </w:r>
      <w:r>
        <w:rPr>
          <w:rFonts w:ascii="Arial" w:cs="Arial" w:eastAsia="Arial" w:hAnsi="Arial"/>
          <w:sz w:val="10"/>
          <w:szCs w:val="10"/>
          <w:color w:val="auto"/>
        </w:rPr>
        <w:t>/s/ Kenneth A. Gunderman</w:t>
      </w:r>
    </w:p>
    <w:p>
      <w:pPr>
        <w:spacing w:after="0" w:line="15" w:lineRule="exact"/>
        <w:rPr>
          <w:sz w:val="20"/>
          <w:szCs w:val="20"/>
          <w:color w:val="auto"/>
        </w:rPr>
      </w:pPr>
    </w:p>
    <w:p>
      <w:pPr>
        <w:jc w:val="center"/>
        <w:ind w:left="5180"/>
        <w:spacing w:after="0"/>
        <w:rPr>
          <w:sz w:val="20"/>
          <w:szCs w:val="20"/>
          <w:color w:val="auto"/>
        </w:rPr>
      </w:pPr>
      <w:r>
        <w:rPr>
          <w:rFonts w:ascii="Arial" w:cs="Arial" w:eastAsia="Arial" w:hAnsi="Arial"/>
          <w:sz w:val="12"/>
          <w:szCs w:val="12"/>
          <w:b w:val="1"/>
          <w:bCs w:val="1"/>
          <w:color w:val="auto"/>
        </w:rPr>
        <w:t>Kenneth A. Gunderman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3282950</wp:posOffset>
            </wp:positionH>
            <wp:positionV relativeFrom="paragraph">
              <wp:posOffset>-86995</wp:posOffset>
            </wp:positionV>
            <wp:extent cx="4009390" cy="57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13">
                      <a:extLst>
                        <a:ext uri="{28A0092B-C50C-407E-A947-70E740481C1C}"/>
                      </a:extLst>
                    </a:blip>
                    <a:srcRect/>
                    <a:stretch>
                      <a:fillRect/>
                    </a:stretch>
                  </pic:blipFill>
                  <pic:spPr bwMode="auto">
                    <a:xfrm>
                      <a:off x="0" y="0"/>
                      <a:ext cx="4009390" cy="5715"/>
                    </a:xfrm>
                    <a:prstGeom prst="rect">
                      <a:avLst/>
                    </a:prstGeom>
                    <a:noFill/>
                  </pic:spPr>
                </pic:pic>
              </a:graphicData>
            </a:graphic>
          </wp:anchor>
        </w:drawing>
      </w:r>
    </w:p>
    <w:p>
      <w:pPr>
        <w:jc w:val="center"/>
        <w:ind w:left="5180"/>
        <w:spacing w:after="0"/>
        <w:rPr>
          <w:sz w:val="20"/>
          <w:szCs w:val="20"/>
          <w:color w:val="auto"/>
        </w:rPr>
      </w:pPr>
      <w:r>
        <w:rPr>
          <w:rFonts w:ascii="Arial" w:cs="Arial" w:eastAsia="Arial" w:hAnsi="Arial"/>
          <w:sz w:val="12"/>
          <w:szCs w:val="12"/>
          <w:b w:val="1"/>
          <w:bCs w:val="1"/>
          <w:color w:val="auto"/>
        </w:rPr>
        <w:t>President and Chief Executive Officer</w:t>
      </w:r>
    </w:p>
    <w:p>
      <w:pPr>
        <w:sectPr>
          <w:pgSz w:w="11900" w:h="16838" w:orient="portrait"/>
          <w:cols w:equalWidth="0" w:num="1">
            <w:col w:w="11488"/>
          </w:cols>
          <w:pgMar w:left="212" w:top="127" w:right="199" w:bottom="1440" w:gutter="0" w:footer="0" w:header="0"/>
        </w:sectPr>
      </w:pPr>
    </w:p>
    <w:bookmarkStart w:id="121" w:name="page122"/>
    <w:bookmarkEnd w:id="121"/>
    <w:p>
      <w:pPr>
        <w:jc w:val="right"/>
        <w:spacing w:after="0"/>
        <w:rPr>
          <w:sz w:val="20"/>
          <w:szCs w:val="20"/>
          <w:color w:val="auto"/>
        </w:rPr>
      </w:pPr>
      <w:r>
        <w:rPr>
          <w:rFonts w:ascii="Arial" w:cs="Arial" w:eastAsia="Arial" w:hAnsi="Arial"/>
          <w:sz w:val="12"/>
          <w:szCs w:val="12"/>
          <w:b w:val="1"/>
          <w:bCs w:val="1"/>
          <w:color w:val="auto"/>
        </w:rPr>
        <w:t>Exhibit 31.2</w:t>
      </w:r>
    </w:p>
    <w:p>
      <w:pPr>
        <w:spacing w:after="0" w:line="150"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CERTIFICATION PURSUANT TO</w:t>
      </w:r>
    </w:p>
    <w:p>
      <w:pPr>
        <w:spacing w:after="0" w:line="19"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RULES 13a-14(a) AND 15d-14(a) UNDER THE SECURITIES EXCHANGE ACT OF 1934,</w:t>
      </w:r>
    </w:p>
    <w:p>
      <w:pPr>
        <w:spacing w:after="0" w:line="6"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AS ADOPTED PURSUANT TO SECTION 302 OF THE SARBANES-OXLEY ACT OF 2002</w:t>
      </w:r>
    </w:p>
    <w:p>
      <w:pPr>
        <w:spacing w:after="0" w:line="141" w:lineRule="exact"/>
        <w:rPr>
          <w:sz w:val="20"/>
          <w:szCs w:val="20"/>
          <w:color w:val="auto"/>
        </w:rPr>
      </w:pPr>
    </w:p>
    <w:p>
      <w:pPr>
        <w:ind w:left="8"/>
        <w:spacing w:after="0"/>
        <w:rPr>
          <w:sz w:val="20"/>
          <w:szCs w:val="20"/>
          <w:color w:val="auto"/>
        </w:rPr>
      </w:pPr>
      <w:r>
        <w:rPr>
          <w:rFonts w:ascii="Arial" w:cs="Arial" w:eastAsia="Arial" w:hAnsi="Arial"/>
          <w:sz w:val="12"/>
          <w:szCs w:val="12"/>
          <w:color w:val="auto"/>
        </w:rPr>
        <w:t>I, Mark A. Wallace, certify that:</w:t>
      </w:r>
    </w:p>
    <w:p>
      <w:pPr>
        <w:spacing w:after="0" w:line="96" w:lineRule="exact"/>
        <w:rPr>
          <w:sz w:val="20"/>
          <w:szCs w:val="20"/>
          <w:color w:val="auto"/>
        </w:rPr>
      </w:pPr>
    </w:p>
    <w:p>
      <w:pPr>
        <w:ind w:left="528" w:hanging="528"/>
        <w:spacing w:after="0"/>
        <w:tabs>
          <w:tab w:leader="none" w:pos="528" w:val="left"/>
        </w:tabs>
        <w:numPr>
          <w:ilvl w:val="0"/>
          <w:numId w:val="26"/>
        </w:numPr>
        <w:rPr>
          <w:rFonts w:ascii="Arial" w:cs="Arial" w:eastAsia="Arial" w:hAnsi="Arial"/>
          <w:sz w:val="12"/>
          <w:szCs w:val="12"/>
          <w:color w:val="auto"/>
        </w:rPr>
      </w:pPr>
      <w:r>
        <w:rPr>
          <w:rFonts w:ascii="Arial" w:cs="Arial" w:eastAsia="Arial" w:hAnsi="Arial"/>
          <w:sz w:val="12"/>
          <w:szCs w:val="12"/>
          <w:color w:val="auto"/>
        </w:rPr>
        <w:t>I have reviewed this Annual Report on Form 10-K of Uniti Group Inc.;</w:t>
      </w:r>
    </w:p>
    <w:p>
      <w:pPr>
        <w:spacing w:after="0" w:line="231" w:lineRule="exact"/>
        <w:rPr>
          <w:rFonts w:ascii="Arial" w:cs="Arial" w:eastAsia="Arial" w:hAnsi="Arial"/>
          <w:sz w:val="12"/>
          <w:szCs w:val="12"/>
          <w:color w:val="auto"/>
        </w:rPr>
      </w:pPr>
    </w:p>
    <w:p>
      <w:pPr>
        <w:ind w:left="528" w:right="60" w:hanging="528"/>
        <w:spacing w:after="0" w:line="276" w:lineRule="auto"/>
        <w:tabs>
          <w:tab w:leader="none" w:pos="528" w:val="left"/>
        </w:tabs>
        <w:numPr>
          <w:ilvl w:val="0"/>
          <w:numId w:val="26"/>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6" w:lineRule="exact"/>
        <w:rPr>
          <w:rFonts w:ascii="Arial" w:cs="Arial" w:eastAsia="Arial" w:hAnsi="Arial"/>
          <w:sz w:val="12"/>
          <w:szCs w:val="12"/>
          <w:color w:val="auto"/>
        </w:rPr>
      </w:pPr>
    </w:p>
    <w:p>
      <w:pPr>
        <w:ind w:left="528" w:right="140" w:hanging="528"/>
        <w:spacing w:after="0" w:line="276" w:lineRule="auto"/>
        <w:tabs>
          <w:tab w:leader="none" w:pos="528" w:val="left"/>
        </w:tabs>
        <w:numPr>
          <w:ilvl w:val="0"/>
          <w:numId w:val="26"/>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6" w:lineRule="exact"/>
        <w:rPr>
          <w:rFonts w:ascii="Arial" w:cs="Arial" w:eastAsia="Arial" w:hAnsi="Arial"/>
          <w:sz w:val="12"/>
          <w:szCs w:val="12"/>
          <w:color w:val="auto"/>
        </w:rPr>
      </w:pPr>
    </w:p>
    <w:p>
      <w:pPr>
        <w:ind w:left="528" w:right="60" w:hanging="528"/>
        <w:spacing w:after="0" w:line="276" w:lineRule="auto"/>
        <w:tabs>
          <w:tab w:leader="none" w:pos="528" w:val="left"/>
        </w:tabs>
        <w:numPr>
          <w:ilvl w:val="0"/>
          <w:numId w:val="26"/>
        </w:numPr>
        <w:rPr>
          <w:rFonts w:ascii="Arial" w:cs="Arial" w:eastAsia="Arial" w:hAnsi="Arial"/>
          <w:sz w:val="12"/>
          <w:szCs w:val="12"/>
          <w:color w:val="auto"/>
        </w:rPr>
      </w:pPr>
      <w:r>
        <w:rPr>
          <w:rFonts w:ascii="Arial" w:cs="Arial" w:eastAsia="Arial" w:hAnsi="Arial"/>
          <w:sz w:val="12"/>
          <w:szCs w:val="1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6" w:lineRule="exact"/>
        <w:rPr>
          <w:rFonts w:ascii="Arial" w:cs="Arial" w:eastAsia="Arial" w:hAnsi="Arial"/>
          <w:sz w:val="12"/>
          <w:szCs w:val="12"/>
          <w:color w:val="auto"/>
        </w:rPr>
      </w:pPr>
    </w:p>
    <w:p>
      <w:pPr>
        <w:ind w:left="1028" w:right="240" w:hanging="506"/>
        <w:spacing w:after="0" w:line="276" w:lineRule="auto"/>
        <w:tabs>
          <w:tab w:leader="none" w:pos="1028" w:val="left"/>
        </w:tabs>
        <w:numPr>
          <w:ilvl w:val="1"/>
          <w:numId w:val="26"/>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6" w:lineRule="exact"/>
        <w:rPr>
          <w:rFonts w:ascii="Arial" w:cs="Arial" w:eastAsia="Arial" w:hAnsi="Arial"/>
          <w:sz w:val="12"/>
          <w:szCs w:val="12"/>
          <w:color w:val="auto"/>
        </w:rPr>
      </w:pPr>
    </w:p>
    <w:p>
      <w:pPr>
        <w:ind w:left="1028" w:right="440" w:hanging="506"/>
        <w:spacing w:after="0" w:line="276" w:lineRule="auto"/>
        <w:tabs>
          <w:tab w:leader="none" w:pos="1028" w:val="left"/>
        </w:tabs>
        <w:numPr>
          <w:ilvl w:val="1"/>
          <w:numId w:val="26"/>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4" w:lineRule="exact"/>
        <w:rPr>
          <w:rFonts w:ascii="Arial" w:cs="Arial" w:eastAsia="Arial" w:hAnsi="Arial"/>
          <w:sz w:val="12"/>
          <w:szCs w:val="12"/>
          <w:color w:val="auto"/>
        </w:rPr>
      </w:pPr>
    </w:p>
    <w:p>
      <w:pPr>
        <w:ind w:left="1028" w:right="20" w:hanging="506"/>
        <w:spacing w:after="0" w:line="276" w:lineRule="auto"/>
        <w:tabs>
          <w:tab w:leader="none" w:pos="1028" w:val="left"/>
        </w:tabs>
        <w:numPr>
          <w:ilvl w:val="1"/>
          <w:numId w:val="26"/>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6" w:lineRule="exact"/>
        <w:rPr>
          <w:rFonts w:ascii="Arial" w:cs="Arial" w:eastAsia="Arial" w:hAnsi="Arial"/>
          <w:sz w:val="12"/>
          <w:szCs w:val="12"/>
          <w:color w:val="auto"/>
        </w:rPr>
      </w:pPr>
    </w:p>
    <w:p>
      <w:pPr>
        <w:ind w:left="1028" w:right="60" w:hanging="506"/>
        <w:spacing w:after="0" w:line="276" w:lineRule="auto"/>
        <w:tabs>
          <w:tab w:leader="none" w:pos="1028" w:val="left"/>
        </w:tabs>
        <w:numPr>
          <w:ilvl w:val="1"/>
          <w:numId w:val="26"/>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6" w:lineRule="exact"/>
        <w:rPr>
          <w:rFonts w:ascii="Arial" w:cs="Arial" w:eastAsia="Arial" w:hAnsi="Arial"/>
          <w:sz w:val="12"/>
          <w:szCs w:val="12"/>
          <w:color w:val="auto"/>
        </w:rPr>
      </w:pPr>
    </w:p>
    <w:p>
      <w:pPr>
        <w:ind w:left="528" w:right="320" w:hanging="528"/>
        <w:spacing w:after="0" w:line="276" w:lineRule="auto"/>
        <w:tabs>
          <w:tab w:leader="none" w:pos="528" w:val="left"/>
        </w:tabs>
        <w:numPr>
          <w:ilvl w:val="0"/>
          <w:numId w:val="26"/>
        </w:numPr>
        <w:rPr>
          <w:rFonts w:ascii="Arial" w:cs="Arial" w:eastAsia="Arial" w:hAnsi="Arial"/>
          <w:sz w:val="12"/>
          <w:szCs w:val="12"/>
          <w:color w:val="auto"/>
        </w:rPr>
      </w:pPr>
      <w:r>
        <w:rPr>
          <w:rFonts w:ascii="Arial" w:cs="Arial" w:eastAsia="Arial" w:hAnsi="Arial"/>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4" w:lineRule="exact"/>
        <w:rPr>
          <w:rFonts w:ascii="Arial" w:cs="Arial" w:eastAsia="Arial" w:hAnsi="Arial"/>
          <w:sz w:val="12"/>
          <w:szCs w:val="12"/>
          <w:color w:val="auto"/>
        </w:rPr>
      </w:pPr>
    </w:p>
    <w:p>
      <w:pPr>
        <w:ind w:left="1028" w:right="380" w:hanging="506"/>
        <w:spacing w:after="0" w:line="276" w:lineRule="auto"/>
        <w:tabs>
          <w:tab w:leader="none" w:pos="1028" w:val="left"/>
        </w:tabs>
        <w:numPr>
          <w:ilvl w:val="1"/>
          <w:numId w:val="26"/>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2" w:lineRule="exact"/>
        <w:rPr>
          <w:rFonts w:ascii="Arial" w:cs="Arial" w:eastAsia="Arial" w:hAnsi="Arial"/>
          <w:sz w:val="12"/>
          <w:szCs w:val="12"/>
          <w:color w:val="auto"/>
        </w:rPr>
      </w:pPr>
    </w:p>
    <w:p>
      <w:pPr>
        <w:ind w:left="1028" w:hanging="506"/>
        <w:spacing w:after="0"/>
        <w:tabs>
          <w:tab w:leader="none" w:pos="1028" w:val="left"/>
        </w:tabs>
        <w:numPr>
          <w:ilvl w:val="1"/>
          <w:numId w:val="26"/>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366" w:lineRule="exact"/>
        <w:rPr>
          <w:sz w:val="20"/>
          <w:szCs w:val="20"/>
          <w:color w:val="auto"/>
        </w:rPr>
      </w:pPr>
    </w:p>
    <w:p>
      <w:pPr>
        <w:ind w:left="8"/>
        <w:spacing w:after="0"/>
        <w:tabs>
          <w:tab w:leader="none" w:pos="4928" w:val="left"/>
          <w:tab w:leader="none" w:pos="7828" w:val="left"/>
        </w:tabs>
        <w:rPr>
          <w:sz w:val="20"/>
          <w:szCs w:val="20"/>
          <w:color w:val="auto"/>
        </w:rPr>
      </w:pPr>
      <w:r>
        <w:rPr>
          <w:rFonts w:ascii="Arial" w:cs="Arial" w:eastAsia="Arial" w:hAnsi="Arial"/>
          <w:sz w:val="12"/>
          <w:szCs w:val="12"/>
          <w:color w:val="auto"/>
        </w:rPr>
        <w:t>Date: March 1, 2018</w:t>
      </w:r>
      <w:r>
        <w:rPr>
          <w:sz w:val="20"/>
          <w:szCs w:val="20"/>
          <w:color w:val="auto"/>
        </w:rPr>
        <w:tab/>
      </w:r>
      <w:r>
        <w:rPr>
          <w:rFonts w:ascii="Arial" w:cs="Arial" w:eastAsia="Arial" w:hAnsi="Arial"/>
          <w:sz w:val="12"/>
          <w:szCs w:val="12"/>
          <w:color w:val="auto"/>
        </w:rPr>
        <w:t>By:</w:t>
      </w:r>
      <w:r>
        <w:rPr>
          <w:sz w:val="20"/>
          <w:szCs w:val="20"/>
          <w:color w:val="auto"/>
        </w:rPr>
        <w:tab/>
      </w:r>
      <w:r>
        <w:rPr>
          <w:rFonts w:ascii="Arial" w:cs="Arial" w:eastAsia="Arial" w:hAnsi="Arial"/>
          <w:sz w:val="11"/>
          <w:szCs w:val="11"/>
          <w:color w:val="auto"/>
        </w:rPr>
        <w:t>/s/ Mark A. Wallace</w:t>
      </w:r>
    </w:p>
    <w:p>
      <w:pPr>
        <w:spacing w:after="0" w:line="15" w:lineRule="exact"/>
        <w:rPr>
          <w:sz w:val="20"/>
          <w:szCs w:val="20"/>
          <w:color w:val="auto"/>
        </w:rPr>
      </w:pPr>
    </w:p>
    <w:p>
      <w:pPr>
        <w:jc w:val="center"/>
        <w:ind w:left="5180"/>
        <w:spacing w:after="0"/>
        <w:rPr>
          <w:sz w:val="20"/>
          <w:szCs w:val="20"/>
          <w:color w:val="auto"/>
        </w:rPr>
      </w:pPr>
      <w:r>
        <w:rPr>
          <w:rFonts w:ascii="Arial" w:cs="Arial" w:eastAsia="Arial" w:hAnsi="Arial"/>
          <w:sz w:val="12"/>
          <w:szCs w:val="12"/>
          <w:b w:val="1"/>
          <w:bCs w:val="1"/>
          <w:color w:val="auto"/>
        </w:rPr>
        <w:t>Mark A. Wallace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3282950</wp:posOffset>
            </wp:positionH>
            <wp:positionV relativeFrom="paragraph">
              <wp:posOffset>-86995</wp:posOffset>
            </wp:positionV>
            <wp:extent cx="4009390" cy="57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14">
                      <a:extLst>
                        <a:ext uri="{28A0092B-C50C-407E-A947-70E740481C1C}"/>
                      </a:extLst>
                    </a:blip>
                    <a:srcRect/>
                    <a:stretch>
                      <a:fillRect/>
                    </a:stretch>
                  </pic:blipFill>
                  <pic:spPr bwMode="auto">
                    <a:xfrm>
                      <a:off x="0" y="0"/>
                      <a:ext cx="4009390" cy="5715"/>
                    </a:xfrm>
                    <a:prstGeom prst="rect">
                      <a:avLst/>
                    </a:prstGeom>
                    <a:noFill/>
                  </pic:spPr>
                </pic:pic>
              </a:graphicData>
            </a:graphic>
          </wp:anchor>
        </w:drawing>
      </w:r>
    </w:p>
    <w:p>
      <w:pPr>
        <w:jc w:val="center"/>
        <w:ind w:left="5180"/>
        <w:spacing w:after="0"/>
        <w:rPr>
          <w:sz w:val="20"/>
          <w:szCs w:val="20"/>
          <w:color w:val="auto"/>
        </w:rPr>
      </w:pPr>
      <w:r>
        <w:rPr>
          <w:rFonts w:ascii="Arial" w:cs="Arial" w:eastAsia="Arial" w:hAnsi="Arial"/>
          <w:sz w:val="12"/>
          <w:szCs w:val="12"/>
          <w:b w:val="1"/>
          <w:bCs w:val="1"/>
          <w:color w:val="auto"/>
        </w:rPr>
        <w:t>Executive Vice President – Chief Financial Officer</w:t>
      </w:r>
    </w:p>
    <w:p>
      <w:pPr>
        <w:spacing w:after="0" w:line="6" w:lineRule="exact"/>
        <w:rPr>
          <w:sz w:val="20"/>
          <w:szCs w:val="20"/>
          <w:color w:val="auto"/>
        </w:rPr>
      </w:pPr>
    </w:p>
    <w:p>
      <w:pPr>
        <w:jc w:val="center"/>
        <w:ind w:left="5180"/>
        <w:spacing w:after="0"/>
        <w:rPr>
          <w:sz w:val="20"/>
          <w:szCs w:val="20"/>
          <w:color w:val="auto"/>
        </w:rPr>
      </w:pPr>
      <w:r>
        <w:rPr>
          <w:rFonts w:ascii="Arial" w:cs="Arial" w:eastAsia="Arial" w:hAnsi="Arial"/>
          <w:sz w:val="12"/>
          <w:szCs w:val="12"/>
          <w:b w:val="1"/>
          <w:bCs w:val="1"/>
          <w:color w:val="auto"/>
        </w:rPr>
        <w:t>and Treasurer</w:t>
      </w:r>
    </w:p>
    <w:p>
      <w:pPr>
        <w:sectPr>
          <w:pgSz w:w="11900" w:h="16838" w:orient="portrait"/>
          <w:cols w:equalWidth="0" w:num="1">
            <w:col w:w="11488"/>
          </w:cols>
          <w:pgMar w:left="212" w:top="127" w:right="199" w:bottom="1440" w:gutter="0" w:footer="0" w:header="0"/>
        </w:sectPr>
      </w:pPr>
    </w:p>
    <w:bookmarkStart w:id="122" w:name="page123"/>
    <w:bookmarkEnd w:id="122"/>
    <w:p>
      <w:pPr>
        <w:jc w:val="right"/>
        <w:spacing w:after="0"/>
        <w:rPr>
          <w:sz w:val="20"/>
          <w:szCs w:val="20"/>
          <w:color w:val="auto"/>
        </w:rPr>
      </w:pPr>
      <w:r>
        <w:rPr>
          <w:rFonts w:ascii="Arial" w:cs="Arial" w:eastAsia="Arial" w:hAnsi="Arial"/>
          <w:sz w:val="12"/>
          <w:szCs w:val="12"/>
          <w:b w:val="1"/>
          <w:bCs w:val="1"/>
          <w:color w:val="auto"/>
        </w:rPr>
        <w:t>Exhibit 32.1</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PURSUANT TO</w:t>
      </w:r>
    </w:p>
    <w:p>
      <w:pPr>
        <w:spacing w:after="0" w:line="19" w:lineRule="exact"/>
        <w:rPr>
          <w:sz w:val="20"/>
          <w:szCs w:val="20"/>
          <w:color w:val="auto"/>
        </w:rPr>
      </w:pPr>
    </w:p>
    <w:p>
      <w:pPr>
        <w:ind w:left="4220"/>
        <w:spacing w:after="0"/>
        <w:rPr>
          <w:sz w:val="20"/>
          <w:szCs w:val="20"/>
          <w:color w:val="auto"/>
        </w:rPr>
      </w:pPr>
      <w:r>
        <w:rPr>
          <w:rFonts w:ascii="Arial" w:cs="Arial" w:eastAsia="Arial" w:hAnsi="Arial"/>
          <w:sz w:val="12"/>
          <w:szCs w:val="12"/>
          <w:b w:val="1"/>
          <w:bCs w:val="1"/>
          <w:color w:val="auto"/>
        </w:rPr>
        <w:t>18 U.S.C. SECTION 1350, AS ADOPTED PURSUANT TO</w:t>
      </w:r>
    </w:p>
    <w:p>
      <w:pPr>
        <w:spacing w:after="0" w:line="6" w:lineRule="exact"/>
        <w:rPr>
          <w:sz w:val="20"/>
          <w:szCs w:val="20"/>
          <w:color w:val="auto"/>
        </w:rPr>
      </w:pPr>
    </w:p>
    <w:p>
      <w:pPr>
        <w:ind w:left="4180"/>
        <w:spacing w:after="0"/>
        <w:rPr>
          <w:sz w:val="20"/>
          <w:szCs w:val="20"/>
          <w:color w:val="auto"/>
        </w:rPr>
      </w:pPr>
      <w:r>
        <w:rPr>
          <w:rFonts w:ascii="Arial" w:cs="Arial" w:eastAsia="Arial" w:hAnsi="Arial"/>
          <w:sz w:val="12"/>
          <w:szCs w:val="12"/>
          <w:b w:val="1"/>
          <w:bCs w:val="1"/>
          <w:color w:val="auto"/>
        </w:rPr>
        <w:t>SECTION 906 OF THE SARBANES-OXLEY ACT OF 2002</w:t>
      </w:r>
    </w:p>
    <w:p>
      <w:pPr>
        <w:spacing w:after="0" w:line="141" w:lineRule="exact"/>
        <w:rPr>
          <w:sz w:val="20"/>
          <w:szCs w:val="20"/>
          <w:color w:val="auto"/>
        </w:rPr>
      </w:pPr>
    </w:p>
    <w:p>
      <w:pPr>
        <w:ind w:right="160" w:firstLine="602"/>
        <w:spacing w:after="0" w:line="276" w:lineRule="auto"/>
        <w:rPr>
          <w:sz w:val="20"/>
          <w:szCs w:val="20"/>
          <w:color w:val="auto"/>
        </w:rPr>
      </w:pPr>
      <w:r>
        <w:rPr>
          <w:rFonts w:ascii="Arial" w:cs="Arial" w:eastAsia="Arial" w:hAnsi="Arial"/>
          <w:sz w:val="12"/>
          <w:szCs w:val="12"/>
          <w:color w:val="auto"/>
        </w:rPr>
        <w:t>In connection with the Annual Report on Form 10-K of Uniti Group Inc. (the “Company”) for the period ending December 31, 2017 as filed with the Securities and Exchange Commission on the date hereof (the “Report”), I certify, pursuant to 18 U.S.C. § 1350, as adopted pursuant to § 906 of the Sarbanes-Oxley Act of 2002, to my knowledge, that:</w:t>
      </w:r>
    </w:p>
    <w:p>
      <w:pPr>
        <w:spacing w:after="0" w:line="43" w:lineRule="exact"/>
        <w:rPr>
          <w:sz w:val="20"/>
          <w:szCs w:val="20"/>
          <w:color w:val="auto"/>
        </w:rPr>
      </w:pPr>
    </w:p>
    <w:p>
      <w:pPr>
        <w:ind w:left="1180" w:hanging="593"/>
        <w:spacing w:after="0"/>
        <w:tabs>
          <w:tab w:leader="none" w:pos="1180" w:val="left"/>
        </w:tabs>
        <w:numPr>
          <w:ilvl w:val="0"/>
          <w:numId w:val="27"/>
        </w:numPr>
        <w:rPr>
          <w:rFonts w:ascii="Arial" w:cs="Arial" w:eastAsia="Arial" w:hAnsi="Arial"/>
          <w:sz w:val="12"/>
          <w:szCs w:val="12"/>
          <w:color w:val="auto"/>
        </w:rPr>
      </w:pPr>
      <w:r>
        <w:rPr>
          <w:rFonts w:ascii="Arial" w:cs="Arial" w:eastAsia="Arial" w:hAnsi="Arial"/>
          <w:sz w:val="12"/>
          <w:szCs w:val="12"/>
          <w:color w:val="auto"/>
        </w:rPr>
        <w:t>The Report fully complies with the requirements of section 13(a) or 15(d) of the Securities Exchange Act of 1934; and</w:t>
      </w:r>
    </w:p>
    <w:p>
      <w:pPr>
        <w:spacing w:after="0" w:line="78" w:lineRule="exact"/>
        <w:rPr>
          <w:rFonts w:ascii="Arial" w:cs="Arial" w:eastAsia="Arial" w:hAnsi="Arial"/>
          <w:sz w:val="12"/>
          <w:szCs w:val="12"/>
          <w:color w:val="auto"/>
        </w:rPr>
      </w:pPr>
    </w:p>
    <w:p>
      <w:pPr>
        <w:ind w:left="1180" w:hanging="593"/>
        <w:spacing w:after="0"/>
        <w:tabs>
          <w:tab w:leader="none" w:pos="1180" w:val="left"/>
        </w:tabs>
        <w:numPr>
          <w:ilvl w:val="0"/>
          <w:numId w:val="27"/>
        </w:numPr>
        <w:rPr>
          <w:rFonts w:ascii="Arial" w:cs="Arial" w:eastAsia="Arial" w:hAnsi="Arial"/>
          <w:sz w:val="12"/>
          <w:szCs w:val="12"/>
          <w:color w:val="auto"/>
        </w:rPr>
      </w:pPr>
      <w:r>
        <w:rPr>
          <w:rFonts w:ascii="Arial" w:cs="Arial" w:eastAsia="Arial" w:hAnsi="Arial"/>
          <w:sz w:val="12"/>
          <w:szCs w:val="12"/>
          <w:color w:val="auto"/>
        </w:rPr>
        <w:t>The information contained in the Report fairly presents, in all material respects, the financial condition and results of operations of the Company.</w:t>
      </w:r>
    </w:p>
    <w:p>
      <w:pPr>
        <w:spacing w:after="0" w:line="150" w:lineRule="exact"/>
        <w:rPr>
          <w:sz w:val="20"/>
          <w:szCs w:val="20"/>
          <w:color w:val="auto"/>
        </w:rPr>
      </w:pPr>
    </w:p>
    <w:p>
      <w:pPr>
        <w:spacing w:after="0"/>
        <w:tabs>
          <w:tab w:leader="none" w:pos="4920" w:val="left"/>
          <w:tab w:leader="none" w:pos="7660" w:val="left"/>
        </w:tabs>
        <w:rPr>
          <w:sz w:val="20"/>
          <w:szCs w:val="20"/>
          <w:color w:val="auto"/>
        </w:rPr>
      </w:pPr>
      <w:r>
        <w:rPr>
          <w:rFonts w:ascii="Arial" w:cs="Arial" w:eastAsia="Arial" w:hAnsi="Arial"/>
          <w:sz w:val="12"/>
          <w:szCs w:val="12"/>
          <w:color w:val="auto"/>
        </w:rPr>
        <w:t>Date: March 1, 2018</w:t>
      </w:r>
      <w:r>
        <w:rPr>
          <w:sz w:val="20"/>
          <w:szCs w:val="20"/>
          <w:color w:val="auto"/>
        </w:rPr>
        <w:tab/>
      </w:r>
      <w:r>
        <w:rPr>
          <w:rFonts w:ascii="Arial" w:cs="Arial" w:eastAsia="Arial" w:hAnsi="Arial"/>
          <w:sz w:val="12"/>
          <w:szCs w:val="12"/>
          <w:color w:val="auto"/>
        </w:rPr>
        <w:t>By:</w:t>
      </w:r>
      <w:r>
        <w:rPr>
          <w:sz w:val="20"/>
          <w:szCs w:val="20"/>
          <w:color w:val="auto"/>
        </w:rPr>
        <w:tab/>
      </w:r>
      <w:r>
        <w:rPr>
          <w:rFonts w:ascii="Arial" w:cs="Arial" w:eastAsia="Arial" w:hAnsi="Arial"/>
          <w:sz w:val="10"/>
          <w:szCs w:val="10"/>
          <w:color w:val="auto"/>
        </w:rPr>
        <w:t>/s/ Kenneth A. Gunderman</w:t>
      </w:r>
    </w:p>
    <w:p>
      <w:pPr>
        <w:spacing w:after="0" w:line="15" w:lineRule="exact"/>
        <w:rPr>
          <w:sz w:val="20"/>
          <w:szCs w:val="20"/>
          <w:color w:val="auto"/>
        </w:rPr>
      </w:pPr>
    </w:p>
    <w:p>
      <w:pPr>
        <w:jc w:val="center"/>
        <w:ind w:left="5180"/>
        <w:spacing w:after="0"/>
        <w:rPr>
          <w:sz w:val="20"/>
          <w:szCs w:val="20"/>
          <w:color w:val="auto"/>
        </w:rPr>
      </w:pPr>
      <w:r>
        <w:rPr>
          <w:rFonts w:ascii="Arial" w:cs="Arial" w:eastAsia="Arial" w:hAnsi="Arial"/>
          <w:sz w:val="12"/>
          <w:szCs w:val="12"/>
          <w:b w:val="1"/>
          <w:bCs w:val="1"/>
          <w:color w:val="auto"/>
        </w:rPr>
        <w:t>Kenneth A. Gunderman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3277870</wp:posOffset>
            </wp:positionH>
            <wp:positionV relativeFrom="paragraph">
              <wp:posOffset>-86995</wp:posOffset>
            </wp:positionV>
            <wp:extent cx="4009390" cy="57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15">
                      <a:extLst>
                        <a:ext uri="{28A0092B-C50C-407E-A947-70E740481C1C}"/>
                      </a:extLst>
                    </a:blip>
                    <a:srcRect/>
                    <a:stretch>
                      <a:fillRect/>
                    </a:stretch>
                  </pic:blipFill>
                  <pic:spPr bwMode="auto">
                    <a:xfrm>
                      <a:off x="0" y="0"/>
                      <a:ext cx="4009390" cy="5715"/>
                    </a:xfrm>
                    <a:prstGeom prst="rect">
                      <a:avLst/>
                    </a:prstGeom>
                    <a:noFill/>
                  </pic:spPr>
                </pic:pic>
              </a:graphicData>
            </a:graphic>
          </wp:anchor>
        </w:drawing>
      </w:r>
    </w:p>
    <w:p>
      <w:pPr>
        <w:jc w:val="center"/>
        <w:ind w:left="5180"/>
        <w:spacing w:after="0"/>
        <w:rPr>
          <w:sz w:val="20"/>
          <w:szCs w:val="20"/>
          <w:color w:val="auto"/>
        </w:rPr>
      </w:pPr>
      <w:r>
        <w:rPr>
          <w:rFonts w:ascii="Arial" w:cs="Arial" w:eastAsia="Arial" w:hAnsi="Arial"/>
          <w:sz w:val="12"/>
          <w:szCs w:val="12"/>
          <w:b w:val="1"/>
          <w:bCs w:val="1"/>
          <w:color w:val="auto"/>
        </w:rPr>
        <w:t>President and Chief Executive Officer</w:t>
      </w:r>
    </w:p>
    <w:p>
      <w:pPr>
        <w:sectPr>
          <w:pgSz w:w="11900" w:h="16838" w:orient="portrait"/>
          <w:cols w:equalWidth="0" w:num="1">
            <w:col w:w="11480"/>
          </w:cols>
          <w:pgMar w:left="220" w:top="280" w:right="199" w:bottom="1440" w:gutter="0" w:footer="0" w:header="0"/>
        </w:sectPr>
      </w:pPr>
    </w:p>
    <w:bookmarkStart w:id="123" w:name="page124"/>
    <w:bookmarkEnd w:id="123"/>
    <w:p>
      <w:pPr>
        <w:jc w:val="right"/>
        <w:spacing w:after="0"/>
        <w:rPr>
          <w:sz w:val="20"/>
          <w:szCs w:val="20"/>
          <w:color w:val="auto"/>
        </w:rPr>
      </w:pPr>
      <w:r>
        <w:rPr>
          <w:rFonts w:ascii="Arial" w:cs="Arial" w:eastAsia="Arial" w:hAnsi="Arial"/>
          <w:sz w:val="12"/>
          <w:szCs w:val="12"/>
          <w:b w:val="1"/>
          <w:bCs w:val="1"/>
          <w:color w:val="auto"/>
        </w:rPr>
        <w:t>Exhibit 32.2</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PURSUANT TO</w:t>
      </w:r>
    </w:p>
    <w:p>
      <w:pPr>
        <w:spacing w:after="0" w:line="19" w:lineRule="exact"/>
        <w:rPr>
          <w:sz w:val="20"/>
          <w:szCs w:val="20"/>
          <w:color w:val="auto"/>
        </w:rPr>
      </w:pPr>
    </w:p>
    <w:p>
      <w:pPr>
        <w:ind w:left="4220"/>
        <w:spacing w:after="0"/>
        <w:rPr>
          <w:sz w:val="20"/>
          <w:szCs w:val="20"/>
          <w:color w:val="auto"/>
        </w:rPr>
      </w:pPr>
      <w:r>
        <w:rPr>
          <w:rFonts w:ascii="Arial" w:cs="Arial" w:eastAsia="Arial" w:hAnsi="Arial"/>
          <w:sz w:val="12"/>
          <w:szCs w:val="12"/>
          <w:b w:val="1"/>
          <w:bCs w:val="1"/>
          <w:color w:val="auto"/>
        </w:rPr>
        <w:t>18 U.S.C. SECTION 1350, AS ADOPTED PURSUANT TO</w:t>
      </w:r>
    </w:p>
    <w:p>
      <w:pPr>
        <w:spacing w:after="0" w:line="6" w:lineRule="exact"/>
        <w:rPr>
          <w:sz w:val="20"/>
          <w:szCs w:val="20"/>
          <w:color w:val="auto"/>
        </w:rPr>
      </w:pPr>
    </w:p>
    <w:p>
      <w:pPr>
        <w:ind w:left="4180"/>
        <w:spacing w:after="0"/>
        <w:rPr>
          <w:sz w:val="20"/>
          <w:szCs w:val="20"/>
          <w:color w:val="auto"/>
        </w:rPr>
      </w:pPr>
      <w:r>
        <w:rPr>
          <w:rFonts w:ascii="Arial" w:cs="Arial" w:eastAsia="Arial" w:hAnsi="Arial"/>
          <w:sz w:val="12"/>
          <w:szCs w:val="12"/>
          <w:b w:val="1"/>
          <w:bCs w:val="1"/>
          <w:color w:val="auto"/>
        </w:rPr>
        <w:t>SECTION 906 OF THE SARBANES-OXLEY ACT OF 2002</w:t>
      </w:r>
    </w:p>
    <w:p>
      <w:pPr>
        <w:spacing w:after="0" w:line="141" w:lineRule="exact"/>
        <w:rPr>
          <w:sz w:val="20"/>
          <w:szCs w:val="20"/>
          <w:color w:val="auto"/>
        </w:rPr>
      </w:pPr>
    </w:p>
    <w:p>
      <w:pPr>
        <w:ind w:right="160" w:firstLine="602"/>
        <w:spacing w:after="0" w:line="276" w:lineRule="auto"/>
        <w:rPr>
          <w:sz w:val="20"/>
          <w:szCs w:val="20"/>
          <w:color w:val="auto"/>
        </w:rPr>
      </w:pPr>
      <w:r>
        <w:rPr>
          <w:rFonts w:ascii="Arial" w:cs="Arial" w:eastAsia="Arial" w:hAnsi="Arial"/>
          <w:sz w:val="12"/>
          <w:szCs w:val="12"/>
          <w:color w:val="auto"/>
        </w:rPr>
        <w:t>In connection with the Annual Report on Form 10-K of Uniti Group Inc. (the “Company”) for the period ending December 31, 2017 as filed with the Securities and Exchange Commission on the date hereof (the “Report”), I certify, pursuant to 18 U.S.C. § 1350, as adopted pursuant to § 906 of the Sarbanes-Oxley Act of 2002, to my knowledge, that:</w:t>
      </w:r>
    </w:p>
    <w:p>
      <w:pPr>
        <w:spacing w:after="0" w:line="43" w:lineRule="exact"/>
        <w:rPr>
          <w:sz w:val="20"/>
          <w:szCs w:val="20"/>
          <w:color w:val="auto"/>
        </w:rPr>
      </w:pPr>
    </w:p>
    <w:p>
      <w:pPr>
        <w:ind w:left="1180" w:hanging="593"/>
        <w:spacing w:after="0"/>
        <w:tabs>
          <w:tab w:leader="none" w:pos="1180" w:val="left"/>
        </w:tabs>
        <w:numPr>
          <w:ilvl w:val="0"/>
          <w:numId w:val="28"/>
        </w:numPr>
        <w:rPr>
          <w:rFonts w:ascii="Arial" w:cs="Arial" w:eastAsia="Arial" w:hAnsi="Arial"/>
          <w:sz w:val="12"/>
          <w:szCs w:val="12"/>
          <w:color w:val="auto"/>
        </w:rPr>
      </w:pPr>
      <w:r>
        <w:rPr>
          <w:rFonts w:ascii="Arial" w:cs="Arial" w:eastAsia="Arial" w:hAnsi="Arial"/>
          <w:sz w:val="12"/>
          <w:szCs w:val="12"/>
          <w:color w:val="auto"/>
        </w:rPr>
        <w:t>The Report fully complies with the requirements of section 13(a) or 15(d) of the Securities Exchange Act of 1934; and</w:t>
      </w:r>
    </w:p>
    <w:p>
      <w:pPr>
        <w:spacing w:after="0" w:line="78" w:lineRule="exact"/>
        <w:rPr>
          <w:rFonts w:ascii="Arial" w:cs="Arial" w:eastAsia="Arial" w:hAnsi="Arial"/>
          <w:sz w:val="12"/>
          <w:szCs w:val="12"/>
          <w:color w:val="auto"/>
        </w:rPr>
      </w:pPr>
    </w:p>
    <w:p>
      <w:pPr>
        <w:ind w:left="1180" w:hanging="593"/>
        <w:spacing w:after="0"/>
        <w:tabs>
          <w:tab w:leader="none" w:pos="1180" w:val="left"/>
        </w:tabs>
        <w:numPr>
          <w:ilvl w:val="0"/>
          <w:numId w:val="28"/>
        </w:numPr>
        <w:rPr>
          <w:rFonts w:ascii="Arial" w:cs="Arial" w:eastAsia="Arial" w:hAnsi="Arial"/>
          <w:sz w:val="12"/>
          <w:szCs w:val="12"/>
          <w:color w:val="auto"/>
        </w:rPr>
      </w:pPr>
      <w:r>
        <w:rPr>
          <w:rFonts w:ascii="Arial" w:cs="Arial" w:eastAsia="Arial" w:hAnsi="Arial"/>
          <w:sz w:val="12"/>
          <w:szCs w:val="12"/>
          <w:color w:val="auto"/>
        </w:rPr>
        <w:t>The information contained in the Report fairly presents, in all material respects, the financial condition and results of operations of the Company.</w:t>
      </w:r>
    </w:p>
    <w:p>
      <w:pPr>
        <w:spacing w:after="0" w:line="150" w:lineRule="exact"/>
        <w:rPr>
          <w:sz w:val="20"/>
          <w:szCs w:val="20"/>
          <w:color w:val="auto"/>
        </w:rPr>
      </w:pPr>
    </w:p>
    <w:p>
      <w:pPr>
        <w:spacing w:after="0"/>
        <w:tabs>
          <w:tab w:leader="none" w:pos="4920" w:val="left"/>
          <w:tab w:leader="none" w:pos="7820" w:val="left"/>
        </w:tabs>
        <w:rPr>
          <w:sz w:val="20"/>
          <w:szCs w:val="20"/>
          <w:color w:val="auto"/>
        </w:rPr>
      </w:pPr>
      <w:r>
        <w:rPr>
          <w:rFonts w:ascii="Arial" w:cs="Arial" w:eastAsia="Arial" w:hAnsi="Arial"/>
          <w:sz w:val="12"/>
          <w:szCs w:val="12"/>
          <w:color w:val="auto"/>
        </w:rPr>
        <w:t>Date: March 1, 2018</w:t>
      </w:r>
      <w:r>
        <w:rPr>
          <w:sz w:val="20"/>
          <w:szCs w:val="20"/>
          <w:color w:val="auto"/>
        </w:rPr>
        <w:tab/>
      </w:r>
      <w:r>
        <w:rPr>
          <w:rFonts w:ascii="Arial" w:cs="Arial" w:eastAsia="Arial" w:hAnsi="Arial"/>
          <w:sz w:val="12"/>
          <w:szCs w:val="12"/>
          <w:color w:val="auto"/>
        </w:rPr>
        <w:t>By</w:t>
      </w:r>
      <w:r>
        <w:rPr>
          <w:rFonts w:ascii="Arial" w:cs="Arial" w:eastAsia="Arial" w:hAnsi="Arial"/>
          <w:sz w:val="12"/>
          <w:szCs w:val="12"/>
          <w:color w:val="222222"/>
        </w:rPr>
        <w:t>:</w:t>
      </w:r>
      <w:r>
        <w:rPr>
          <w:sz w:val="20"/>
          <w:szCs w:val="20"/>
          <w:color w:val="auto"/>
        </w:rPr>
        <w:tab/>
      </w:r>
      <w:r>
        <w:rPr>
          <w:rFonts w:ascii="Arial" w:cs="Arial" w:eastAsia="Arial" w:hAnsi="Arial"/>
          <w:sz w:val="11"/>
          <w:szCs w:val="11"/>
          <w:color w:val="auto"/>
        </w:rPr>
        <w:t>/s/ Mark A. Wallace</w:t>
      </w:r>
    </w:p>
    <w:p>
      <w:pPr>
        <w:spacing w:after="0" w:line="20" w:lineRule="exact"/>
        <w:rPr>
          <w:sz w:val="20"/>
          <w:szCs w:val="20"/>
          <w:color w:val="auto"/>
        </w:rPr>
      </w:pPr>
    </w:p>
    <w:p>
      <w:pPr>
        <w:ind w:left="7880"/>
        <w:spacing w:after="0"/>
        <w:rPr>
          <w:sz w:val="20"/>
          <w:szCs w:val="20"/>
          <w:color w:val="auto"/>
        </w:rPr>
      </w:pPr>
      <w:r>
        <w:rPr>
          <w:rFonts w:ascii="Arial" w:cs="Arial" w:eastAsia="Arial" w:hAnsi="Arial"/>
          <w:sz w:val="12"/>
          <w:szCs w:val="12"/>
          <w:b w:val="1"/>
          <w:bCs w:val="1"/>
          <w:color w:val="auto"/>
        </w:rPr>
        <w:t>Mark A. Wallace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3277870</wp:posOffset>
            </wp:positionH>
            <wp:positionV relativeFrom="paragraph">
              <wp:posOffset>-84455</wp:posOffset>
            </wp:positionV>
            <wp:extent cx="4009390" cy="57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16">
                      <a:extLst>
                        <a:ext uri="{28A0092B-C50C-407E-A947-70E740481C1C}"/>
                      </a:extLst>
                    </a:blip>
                    <a:srcRect/>
                    <a:stretch>
                      <a:fillRect/>
                    </a:stretch>
                  </pic:blipFill>
                  <pic:spPr bwMode="auto">
                    <a:xfrm>
                      <a:off x="0" y="0"/>
                      <a:ext cx="4009390" cy="5715"/>
                    </a:xfrm>
                    <a:prstGeom prst="rect">
                      <a:avLst/>
                    </a:prstGeom>
                    <a:noFill/>
                  </pic:spPr>
                </pic:pic>
              </a:graphicData>
            </a:graphic>
          </wp:anchor>
        </w:drawing>
      </w:r>
    </w:p>
    <w:p>
      <w:pPr>
        <w:ind w:left="7040"/>
        <w:spacing w:after="0"/>
        <w:rPr>
          <w:sz w:val="20"/>
          <w:szCs w:val="20"/>
          <w:color w:val="auto"/>
        </w:rPr>
      </w:pPr>
      <w:r>
        <w:rPr>
          <w:rFonts w:ascii="Arial" w:cs="Arial" w:eastAsia="Arial" w:hAnsi="Arial"/>
          <w:sz w:val="12"/>
          <w:szCs w:val="12"/>
          <w:b w:val="1"/>
          <w:bCs w:val="1"/>
          <w:color w:val="auto"/>
        </w:rPr>
        <w:t>Executive Vice President – Chief Financial Officer</w:t>
      </w:r>
    </w:p>
    <w:p>
      <w:pPr>
        <w:spacing w:after="0" w:line="15" w:lineRule="exact"/>
        <w:rPr>
          <w:sz w:val="20"/>
          <w:szCs w:val="20"/>
          <w:color w:val="auto"/>
        </w:rPr>
      </w:pPr>
    </w:p>
    <w:p>
      <w:pPr>
        <w:ind w:left="7960"/>
        <w:spacing w:after="0"/>
        <w:rPr>
          <w:sz w:val="20"/>
          <w:szCs w:val="20"/>
          <w:color w:val="auto"/>
        </w:rPr>
      </w:pPr>
      <w:r>
        <w:rPr>
          <w:rFonts w:ascii="Arial" w:cs="Arial" w:eastAsia="Arial" w:hAnsi="Arial"/>
          <w:sz w:val="12"/>
          <w:szCs w:val="12"/>
          <w:b w:val="1"/>
          <w:bCs w:val="1"/>
          <w:color w:val="auto"/>
        </w:rPr>
        <w:t>and Treasurer</w:t>
      </w:r>
    </w:p>
    <w:sectPr>
      <w:pgSz w:w="11900" w:h="16838" w:orient="portrait"/>
      <w:cols w:equalWidth="0" w:num="1">
        <w:col w:w="11480"/>
      </w:cols>
      <w:pgMar w:left="220" w:top="280"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
      <w:numFmt w:val="bullet"/>
      <w:start w:val="1"/>
    </w:lvl>
  </w:abstractNum>
  <w:abstractNum w:abstractNumId="5">
    <w:nsid w:val="25E45D32"/>
    <w:multiLevelType w:val="hybridMultilevel"/>
    <w:lvl w:ilvl="0">
      <w:lvlJc w:val="left"/>
      <w:lvlText w:val="(%1)"/>
      <w:numFmt w:val="decimal"/>
      <w:start w:val="1"/>
    </w:lvl>
  </w:abstractNum>
  <w:abstractNum w:abstractNumId="6">
    <w:nsid w:val="519B500D"/>
    <w:multiLevelType w:val="hybridMultilevel"/>
    <w:lvl w:ilvl="0">
      <w:lvlJc w:val="left"/>
      <w:lvlText w:val="(%1)"/>
      <w:numFmt w:val="decimal"/>
      <w:start w:val="1"/>
    </w:lvl>
  </w:abstractNum>
  <w:abstractNum w:abstractNumId="7">
    <w:nsid w:val="431BD7B7"/>
    <w:multiLevelType w:val="hybridMultilevel"/>
    <w:lvl w:ilvl="0">
      <w:lvlJc w:val="left"/>
      <w:lvlText w:val="(%1)"/>
      <w:numFmt w:val="decimal"/>
      <w:start w:val="2"/>
    </w:lvl>
  </w:abstractNum>
  <w:abstractNum w:abstractNumId="8">
    <w:nsid w:val="3F2DBA31"/>
    <w:multiLevelType w:val="hybridMultilevel"/>
    <w:lvl w:ilvl="0">
      <w:lvlJc w:val="left"/>
      <w:lvlText w:val="(%1)"/>
      <w:numFmt w:val="decimal"/>
      <w:start w:val="1"/>
    </w:lvl>
  </w:abstractNum>
  <w:abstractNum w:abstractNumId="9">
    <w:nsid w:val="7C83E458"/>
    <w:multiLevelType w:val="hybridMultilevel"/>
    <w:lvl w:ilvl="0">
      <w:lvlJc w:val="left"/>
      <w:lvlText w:val="(%1)"/>
      <w:numFmt w:val="decimal"/>
      <w:start w:val="4"/>
    </w:lvl>
  </w:abstractNum>
  <w:abstractNum w:abstractNumId="10">
    <w:nsid w:val="257130A3"/>
    <w:multiLevelType w:val="hybridMultilevel"/>
    <w:lvl w:ilvl="0">
      <w:lvlJc w:val="left"/>
      <w:lvlText w:val="(%1)"/>
      <w:numFmt w:val="lowerLetter"/>
      <w:start w:val="1"/>
    </w:lvl>
  </w:abstractNum>
  <w:abstractNum w:abstractNumId="11">
    <w:nsid w:val="62BBD95A"/>
    <w:multiLevelType w:val="hybridMultilevel"/>
    <w:lvl w:ilvl="0">
      <w:lvlJc w:val="left"/>
      <w:lvlText w:val="(%1)"/>
      <w:numFmt w:val="decimal"/>
      <w:start w:val="1"/>
    </w:lvl>
  </w:abstractNum>
  <w:abstractNum w:abstractNumId="12">
    <w:nsid w:val="436C6125"/>
    <w:multiLevelType w:val="hybridMultilevel"/>
    <w:lvl w:ilvl="0">
      <w:lvlJc w:val="left"/>
      <w:lvlText w:val="(%1)"/>
      <w:numFmt w:val="decimal"/>
      <w:start w:val="1"/>
    </w:lvl>
  </w:abstractNum>
  <w:abstractNum w:abstractNumId="13">
    <w:nsid w:val="628C895D"/>
    <w:multiLevelType w:val="hybridMultilevel"/>
    <w:lvl w:ilvl="0">
      <w:lvlJc w:val="left"/>
      <w:lvlText w:val="(%1)"/>
      <w:numFmt w:val="decimal"/>
      <w:start w:val="1"/>
    </w:lvl>
  </w:abstractNum>
  <w:abstractNum w:abstractNumId="14">
    <w:nsid w:val="333AB105"/>
    <w:multiLevelType w:val="hybridMultilevel"/>
    <w:lvl w:ilvl="0">
      <w:lvlJc w:val="left"/>
      <w:lvlText w:val="(%1)"/>
      <w:numFmt w:val="decimal"/>
      <w:start w:val="1"/>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1"/>
      <w:numFmt w:val="bullet"/>
      <w:start w:val="1"/>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
      <w:numFmt w:val="bullet"/>
      <w:start w:val="1"/>
    </w:lvl>
  </w:abstractNum>
  <w:abstractNum w:abstractNumId="22">
    <w:nsid w:val="4353D0CD"/>
    <w:multiLevelType w:val="hybridMultilevel"/>
    <w:lvl w:ilvl="0">
      <w:lvlJc w:val="left"/>
      <w:lvlText w:val="(%1)"/>
      <w:numFmt w:val="decimal"/>
      <w:start w:val="1"/>
    </w:lvl>
  </w:abstractNum>
  <w:abstractNum w:abstractNumId="23">
    <w:nsid w:val="B03E0C6"/>
    <w:multiLevelType w:val="hybridMultilevel"/>
    <w:lvl w:ilvl="0">
      <w:lvlJc w:val="left"/>
      <w:lvlText w:val="(%1)"/>
      <w:numFmt w:val="decimal"/>
      <w:start w:val="4"/>
    </w:lvl>
  </w:abstractNum>
  <w:abstractNum w:abstractNumId="24">
    <w:nsid w:val="189A769B"/>
    <w:multiLevelType w:val="hybridMultilevel"/>
    <w:lvl w:ilvl="0">
      <w:lvlJc w:val="left"/>
      <w:lvlText w:val="%1."/>
      <w:numFmt w:val="decimal"/>
      <w:start w:val="1"/>
    </w:lvl>
    <w:lvl w:ilvl="1">
      <w:lvlJc w:val="left"/>
      <w:lvlText w:val="(%2)"/>
      <w:numFmt w:val="lowerLetter"/>
      <w:start w:val="1"/>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decimal"/>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png"/><Relationship Id="rId105" Type="http://schemas.openxmlformats.org/officeDocument/2006/relationships/image" Target="media/image96.png"/><Relationship Id="rId106" Type="http://schemas.openxmlformats.org/officeDocument/2006/relationships/image" Target="media/image97.png"/><Relationship Id="rId107" Type="http://schemas.openxmlformats.org/officeDocument/2006/relationships/image" Target="media/image98.png"/><Relationship Id="rId108" Type="http://schemas.openxmlformats.org/officeDocument/2006/relationships/image" Target="media/image99.png"/><Relationship Id="rId109" Type="http://schemas.openxmlformats.org/officeDocument/2006/relationships/image" Target="media/image100.png"/><Relationship Id="rId110" Type="http://schemas.openxmlformats.org/officeDocument/2006/relationships/image" Target="media/image101.png"/><Relationship Id="rId111" Type="http://schemas.openxmlformats.org/officeDocument/2006/relationships/image" Target="media/image102.png"/><Relationship Id="rId112" Type="http://schemas.openxmlformats.org/officeDocument/2006/relationships/image" Target="media/image103.png"/><Relationship Id="rId113" Type="http://schemas.openxmlformats.org/officeDocument/2006/relationships/image" Target="media/image104.png"/><Relationship Id="rId114" Type="http://schemas.openxmlformats.org/officeDocument/2006/relationships/image" Target="media/image105.png"/><Relationship Id="rId115" Type="http://schemas.openxmlformats.org/officeDocument/2006/relationships/image" Target="media/image106.png"/><Relationship Id="rId116" Type="http://schemas.openxmlformats.org/officeDocument/2006/relationships/image" Target="media/image107.png"/><Relationship Id="rId117" Type="http://schemas.openxmlformats.org/officeDocument/2006/relationships/image" Target="media/image108.png"/><Relationship Id="rId118" Type="http://schemas.openxmlformats.org/officeDocument/2006/relationships/image" Target="media/image109.png"/><Relationship Id="rId119" Type="http://schemas.openxmlformats.org/officeDocument/2006/relationships/image" Target="media/image110.png"/><Relationship Id="rId120" Type="http://schemas.openxmlformats.org/officeDocument/2006/relationships/image" Target="media/image111.png"/><Relationship Id="rId121" Type="http://schemas.openxmlformats.org/officeDocument/2006/relationships/image" Target="media/image112.png"/><Relationship Id="rId122" Type="http://schemas.openxmlformats.org/officeDocument/2006/relationships/image" Target="media/image113.png"/><Relationship Id="rId123" Type="http://schemas.openxmlformats.org/officeDocument/2006/relationships/image" Target="media/image114.png"/><Relationship Id="rId124" Type="http://schemas.openxmlformats.org/officeDocument/2006/relationships/image" Target="media/image115.png"/><Relationship Id="rId125" Type="http://schemas.openxmlformats.org/officeDocument/2006/relationships/image" Target="media/image116.png"/><Relationship Id="rId126" Type="http://schemas.openxmlformats.org/officeDocument/2006/relationships/image" Target="media/image117.png"/><Relationship Id="rId127" Type="http://schemas.openxmlformats.org/officeDocument/2006/relationships/image" Target="media/image118.png"/><Relationship Id="rId128" Type="http://schemas.openxmlformats.org/officeDocument/2006/relationships/image" Target="media/image119.png"/><Relationship Id="rId129" Type="http://schemas.openxmlformats.org/officeDocument/2006/relationships/image" Target="media/image120.png"/><Relationship Id="rId130" Type="http://schemas.openxmlformats.org/officeDocument/2006/relationships/image" Target="media/image121.png"/><Relationship Id="rId131" Type="http://schemas.openxmlformats.org/officeDocument/2006/relationships/image" Target="media/image122.png"/><Relationship Id="rId140" Type="http://schemas.openxmlformats.org/officeDocument/2006/relationships/image" Target="media/image123.png"/><Relationship Id="rId141" Type="http://schemas.openxmlformats.org/officeDocument/2006/relationships/image" Target="media/image124.png"/><Relationship Id="rId151" Type="http://schemas.openxmlformats.org/officeDocument/2006/relationships/image" Target="media/image125.png"/><Relationship Id="rId152" Type="http://schemas.openxmlformats.org/officeDocument/2006/relationships/image" Target="media/image126.png"/><Relationship Id="rId162" Type="http://schemas.openxmlformats.org/officeDocument/2006/relationships/image" Target="media/image127.png"/><Relationship Id="rId163" Type="http://schemas.openxmlformats.org/officeDocument/2006/relationships/image" Target="media/image128.png"/><Relationship Id="rId176" Type="http://schemas.openxmlformats.org/officeDocument/2006/relationships/image" Target="media/image129.png"/><Relationship Id="rId177" Type="http://schemas.openxmlformats.org/officeDocument/2006/relationships/image" Target="media/image130.png"/><Relationship Id="rId193" Type="http://schemas.openxmlformats.org/officeDocument/2006/relationships/image" Target="media/image131.png"/><Relationship Id="rId194" Type="http://schemas.openxmlformats.org/officeDocument/2006/relationships/image" Target="media/image132.png"/><Relationship Id="rId198" Type="http://schemas.openxmlformats.org/officeDocument/2006/relationships/image" Target="media/image133.png"/><Relationship Id="rId199" Type="http://schemas.openxmlformats.org/officeDocument/2006/relationships/image" Target="media/image134.png"/><Relationship Id="rId200" Type="http://schemas.openxmlformats.org/officeDocument/2006/relationships/image" Target="media/image135.png"/><Relationship Id="rId201" Type="http://schemas.openxmlformats.org/officeDocument/2006/relationships/image" Target="media/image136.png"/><Relationship Id="rId202" Type="http://schemas.openxmlformats.org/officeDocument/2006/relationships/image" Target="media/image137.png"/><Relationship Id="rId203" Type="http://schemas.openxmlformats.org/officeDocument/2006/relationships/image" Target="media/image138.png"/><Relationship Id="rId204" Type="http://schemas.openxmlformats.org/officeDocument/2006/relationships/image" Target="media/image139.png"/><Relationship Id="rId205" Type="http://schemas.openxmlformats.org/officeDocument/2006/relationships/image" Target="media/image140.png"/><Relationship Id="rId206" Type="http://schemas.openxmlformats.org/officeDocument/2006/relationships/image" Target="media/image141.png"/><Relationship Id="rId207" Type="http://schemas.openxmlformats.org/officeDocument/2006/relationships/image" Target="media/image142.png"/><Relationship Id="rId208" Type="http://schemas.openxmlformats.org/officeDocument/2006/relationships/image" Target="media/image143.png"/><Relationship Id="rId209" Type="http://schemas.openxmlformats.org/officeDocument/2006/relationships/image" Target="media/image144.png"/><Relationship Id="rId210" Type="http://schemas.openxmlformats.org/officeDocument/2006/relationships/image" Target="media/image145.png"/><Relationship Id="rId211" Type="http://schemas.openxmlformats.org/officeDocument/2006/relationships/image" Target="media/image146.png"/><Relationship Id="rId212" Type="http://schemas.openxmlformats.org/officeDocument/2006/relationships/image" Target="media/image147.png"/><Relationship Id="rId213" Type="http://schemas.openxmlformats.org/officeDocument/2006/relationships/image" Target="media/image148.png"/><Relationship Id="rId214" Type="http://schemas.openxmlformats.org/officeDocument/2006/relationships/image" Target="media/image149.png"/><Relationship Id="rId215" Type="http://schemas.openxmlformats.org/officeDocument/2006/relationships/image" Target="media/image150.png"/><Relationship Id="rId216" Type="http://schemas.openxmlformats.org/officeDocument/2006/relationships/image" Target="media/image151.png"/><Relationship Id="rId80" Type="http://schemas.openxmlformats.org/officeDocument/2006/relationships/hyperlink" Target="http://www.sec.gov/Archives/edgar/data/1620280/000156459017021297/unit-10q_20170930.htm" TargetMode="External"/><Relationship Id="rId88" Type="http://schemas.openxmlformats.org/officeDocument/2006/relationships/hyperlink" Target="http://www.sec.gov/Archives/edgar/data/1620280/000156459016029140/csal-10q_20160930.htm" TargetMode="External"/><Relationship Id="rId132" Type="http://schemas.openxmlformats.org/officeDocument/2006/relationships/hyperlink" Target="http://www.sec.gov/Archives/edgar/data/0001620280/000119312515106562/d895819dex21.htm" TargetMode="External"/><Relationship Id="rId133" Type="http://schemas.openxmlformats.org/officeDocument/2006/relationships/hyperlink" Target="http://www.sec.gov/Archives/edgar/data/0001620280/000095010316010194/dp62520_ex0201.htm" TargetMode="External"/><Relationship Id="rId134" Type="http://schemas.openxmlformats.org/officeDocument/2006/relationships/hyperlink" Target="http://www.sec.gov/Archives/edgar/data/0001620280/000156459016024084/csal-ex21_814.htm" TargetMode="External"/><Relationship Id="rId135" Type="http://schemas.openxmlformats.org/officeDocument/2006/relationships/hyperlink" Target="http://www.sec.gov/Archives/edgar/data/0001620280/000156459016024084/csal-ex22_879.htm" TargetMode="External"/><Relationship Id="rId136" Type="http://schemas.openxmlformats.org/officeDocument/2006/relationships/hyperlink" Target="http://www.sec.gov/Archives/edgar/data/0001620280/000095010317003463/dp75010_ex0201.htm" TargetMode="External"/><Relationship Id="rId137" Type="http://schemas.openxmlformats.org/officeDocument/2006/relationships/hyperlink" Target="http://www.sec.gov/Archives/edgar/data/0001620280/000110465917043238/a17-15991_1ex2d1.htm" TargetMode="External"/><Relationship Id="rId138" Type="http://schemas.openxmlformats.org/officeDocument/2006/relationships/hyperlink" Target="http://www.sec.gov/Archives/edgar/data/0001620280/000119312515125997/d906732dex31.htm" TargetMode="External"/><Relationship Id="rId139" Type="http://schemas.openxmlformats.org/officeDocument/2006/relationships/hyperlink" Target="http://www.sec.gov/Archives/edgar/data/0001620280/000156459017002778/csal-ex31_7.htm" TargetMode="External"/><Relationship Id="rId142" Type="http://schemas.openxmlformats.org/officeDocument/2006/relationships/hyperlink" Target="http://www.sec.gov/Archives/edgar/data/0001620280/000110465917028526/a17-12174_1ex3d1.htm" TargetMode="External"/><Relationship Id="rId143" Type="http://schemas.openxmlformats.org/officeDocument/2006/relationships/hyperlink" Target="http://www.sec.gov/Archives/edgar/data/0001620280/000119312515147341/d910956dex42.htm" TargetMode="External"/><Relationship Id="rId144" Type="http://schemas.openxmlformats.org/officeDocument/2006/relationships/hyperlink" Target="http://www.sec.gov/Archives/edgar/data/0001620280/000156459017002252/csal-ex43_1051.htm" TargetMode="External"/><Relationship Id="rId145" Type="http://schemas.openxmlformats.org/officeDocument/2006/relationships/hyperlink" Target="http://www.sec.gov/Archives/edgar/data/0001620280/000110465917031184/a17-12744_1ex4d1.htm" TargetMode="External"/><Relationship Id="rId146" Type="http://schemas.openxmlformats.org/officeDocument/2006/relationships/hyperlink" Target="http://www.sec.gov/Archives/edgar/data/0001620280/000110465917031184/a17-12744_1ex4d2.htm" TargetMode="External"/><Relationship Id="rId147" Type="http://schemas.openxmlformats.org/officeDocument/2006/relationships/hyperlink" Target="http://www.sec.gov/Archives/edgar/data/0001620280/000119312515147341/d910956dex41.htm" TargetMode="External"/><Relationship Id="rId148" Type="http://schemas.openxmlformats.org/officeDocument/2006/relationships/hyperlink" Target="http://www.sec.gov/Archives/edgar/data/0001620280/000156459017002252/csal-ex46_1053.htm" TargetMode="External"/><Relationship Id="rId149" Type="http://schemas.openxmlformats.org/officeDocument/2006/relationships/hyperlink" Target="http://www.sec.gov/Archives/edgar/data/0001620280/000156459017002252/csal-ex47_1052.htm" TargetMode="External"/><Relationship Id="rId150" Type="http://schemas.openxmlformats.org/officeDocument/2006/relationships/hyperlink" Target="http://www.sec.gov/Archives/edgar/data/0001620280/000110465917031184/a17-12744_1ex4d3.htm" TargetMode="External"/><Relationship Id="rId153" Type="http://schemas.openxmlformats.org/officeDocument/2006/relationships/hyperlink" Target="http://www.sec.gov/Archives/edgar/data/0001620280/000110465917031184/a17-12744_1ex4d4.htm" TargetMode="External"/><Relationship Id="rId154" Type="http://schemas.openxmlformats.org/officeDocument/2006/relationships/hyperlink" Target="http://www.sec.gov/Archives/edgar/data/0001620280/000156459016017675/csal-ex41_145.htm" TargetMode="External"/><Relationship Id="rId155" Type="http://schemas.openxmlformats.org/officeDocument/2006/relationships/hyperlink" Target="http://www.sec.gov/Archives/edgar/data/0001620280/000110465917031184/a17-12744_1ex3d1.htm" TargetMode="External"/><Relationship Id="rId156" Type="http://schemas.openxmlformats.org/officeDocument/2006/relationships/hyperlink" Target="http://www.sec.gov/Archives/edgar/data/0001620280/000110465916162314/a16-20068_3ex4d1.htm" TargetMode="External"/><Relationship Id="rId157" Type="http://schemas.openxmlformats.org/officeDocument/2006/relationships/hyperlink" Target="http://www.sec.gov/Archives/edgar/data/0001620280/000156459017002252/csal-ex411_1436.htm" TargetMode="External"/><Relationship Id="rId158" Type="http://schemas.openxmlformats.org/officeDocument/2006/relationships/hyperlink" Target="http://www.sec.gov/Archives/edgar/data/0001620280/000110465917031184/a17-12744_1ex4d5.htm" TargetMode="External"/><Relationship Id="rId159" Type="http://schemas.openxmlformats.org/officeDocument/2006/relationships/hyperlink" Target="http://www.sec.gov/Archives/edgar/data/0001620280/000110465917031184/a17-12744_1ex4d6.htm" TargetMode="External"/><Relationship Id="rId160" Type="http://schemas.openxmlformats.org/officeDocument/2006/relationships/hyperlink" Target="http://www.sec.gov/Archives/edgar/data/0001620280/000156459017021297/unit-ex41_429.htm" TargetMode="External"/><Relationship Id="rId161" Type="http://schemas.openxmlformats.org/officeDocument/2006/relationships/hyperlink" Target="http://www.sec.gov/Archives/edgar/data/0001620280/000110465917030684/a17-12606_1ex4d1.htm" TargetMode="External"/><Relationship Id="rId164" Type="http://schemas.openxmlformats.org/officeDocument/2006/relationships/hyperlink" Target="http://www.sec.gov/Archives/edgar/data/0001620280/000110465917031184/a17-12744_1ex4d7.htm" TargetMode="External"/><Relationship Id="rId165" Type="http://schemas.openxmlformats.org/officeDocument/2006/relationships/hyperlink" Target="http://www.sec.gov/Archives/edgar/data/0001620280/000110465917031184/a17-12744_1ex4d8.htm" TargetMode="External"/><Relationship Id="rId166" Type="http://schemas.openxmlformats.org/officeDocument/2006/relationships/hyperlink" Target="http://www.sec.gov/Archives/edgar/data/0001620280/000119312515147341/d910956dex101.htm" TargetMode="External"/><Relationship Id="rId167" Type="http://schemas.openxmlformats.org/officeDocument/2006/relationships/hyperlink" Target="http://www.sec.gov/Archives/edgar/data/0001620280/000119312515147341/d910956dex102.htm" TargetMode="External"/><Relationship Id="rId168" Type="http://schemas.openxmlformats.org/officeDocument/2006/relationships/hyperlink" Target="http://www.sec.gov/Archives/edgar/data/0001620280/000119312515147341/d910956dex103.htm" TargetMode="External"/><Relationship Id="rId169" Type="http://schemas.openxmlformats.org/officeDocument/2006/relationships/hyperlink" Target="http://www.sec.gov/Archives/edgar/data/0001620280/000119312515147341/d910956dex105.htm" TargetMode="External"/><Relationship Id="rId170" Type="http://schemas.openxmlformats.org/officeDocument/2006/relationships/hyperlink" Target="http://www.sec.gov/Archives/edgar/data/0001620280/000119312515147341/d910956dex106.htm" TargetMode="External"/><Relationship Id="rId171" Type="http://schemas.openxmlformats.org/officeDocument/2006/relationships/hyperlink" Target="http://www.sec.gov/Archives/edgar/data/0001620280/000119312515147341/d910956dex108.htm" TargetMode="External"/><Relationship Id="rId172" Type="http://schemas.openxmlformats.org/officeDocument/2006/relationships/hyperlink" Target="http://www.sec.gov/Archives/edgar/data/0001620280/000119312515147341/d910956dex1010.htm" TargetMode="External"/><Relationship Id="rId173" Type="http://schemas.openxmlformats.org/officeDocument/2006/relationships/hyperlink" Target="http://www.sec.gov/Archives/edgar/data/0001620280/000119312515147341/d910956dex1011.htm" TargetMode="External"/><Relationship Id="rId174" Type="http://schemas.openxmlformats.org/officeDocument/2006/relationships/hyperlink" Target="http://www.sec.gov/Archives/edgar/data/0001620280/000119312515089385/d798710dex109.htm" TargetMode="External"/><Relationship Id="rId175" Type="http://schemas.openxmlformats.org/officeDocument/2006/relationships/hyperlink" Target="http://www.sec.gov/Archives/edgar/data/0001620280/000119312515089385/d798710dex1012.htm" TargetMode="External"/><Relationship Id="rId178" Type="http://schemas.openxmlformats.org/officeDocument/2006/relationships/hyperlink" Target="http://www.sec.gov/Archives/edgar/data/0001620280/000119312515211690/d935720dex102.htm" TargetMode="External"/><Relationship Id="rId179" Type="http://schemas.openxmlformats.org/officeDocument/2006/relationships/hyperlink" Target="http://www.sec.gov/Archives/edgar/data/1620280/000104746915005944/a2225264zex-10_16.htm" TargetMode="External"/><Relationship Id="rId180" Type="http://schemas.openxmlformats.org/officeDocument/2006/relationships/hyperlink" Target="http://www.sec.gov/Archives/edgar/data/0001620280/000119312515211690/d935720dex103.htm" TargetMode="External"/><Relationship Id="rId181" Type="http://schemas.openxmlformats.org/officeDocument/2006/relationships/hyperlink" Target="http://www.sec.gov/Archives/edgar/data/0001620280/000119312515211690/d935720dex104.htm" TargetMode="External"/><Relationship Id="rId182" Type="http://schemas.openxmlformats.org/officeDocument/2006/relationships/hyperlink" Target="http://www.sec.gov/Archives/edgar/data/0001620280/000119312515211690/d935720dex105.htm" TargetMode="External"/><Relationship Id="rId183" Type="http://schemas.openxmlformats.org/officeDocument/2006/relationships/hyperlink" Target="http://www.sec.gov/Archives/edgar/data/1620280/000104746915005944/a2225264zex-10_20.htm" TargetMode="External"/><Relationship Id="rId184" Type="http://schemas.openxmlformats.org/officeDocument/2006/relationships/hyperlink" Target="http://www.sec.gov/Archives/edgar/data/1620280/000156459015007263/csal-ex1020_690.htm" TargetMode="External"/><Relationship Id="rId185" Type="http://schemas.openxmlformats.org/officeDocument/2006/relationships/hyperlink" Target="http://www.sec.gov/Archives/edgar/data/0001620280/000095010316010194/dp62520_ex1001.htm" TargetMode="External"/><Relationship Id="rId186" Type="http://schemas.openxmlformats.org/officeDocument/2006/relationships/hyperlink" Target="http://www.sec.gov/Archives/edgar/data/0001620280/000156459016017675/csal-ex101_144.htm" TargetMode="External"/><Relationship Id="rId187" Type="http://schemas.openxmlformats.org/officeDocument/2006/relationships/hyperlink" Target="http://www.sec.gov/Archives/edgar/data/0001620280/000156459016019251/csal-ex103_289.htm" TargetMode="External"/><Relationship Id="rId188" Type="http://schemas.openxmlformats.org/officeDocument/2006/relationships/hyperlink" Target="http://www.sec.gov/Archives/edgar/data/0001620280/000156459017008846/unit-ex101_687.htm" TargetMode="External"/><Relationship Id="rId189" Type="http://schemas.openxmlformats.org/officeDocument/2006/relationships/hyperlink" Target="http://www.sec.gov/Archives/edgar/data/0001620280/000156459016024084/csal-ex101_755.htm" TargetMode="External"/><Relationship Id="rId190" Type="http://schemas.openxmlformats.org/officeDocument/2006/relationships/hyperlink" Target="http://www.sec.gov/Archives/edgar/data/0001620280/000156459016024084/csal-ex102_756.htm" TargetMode="External"/><Relationship Id="rId191" Type="http://schemas.openxmlformats.org/officeDocument/2006/relationships/hyperlink" Target="http://www.sec.gov/Archives/edgar/data/0001620280/000110465916151374/a16-20228_1ex10d1.htm" TargetMode="External"/><Relationship Id="rId192" Type="http://schemas.openxmlformats.org/officeDocument/2006/relationships/hyperlink" Target="http://www.sec.gov/Archives/edgar/data/0001620280/000110465917007816/a17-3824_1ex10d1.htm" TargetMode="External"/><Relationship Id="rId195" Type="http://schemas.openxmlformats.org/officeDocument/2006/relationships/hyperlink" Target="http://www.sec.gov/Archives/edgar/data/1620280/000110465917028526/a17-12174_1ex10d1.htm" TargetMode="External"/><Relationship Id="rId196" Type="http://schemas.openxmlformats.org/officeDocument/2006/relationships/hyperlink" Target="http://www.sec.gov/Archives/edgar/data/0001620280/000156459017008846/unit-ex102_688.htm" TargetMode="External"/><Relationship Id="rId197" Type="http://schemas.openxmlformats.org/officeDocument/2006/relationships/hyperlink" Target="http://www.sec.gov/Archives/edgar/data/0001620280/000110465917031184/a17-12744_1ex10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2019-12-29T00:20:25Z</dcterms:created>
  <dcterms:modified xsi:type="dcterms:W3CDTF">2019-12-29T00:20:25Z</dcterms:modified>
</cp:coreProperties>
</file>