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w:t>
      </w:r>
    </w:p>
    <w:p>
      <w:pPr>
        <w:pStyle w:val="TextBody"/>
        <w:bidi w:val="0"/>
        <w:spacing w:lineRule="auto" w:line="288" w:before="4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2023</w:t>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 to _____</w:t>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001-36708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Uniti Group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w:t>
      </w:r>
    </w:p>
    <w:tbl>
      <w:tblPr>
        <w:tblW w:w="4754" w:type="dxa"/>
        <w:jc w:val="center"/>
        <w:tblInd w:w="0" w:type="dxa"/>
        <w:tblLayout w:type="fixed"/>
        <w:tblCellMar>
          <w:top w:w="28" w:type="dxa"/>
          <w:left w:w="28" w:type="dxa"/>
          <w:bottom w:w="28" w:type="dxa"/>
          <w:right w:w="28" w:type="dxa"/>
        </w:tblCellMar>
      </w:tblPr>
      <w:tblGrid>
        <w:gridCol w:w="1114"/>
        <w:gridCol w:w="977"/>
        <w:gridCol w:w="984"/>
        <w:gridCol w:w="489"/>
        <w:gridCol w:w="489"/>
        <w:gridCol w:w="701"/>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Maryland</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46-5230630</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2101 Riverfront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Suite A</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Little Rock, Arkansas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7"/>
              </w:rPr>
            </w:pPr>
            <w:r>
              <w:rPr>
                <w:rFonts w:ascii="Times New Roman;sans-serif" w:hAnsi="Times New Roman;sans-serif"/>
                <w:b/>
                <w:color w:val="000000"/>
                <w:sz w:val="17"/>
              </w:rPr>
              <w:t>72202</w:t>
            </w:r>
          </w:p>
        </w:tc>
      </w:tr>
      <w:tr>
        <w:trPr/>
        <w:tc>
          <w:tcPr>
            <w:tcW w:w="30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 (501) 850-0820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________________________________________________________________</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342" w:type="dxa"/>
        <w:jc w:val="center"/>
        <w:tblInd w:w="0" w:type="dxa"/>
        <w:tblLayout w:type="fixed"/>
        <w:tblCellMar>
          <w:top w:w="28" w:type="dxa"/>
          <w:left w:w="28" w:type="dxa"/>
          <w:bottom w:w="28" w:type="dxa"/>
          <w:right w:w="28" w:type="dxa"/>
        </w:tblCellMar>
      </w:tblPr>
      <w:tblGrid>
        <w:gridCol w:w="962"/>
        <w:gridCol w:w="840"/>
        <w:gridCol w:w="852"/>
        <w:gridCol w:w="109"/>
        <w:gridCol w:w="109"/>
        <w:gridCol w:w="109"/>
        <w:gridCol w:w="414"/>
        <w:gridCol w:w="414"/>
        <w:gridCol w:w="416"/>
        <w:gridCol w:w="109"/>
        <w:gridCol w:w="109"/>
        <w:gridCol w:w="109"/>
        <w:gridCol w:w="818"/>
        <w:gridCol w:w="818"/>
        <w:gridCol w:w="1154"/>
      </w:tblGrid>
      <w:tr>
        <w:trPr/>
        <w:tc>
          <w:tcPr>
            <w:tcW w:w="9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w:t>
              <w:br/>
              <w:t>on which registered</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40" w:after="283"/>
        <w:jc w:val="left"/>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bidi w:val="0"/>
        <w:spacing w:lineRule="auto" w:line="288" w:before="40" w:after="283"/>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r>
        <w:rPr>
          <w:color w:val="000000"/>
        </w:rPr>
        <w:t xml:space="preserve"> </w:t>
      </w:r>
    </w:p>
    <w:p>
      <w:pPr>
        <w:pStyle w:val="TextBody"/>
        <w:bidi w:val="0"/>
        <w:spacing w:lineRule="auto" w:line="288" w:before="40" w:after="283"/>
        <w:jc w:val="left"/>
        <w:rPr/>
      </w:pPr>
      <w:r>
        <w:rPr>
          <w:rFonts w:ascii="Times New Roman;sans-serif" w:hAnsi="Times New Roman;sans-serif"/>
          <w:b w:val="false"/>
          <w:color w:val="000000"/>
          <w:sz w:val="18"/>
        </w:rPr>
        <w:t xml:space="preserve">Indicate by check mark if the Registrant is not required to file reports pursuant to Section 13 or 15(d) of the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4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4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4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40" w:after="283"/>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sans-serif" w:hAnsi="Wingdings;sans-serif"/>
          <w:b w:val="false"/>
          <w:color w:val="000000"/>
          <w:sz w:val="18"/>
        </w:rPr>
        <w:t>x</w:t>
      </w:r>
    </w:p>
    <w:p>
      <w:pPr>
        <w:pStyle w:val="TextBody"/>
        <w:bidi w:val="0"/>
        <w:spacing w:lineRule="auto" w:line="288" w:before="40" w:after="283"/>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40" w:after="283"/>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lineRule="auto" w:line="288" w:before="40" w:after="283"/>
        <w:jc w:val="left"/>
        <w:rPr/>
      </w:pPr>
      <w:r>
        <w:rPr>
          <w:rFonts w:ascii="Times New Roman;sans-serif" w:hAnsi="Times New Roman;sans-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and non-voting common equity held by non-affiliates of the Registrant, based on the closing price of the shares of common stock on The NASDAQ Global Select Market on June 30, 2023 was $1,089,222,999.</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number of shares of the Registrant’s common stock outstanding as of February 22, 2024 was 238,751,855. </w:t>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DOCUMENTS INCORPORATED BY REFERENCE</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relating to the 2024 annual meeting of stockholders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6"/>
        <w:gridCol w:w="286"/>
        <w:gridCol w:w="288"/>
        <w:gridCol w:w="2916"/>
        <w:gridCol w:w="2900"/>
        <w:gridCol w:w="2916"/>
        <w:gridCol w:w="167"/>
        <w:gridCol w:w="167"/>
        <w:gridCol w:w="239"/>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3">
              <w:r>
                <w:rPr>
                  <w:rStyle w:val="InternetLink"/>
                  <w:rFonts w:ascii="Times New Roman;sans-serif" w:hAnsi="Times New Roman;sans-serif"/>
                  <w:b/>
                  <w:strike w:val="false"/>
                  <w:dstrike w:val="false"/>
                  <w:color w:val="000000"/>
                  <w:sz w:val="20"/>
                  <w:u w:val="none"/>
                  <w:effect w:val="none"/>
                </w:rPr>
                <w:t>PART 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6">
              <w:r>
                <w:rPr>
                  <w:rStyle w:val="InternetLink"/>
                  <w:rFonts w:ascii="Times New Roman;sans-serif" w:hAnsi="Times New Roman;sans-serif"/>
                  <w:b w:val="false"/>
                  <w:strike w:val="false"/>
                  <w:dstrike w:val="false"/>
                  <w:color w:val="000000"/>
                  <w:sz w:val="20"/>
                  <w:u w:val="none"/>
                  <w:effect w:val="none"/>
                </w:rPr>
                <w:t>Item 1.</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6">
              <w:r>
                <w:rPr>
                  <w:rStyle w:val="InternetLink"/>
                  <w:rFonts w:ascii="Times New Roman;sans-serif" w:hAnsi="Times New Roman;sans-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6">
              <w:r>
                <w:rPr>
                  <w:rStyle w:val="InternetLink"/>
                  <w:rFonts w:ascii="Times New Roman;sans-serif" w:hAnsi="Times New Roman;sans-serif"/>
                  <w:b w:val="false"/>
                  <w:strike w:val="false"/>
                  <w:dstrike w:val="false"/>
                  <w:color w:val="000000"/>
                  <w:sz w:val="20"/>
                  <w:u w:val="none"/>
                  <w:effect w:val="none"/>
                </w:rPr>
                <w:t>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
              <w:r>
                <w:rPr>
                  <w:rStyle w:val="InternetLink"/>
                  <w:rFonts w:ascii="Times New Roman;sans-serif" w:hAnsi="Times New Roman;sans-serif"/>
                  <w:b w:val="false"/>
                  <w:strike w:val="false"/>
                  <w:dstrike w:val="false"/>
                  <w:color w:val="000000"/>
                  <w:sz w:val="20"/>
                  <w:u w:val="none"/>
                  <w:effect w:val="none"/>
                </w:rPr>
                <w:t>Item 1A.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9">
              <w:r>
                <w:rPr>
                  <w:rStyle w:val="InternetLink"/>
                  <w:rFonts w:ascii="Times New Roman;sans-serif" w:hAnsi="Times New Roman;sans-serif"/>
                  <w:b w:val="false"/>
                  <w:strike w:val="false"/>
                  <w:dstrike w:val="false"/>
                  <w:color w:val="000000"/>
                  <w:sz w:val="20"/>
                  <w:u w:val="none"/>
                  <w:effect w:val="none"/>
                </w:rPr>
                <w:t>12</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2">
              <w:r>
                <w:rPr>
                  <w:rStyle w:val="InternetLink"/>
                  <w:rFonts w:ascii="Times New Roman;sans-serif" w:hAnsi="Times New Roman;sans-serif"/>
                  <w:b w:val="false"/>
                  <w:strike w:val="false"/>
                  <w:dstrike w:val="false"/>
                  <w:color w:val="000000"/>
                  <w:sz w:val="20"/>
                  <w:u w:val="none"/>
                  <w:effect w:val="none"/>
                </w:rPr>
                <w:t>Item 1B.</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2">
              <w:r>
                <w:rPr>
                  <w:rStyle w:val="InternetLink"/>
                  <w:rFonts w:ascii="Times New Roman;sans-serif" w:hAnsi="Times New Roman;sans-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22">
              <w:r>
                <w:rPr>
                  <w:rStyle w:val="InternetLink"/>
                  <w:rFonts w:ascii="Times New Roman;sans-serif" w:hAnsi="Times New Roman;sans-serif"/>
                  <w:b w:val="false"/>
                  <w:strike w:val="false"/>
                  <w:dstrike w:val="false"/>
                  <w:color w:val="000000"/>
                  <w:sz w:val="20"/>
                  <w:u w:val="none"/>
                  <w:effect w:val="none"/>
                </w:rPr>
                <w:t>19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880">
              <w:r>
                <w:rPr>
                  <w:rStyle w:val="InternetLink"/>
                  <w:rFonts w:ascii="Times New Roman;sans-serif" w:hAnsi="Times New Roman;sans-serif"/>
                  <w:b w:val="false"/>
                  <w:color w:val="0000FF"/>
                  <w:sz w:val="20"/>
                  <w:u w:val="single"/>
                </w:rPr>
                <w:t>Cybersecurity</w:t>
              </w:r>
            </w:hyperlink>
            <w:r>
              <w:rPr>
                <w:color w:val="000000"/>
              </w:rPr>
              <w:t xml:space="preserve"> </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5">
              <w:r>
                <w:rPr>
                  <w:rStyle w:val="InternetLink"/>
                  <w:rFonts w:ascii="Times New Roman;sans-serif" w:hAnsi="Times New Roman;sans-serif"/>
                  <w:b w:val="false"/>
                  <w:strike w:val="false"/>
                  <w:dstrike w:val="false"/>
                  <w:color w:val="000000"/>
                  <w:sz w:val="20"/>
                  <w:u w:val="none"/>
                  <w:effect w:val="none"/>
                </w:rPr>
                <w:t>Item 2.</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5">
              <w:r>
                <w:rPr>
                  <w:rStyle w:val="InternetLink"/>
                  <w:rFonts w:ascii="Times New Roman;sans-serif" w:hAnsi="Times New Roman;sans-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25">
              <w:r>
                <w:rPr>
                  <w:rStyle w:val="InternetLink"/>
                  <w:rFonts w:ascii="Times New Roman;sans-serif" w:hAnsi="Times New Roman;sans-serif"/>
                  <w:b w:val="false"/>
                  <w:strike w:val="false"/>
                  <w:dstrike w:val="false"/>
                  <w:color w:val="000000"/>
                  <w:sz w:val="20"/>
                  <w:u w:val="none"/>
                  <w:effect w:val="none"/>
                </w:rPr>
                <w:t>21</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8">
              <w:r>
                <w:rPr>
                  <w:rStyle w:val="InternetLink"/>
                  <w:rFonts w:ascii="Times New Roman;sans-serif" w:hAnsi="Times New Roman;sans-serif"/>
                  <w:b w:val="false"/>
                  <w:strike w:val="false"/>
                  <w:dstrike w:val="false"/>
                  <w:color w:val="000000"/>
                  <w:sz w:val="20"/>
                  <w:u w:val="none"/>
                  <w:effect w:val="none"/>
                </w:rPr>
                <w:t>Item 3.</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8">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28">
              <w:r>
                <w:rPr>
                  <w:rStyle w:val="InternetLink"/>
                  <w:rFonts w:ascii="Times New Roman;sans-serif" w:hAnsi="Times New Roman;sans-serif"/>
                  <w:b w:val="false"/>
                  <w:strike w:val="false"/>
                  <w:dstrike w:val="false"/>
                  <w:color w:val="000000"/>
                  <w:sz w:val="20"/>
                  <w:u w:val="none"/>
                  <w:effect w:val="none"/>
                </w:rPr>
                <w:t>22</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31">
              <w:r>
                <w:rPr>
                  <w:rStyle w:val="InternetLink"/>
                  <w:rFonts w:ascii="Times New Roman;sans-serif" w:hAnsi="Times New Roman;sans-serif"/>
                  <w:b w:val="false"/>
                  <w:strike w:val="false"/>
                  <w:dstrike w:val="false"/>
                  <w:color w:val="000000"/>
                  <w:sz w:val="20"/>
                  <w:u w:val="none"/>
                  <w:effect w:val="none"/>
                </w:rPr>
                <w:t>Item 4.</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31">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31">
              <w:r>
                <w:rPr>
                  <w:rStyle w:val="InternetLink"/>
                  <w:rFonts w:ascii="Times New Roman;sans-serif" w:hAnsi="Times New Roman;sans-serif"/>
                  <w:b w:val="false"/>
                  <w:strike w:val="false"/>
                  <w:dstrike w:val="false"/>
                  <w:color w:val="000000"/>
                  <w:sz w:val="20"/>
                  <w:u w:val="none"/>
                  <w:effect w:val="none"/>
                </w:rPr>
                <w:t>22</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34">
              <w:r>
                <w:rPr>
                  <w:rStyle w:val="InternetLink"/>
                  <w:rFonts w:ascii="Times New Roman;sans-serif" w:hAnsi="Times New Roman;sans-serif"/>
                  <w:b/>
                  <w:strike w:val="false"/>
                  <w:dstrike w:val="false"/>
                  <w:color w:val="000000"/>
                  <w:sz w:val="20"/>
                  <w:u w:val="none"/>
                  <w:effect w:val="none"/>
                </w:rPr>
                <w:t>PART II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37">
              <w:r>
                <w:rPr>
                  <w:rStyle w:val="InternetLink"/>
                  <w:rFonts w:ascii="Times New Roman;sans-serif" w:hAnsi="Times New Roman;sans-serif"/>
                  <w:b w:val="false"/>
                  <w:strike w:val="false"/>
                  <w:dstrike w:val="false"/>
                  <w:color w:val="000000"/>
                  <w:sz w:val="20"/>
                  <w:u w:val="none"/>
                  <w:effect w:val="none"/>
                </w:rPr>
                <w:t>Item 5.</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37">
              <w:r>
                <w:rPr>
                  <w:rStyle w:val="InternetLink"/>
                  <w:rFonts w:ascii="Times New Roman;sans-serif" w:hAnsi="Times New Roman;sans-serif"/>
                  <w:b w:val="false"/>
                  <w:strike w:val="false"/>
                  <w:dstrike w:val="false"/>
                  <w:color w:val="000000"/>
                  <w:sz w:val="20"/>
                  <w:u w:val="none"/>
                  <w:effect w:val="none"/>
                </w:rPr>
                <w:t>23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40">
              <w:r>
                <w:rPr>
                  <w:rStyle w:val="InternetLink"/>
                  <w:rFonts w:ascii="Times New Roman;sans-serif" w:hAnsi="Times New Roman;sans-serif"/>
                  <w:b w:val="false"/>
                  <w:strike w:val="false"/>
                  <w:dstrike w:val="false"/>
                  <w:color w:val="000000"/>
                  <w:sz w:val="20"/>
                  <w:u w:val="none"/>
                  <w:effect w:val="none"/>
                </w:rPr>
                <w:t>Item 6.</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40">
              <w:r>
                <w:rPr>
                  <w:rStyle w:val="InternetLink"/>
                  <w:rFonts w:ascii="Times New Roman;sans-serif" w:hAnsi="Times New Roman;sans-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40">
              <w:r>
                <w:rPr>
                  <w:rStyle w:val="InternetLink"/>
                  <w:rFonts w:ascii="Times New Roman;sans-serif" w:hAnsi="Times New Roman;sans-serif"/>
                  <w:b w:val="false"/>
                  <w:strike w:val="false"/>
                  <w:dstrike w:val="false"/>
                  <w:color w:val="000000"/>
                  <w:sz w:val="20"/>
                  <w:u w:val="none"/>
                  <w:effect w:val="none"/>
                </w:rPr>
                <w:t>25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43">
              <w:r>
                <w:rPr>
                  <w:rStyle w:val="InternetLink"/>
                  <w:rFonts w:ascii="Times New Roman;sans-serif" w:hAnsi="Times New Roman;sans-serif"/>
                  <w:b w:val="false"/>
                  <w:strike w:val="false"/>
                  <w:dstrike w:val="false"/>
                  <w:color w:val="000000"/>
                  <w:sz w:val="20"/>
                  <w:u w:val="none"/>
                  <w:effect w:val="none"/>
                </w:rPr>
                <w:t>Item 7.</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43">
              <w:r>
                <w:rPr>
                  <w:rStyle w:val="InternetLink"/>
                  <w:rFonts w:ascii="Times New Roman;sans-serif" w:hAnsi="Times New Roman;sans-serif"/>
                  <w:b w:val="false"/>
                  <w:strike w:val="false"/>
                  <w:dstrike w:val="false"/>
                  <w:color w:val="000000"/>
                  <w:sz w:val="20"/>
                  <w:u w:val="none"/>
                  <w:effect w:val="none"/>
                </w:rPr>
                <w:t>25</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46">
              <w:r>
                <w:rPr>
                  <w:rStyle w:val="InternetLink"/>
                  <w:rFonts w:ascii="Times New Roman;sans-serif" w:hAnsi="Times New Roman;sans-serif"/>
                  <w:b w:val="false"/>
                  <w:color w:val="0000EE"/>
                  <w:sz w:val="20"/>
                  <w:u w:val="single"/>
                </w:rPr>
                <w:t>1.</w:t>
              </w:r>
            </w:hyperlink>
            <w:r>
              <w:rPr>
                <w:color w:val="0000EE"/>
                <w:u w:val="single"/>
              </w:rPr>
              <w:t>    </w:t>
            </w:r>
            <w:hyperlink w:anchor="i374575ee8ecb4d8c9aaa6bdb34828ed2_46">
              <w:r>
                <w:rPr>
                  <w:rStyle w:val="InternetLink"/>
                  <w:rFonts w:ascii="Times New Roman;sans-serif" w:hAnsi="Times New Roman;sans-serif"/>
                  <w:b w:val="false"/>
                  <w:color w:val="0000EE"/>
                  <w:sz w:val="20"/>
                  <w:u w:val="single"/>
                </w:rPr>
                <w:t>Overview</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46">
              <w:r>
                <w:rPr>
                  <w:rStyle w:val="InternetLink"/>
                  <w:rFonts w:ascii="Times New Roman;sans-serif" w:hAnsi="Times New Roman;sans-serif"/>
                  <w:b w:val="false"/>
                  <w:strike w:val="false"/>
                  <w:dstrike w:val="false"/>
                  <w:color w:val="000000"/>
                  <w:sz w:val="20"/>
                  <w:u w:val="none"/>
                  <w:effect w:val="none"/>
                </w:rPr>
                <w:t>25</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49">
              <w:r>
                <w:rPr>
                  <w:rStyle w:val="InternetLink"/>
                  <w:rFonts w:ascii="Times New Roman;sans-serif" w:hAnsi="Times New Roman;sans-serif"/>
                  <w:b w:val="false"/>
                  <w:color w:val="0000EE"/>
                  <w:sz w:val="20"/>
                  <w:u w:val="single"/>
                </w:rPr>
                <w:t>2.</w:t>
              </w:r>
            </w:hyperlink>
            <w:r>
              <w:rPr>
                <w:color w:val="0000EE"/>
                <w:u w:val="single"/>
              </w:rPr>
              <w:t>    </w:t>
            </w:r>
            <w:hyperlink w:anchor="i374575ee8ecb4d8c9aaa6bdb34828ed2_49">
              <w:r>
                <w:rPr>
                  <w:rStyle w:val="InternetLink"/>
                  <w:rFonts w:ascii="Times New Roman;sans-serif" w:hAnsi="Times New Roman;sans-serif"/>
                  <w:b w:val="false"/>
                  <w:color w:val="0000EE"/>
                  <w:sz w:val="20"/>
                  <w:u w:val="single"/>
                </w:rPr>
                <w:t>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52">
              <w:r>
                <w:rPr>
                  <w:rStyle w:val="InternetLink"/>
                  <w:rFonts w:ascii="Times New Roman;sans-serif" w:hAnsi="Times New Roman;sans-serif"/>
                  <w:b w:val="false"/>
                  <w:strike w:val="false"/>
                  <w:dstrike w:val="false"/>
                  <w:color w:val="000000"/>
                  <w:sz w:val="20"/>
                  <w:u w:val="none"/>
                  <w:effect w:val="none"/>
                </w:rPr>
                <w:t>29</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55">
              <w:r>
                <w:rPr>
                  <w:rStyle w:val="InternetLink"/>
                  <w:rFonts w:ascii="Times New Roman;sans-serif" w:hAnsi="Times New Roman;sans-serif"/>
                  <w:b w:val="false"/>
                  <w:color w:val="0000EE"/>
                  <w:sz w:val="20"/>
                  <w:u w:val="single"/>
                </w:rPr>
                <w:t>3.</w:t>
              </w:r>
            </w:hyperlink>
            <w:r>
              <w:rPr>
                <w:color w:val="0000EE"/>
                <w:u w:val="single"/>
              </w:rPr>
              <w:t>    </w:t>
            </w:r>
            <w:hyperlink w:anchor="i374575ee8ecb4d8c9aaa6bdb34828ed2_55">
              <w:r>
                <w:rPr>
                  <w:rStyle w:val="InternetLink"/>
                  <w:rFonts w:ascii="Times New Roman;sans-serif" w:hAnsi="Times New Roman;sans-serif"/>
                  <w:b w:val="false"/>
                  <w:color w:val="0000EE"/>
                  <w:sz w:val="20"/>
                  <w:u w:val="single"/>
                </w:rPr>
                <w:t>Non-GAAP Financial Measures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55">
              <w:r>
                <w:rPr>
                  <w:rStyle w:val="InternetLink"/>
                  <w:rFonts w:ascii="Times New Roman;sans-serif" w:hAnsi="Times New Roman;sans-serif"/>
                  <w:b w:val="false"/>
                  <w:strike w:val="false"/>
                  <w:dstrike w:val="false"/>
                  <w:color w:val="000000"/>
                  <w:sz w:val="20"/>
                  <w:u w:val="none"/>
                  <w:effect w:val="none"/>
                </w:rPr>
                <w:t>36</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61">
              <w:r>
                <w:rPr>
                  <w:rStyle w:val="InternetLink"/>
                  <w:rFonts w:ascii="Times New Roman;sans-serif" w:hAnsi="Times New Roman;sans-serif"/>
                  <w:b w:val="false"/>
                  <w:color w:val="0000EE"/>
                  <w:sz w:val="20"/>
                  <w:u w:val="single"/>
                </w:rPr>
                <w:t>4.</w:t>
              </w:r>
            </w:hyperlink>
            <w:r>
              <w:rPr>
                <w:color w:val="0000EE"/>
                <w:u w:val="single"/>
              </w:rPr>
              <w:t>    </w:t>
            </w:r>
            <w:hyperlink w:anchor="i374575ee8ecb4d8c9aaa6bdb34828ed2_61">
              <w:r>
                <w:rPr>
                  <w:rStyle w:val="InternetLink"/>
                  <w:rFonts w:ascii="Times New Roman;sans-serif" w:hAnsi="Times New Roman;sans-serif"/>
                  <w:b w:val="false"/>
                  <w:color w:val="0000EE"/>
                  <w:sz w:val="20"/>
                  <w:u w:val="single"/>
                </w:rPr>
                <w:t>Liquidity and Capital Resources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61">
              <w:r>
                <w:rPr>
                  <w:rStyle w:val="InternetLink"/>
                  <w:rFonts w:ascii="Times New Roman;sans-serif" w:hAnsi="Times New Roman;sans-serif"/>
                  <w:b w:val="false"/>
                  <w:strike w:val="false"/>
                  <w:dstrike w:val="false"/>
                  <w:color w:val="000000"/>
                  <w:sz w:val="20"/>
                  <w:u w:val="none"/>
                  <w:effect w:val="none"/>
                </w:rPr>
                <w:t>41</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73">
              <w:r>
                <w:rPr>
                  <w:rStyle w:val="InternetLink"/>
                  <w:rFonts w:ascii="Times New Roman;sans-serif" w:hAnsi="Times New Roman;sans-serif"/>
                  <w:b w:val="false"/>
                  <w:strike w:val="false"/>
                  <w:dstrike w:val="false"/>
                  <w:color w:val="000000"/>
                  <w:sz w:val="20"/>
                  <w:u w:val="none"/>
                  <w:effect w:val="none"/>
                </w:rPr>
                <w:t>Item 7A.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73">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73">
              <w:r>
                <w:rPr>
                  <w:rStyle w:val="InternetLink"/>
                  <w:rFonts w:ascii="Times New Roman;sans-serif" w:hAnsi="Times New Roman;sans-serif"/>
                  <w:b w:val="false"/>
                  <w:strike w:val="false"/>
                  <w:dstrike w:val="false"/>
                  <w:color w:val="000000"/>
                  <w:sz w:val="20"/>
                  <w:u w:val="none"/>
                  <w:effect w:val="none"/>
                </w:rPr>
                <w:t>48</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76">
              <w:r>
                <w:rPr>
                  <w:rStyle w:val="InternetLink"/>
                  <w:rFonts w:ascii="Times New Roman;sans-serif" w:hAnsi="Times New Roman;sans-serif"/>
                  <w:b w:val="false"/>
                  <w:strike w:val="false"/>
                  <w:dstrike w:val="false"/>
                  <w:color w:val="000000"/>
                  <w:sz w:val="20"/>
                  <w:u w:val="none"/>
                  <w:effect w:val="none"/>
                </w:rPr>
                <w:t>Item 8.</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76">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76">
              <w:r>
                <w:rPr>
                  <w:rStyle w:val="InternetLink"/>
                  <w:rFonts w:ascii="Times New Roman;sans-serif" w:hAnsi="Times New Roman;sans-serif"/>
                  <w:b w:val="false"/>
                  <w:strike w:val="false"/>
                  <w:dstrike w:val="false"/>
                  <w:color w:val="000000"/>
                  <w:sz w:val="20"/>
                  <w:u w:val="none"/>
                  <w:effect w:val="none"/>
                </w:rPr>
                <w:t>49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78">
              <w:r>
                <w:rPr>
                  <w:rStyle w:val="InternetLink"/>
                  <w:rFonts w:ascii="Times New Roman;sans-serif" w:hAnsi="Times New Roman;sans-serif"/>
                  <w:b w:val="false"/>
                  <w:strike w:val="false"/>
                  <w:dstrike w:val="false"/>
                  <w:color w:val="000000"/>
                  <w:sz w:val="20"/>
                  <w:u w:val="none"/>
                  <w:effect w:val="none"/>
                </w:rPr>
                <w:t>Item 9.</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7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78">
              <w:r>
                <w:rPr>
                  <w:rStyle w:val="InternetLink"/>
                  <w:rFonts w:ascii="Times New Roman;sans-serif" w:hAnsi="Times New Roman;sans-serif"/>
                  <w:b w:val="false"/>
                  <w:strike w:val="false"/>
                  <w:dstrike w:val="false"/>
                  <w:color w:val="000000"/>
                  <w:sz w:val="20"/>
                  <w:u w:val="none"/>
                  <w:effect w:val="none"/>
                </w:rPr>
                <w:t>104</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81">
              <w:r>
                <w:rPr>
                  <w:rStyle w:val="InternetLink"/>
                  <w:rFonts w:ascii="Times New Roman;sans-serif" w:hAnsi="Times New Roman;sans-serif"/>
                  <w:b w:val="false"/>
                  <w:strike w:val="false"/>
                  <w:dstrike w:val="false"/>
                  <w:color w:val="000000"/>
                  <w:sz w:val="20"/>
                  <w:u w:val="none"/>
                  <w:effect w:val="none"/>
                </w:rPr>
                <w:t>Item 9A.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81">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81">
              <w:r>
                <w:rPr>
                  <w:rStyle w:val="InternetLink"/>
                  <w:rFonts w:ascii="Times New Roman;sans-serif" w:hAnsi="Times New Roman;sans-serif"/>
                  <w:b w:val="false"/>
                  <w:strike w:val="false"/>
                  <w:dstrike w:val="false"/>
                  <w:color w:val="000000"/>
                  <w:sz w:val="20"/>
                  <w:u w:val="none"/>
                  <w:effect w:val="none"/>
                </w:rPr>
                <w:t>104</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84">
              <w:r>
                <w:rPr>
                  <w:rStyle w:val="InternetLink"/>
                  <w:rFonts w:ascii="Times New Roman;sans-serif" w:hAnsi="Times New Roman;sans-serif"/>
                  <w:b w:val="false"/>
                  <w:strike w:val="false"/>
                  <w:dstrike w:val="false"/>
                  <w:color w:val="000000"/>
                  <w:sz w:val="20"/>
                  <w:u w:val="none"/>
                  <w:effect w:val="none"/>
                </w:rPr>
                <w:t>Item 9B.</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84">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84">
              <w:r>
                <w:rPr>
                  <w:rStyle w:val="InternetLink"/>
                  <w:rFonts w:ascii="Times New Roman;sans-serif" w:hAnsi="Times New Roman;sans-serif"/>
                  <w:b w:val="false"/>
                  <w:strike w:val="false"/>
                  <w:dstrike w:val="false"/>
                  <w:color w:val="000000"/>
                  <w:sz w:val="20"/>
                  <w:u w:val="none"/>
                  <w:effect w:val="none"/>
                </w:rPr>
                <w:t>105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87">
              <w:r>
                <w:rPr>
                  <w:rStyle w:val="InternetLink"/>
                  <w:rFonts w:ascii="Times New Roman;sans-serif" w:hAnsi="Times New Roman;sans-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87">
              <w:r>
                <w:rPr>
                  <w:rStyle w:val="InternetLink"/>
                  <w:rFonts w:ascii="Times New Roman;sans-serif" w:hAnsi="Times New Roman;sans-serif"/>
                  <w:b w:val="false"/>
                  <w:strike w:val="false"/>
                  <w:dstrike w:val="false"/>
                  <w:color w:val="000000"/>
                  <w:sz w:val="20"/>
                  <w:u w:val="none"/>
                  <w:effect w:val="none"/>
                </w:rPr>
                <w:t>106</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0">
              <w:r>
                <w:rPr>
                  <w:rStyle w:val="InternetLink"/>
                  <w:rFonts w:ascii="Times New Roman;sans-serif" w:hAnsi="Times New Roman;sans-serif"/>
                  <w:b/>
                  <w:strike w:val="false"/>
                  <w:dstrike w:val="false"/>
                  <w:color w:val="000000"/>
                  <w:sz w:val="20"/>
                  <w:u w:val="none"/>
                  <w:effect w:val="none"/>
                </w:rPr>
                <w:t>PART III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3">
              <w:r>
                <w:rPr>
                  <w:rStyle w:val="InternetLink"/>
                  <w:rFonts w:ascii="Times New Roman;sans-serif" w:hAnsi="Times New Roman;sans-serif"/>
                  <w:b w:val="false"/>
                  <w:strike w:val="false"/>
                  <w:dstrike w:val="false"/>
                  <w:color w:val="000000"/>
                  <w:sz w:val="20"/>
                  <w:u w:val="none"/>
                  <w:effect w:val="none"/>
                </w:rPr>
                <w:t>Item 10.</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3">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93">
              <w:r>
                <w:rPr>
                  <w:rStyle w:val="InternetLink"/>
                  <w:rFonts w:ascii="Times New Roman;sans-serif" w:hAnsi="Times New Roman;sans-serif"/>
                  <w:b w:val="false"/>
                  <w:strike w:val="false"/>
                  <w:dstrike w:val="false"/>
                  <w:color w:val="000000"/>
                  <w:sz w:val="20"/>
                  <w:u w:val="none"/>
                  <w:effect w:val="none"/>
                </w:rPr>
                <w:t>107</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6">
              <w:r>
                <w:rPr>
                  <w:rStyle w:val="InternetLink"/>
                  <w:rFonts w:ascii="Times New Roman;sans-serif" w:hAnsi="Times New Roman;sans-serif"/>
                  <w:b w:val="false"/>
                  <w:strike w:val="false"/>
                  <w:dstrike w:val="false"/>
                  <w:color w:val="000000"/>
                  <w:sz w:val="20"/>
                  <w:u w:val="none"/>
                  <w:effect w:val="none"/>
                </w:rPr>
                <w:t>Item 11.</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6">
              <w:r>
                <w:rPr>
                  <w:rStyle w:val="InternetLink"/>
                  <w:rFonts w:ascii="Times New Roman;sans-serif" w:hAnsi="Times New Roman;sans-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96">
              <w:r>
                <w:rPr>
                  <w:rStyle w:val="InternetLink"/>
                  <w:rFonts w:ascii="Times New Roman;sans-serif" w:hAnsi="Times New Roman;sans-serif"/>
                  <w:b w:val="false"/>
                  <w:strike w:val="false"/>
                  <w:dstrike w:val="false"/>
                  <w:color w:val="000000"/>
                  <w:sz w:val="20"/>
                  <w:u w:val="none"/>
                  <w:effect w:val="none"/>
                </w:rPr>
                <w:t>107</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9">
              <w:r>
                <w:rPr>
                  <w:rStyle w:val="InternetLink"/>
                  <w:rFonts w:ascii="Times New Roman;sans-serif" w:hAnsi="Times New Roman;sans-serif"/>
                  <w:b w:val="false"/>
                  <w:strike w:val="false"/>
                  <w:dstrike w:val="false"/>
                  <w:color w:val="000000"/>
                  <w:sz w:val="20"/>
                  <w:u w:val="none"/>
                  <w:effect w:val="none"/>
                </w:rPr>
                <w:t>Item 12.</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9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99">
              <w:r>
                <w:rPr>
                  <w:rStyle w:val="InternetLink"/>
                  <w:rFonts w:ascii="Times New Roman;sans-serif" w:hAnsi="Times New Roman;sans-serif"/>
                  <w:b w:val="false"/>
                  <w:strike w:val="false"/>
                  <w:dstrike w:val="false"/>
                  <w:color w:val="000000"/>
                  <w:sz w:val="20"/>
                  <w:u w:val="none"/>
                  <w:effect w:val="none"/>
                </w:rPr>
                <w:t>107</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02">
              <w:r>
                <w:rPr>
                  <w:rStyle w:val="InternetLink"/>
                  <w:rFonts w:ascii="Times New Roman;sans-serif" w:hAnsi="Times New Roman;sans-serif"/>
                  <w:b w:val="false"/>
                  <w:strike w:val="false"/>
                  <w:dstrike w:val="false"/>
                  <w:color w:val="000000"/>
                  <w:sz w:val="20"/>
                  <w:u w:val="none"/>
                  <w:effect w:val="none"/>
                </w:rPr>
                <w:t>Item 13.</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0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202">
              <w:r>
                <w:rPr>
                  <w:rStyle w:val="InternetLink"/>
                  <w:rFonts w:ascii="Times New Roman;sans-serif" w:hAnsi="Times New Roman;sans-serif"/>
                  <w:b w:val="false"/>
                  <w:strike w:val="false"/>
                  <w:dstrike w:val="false"/>
                  <w:color w:val="000000"/>
                  <w:sz w:val="20"/>
                  <w:u w:val="none"/>
                  <w:effect w:val="none"/>
                </w:rPr>
                <w:t>107</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05">
              <w:r>
                <w:rPr>
                  <w:rStyle w:val="InternetLink"/>
                  <w:rFonts w:ascii="Times New Roman;sans-serif" w:hAnsi="Times New Roman;sans-serif"/>
                  <w:b w:val="false"/>
                  <w:strike w:val="false"/>
                  <w:dstrike w:val="false"/>
                  <w:color w:val="000000"/>
                  <w:sz w:val="20"/>
                  <w:u w:val="none"/>
                  <w:effect w:val="none"/>
                </w:rPr>
                <w:t>Item 14.</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05">
              <w:r>
                <w:rPr>
                  <w:rStyle w:val="InternetLink"/>
                  <w:rFonts w:ascii="Times New Roman;sans-serif" w:hAnsi="Times New Roman;sans-serif"/>
                  <w:b w:val="false"/>
                  <w:color w:val="0000FF"/>
                  <w:sz w:val="20"/>
                  <w:u w:val="single"/>
                </w:rPr>
                <w:t>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205">
              <w:r>
                <w:rPr>
                  <w:rStyle w:val="InternetLink"/>
                  <w:rFonts w:ascii="Times New Roman;sans-serif" w:hAnsi="Times New Roman;sans-serif"/>
                  <w:b w:val="false"/>
                  <w:strike w:val="false"/>
                  <w:dstrike w:val="false"/>
                  <w:color w:val="000000"/>
                  <w:sz w:val="20"/>
                  <w:u w:val="none"/>
                  <w:effect w:val="none"/>
                </w:rPr>
                <w:t>108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08">
              <w:r>
                <w:rPr>
                  <w:rStyle w:val="InternetLink"/>
                  <w:rFonts w:ascii="Times New Roman;sans-serif" w:hAnsi="Times New Roman;sans-serif"/>
                  <w:b/>
                  <w:strike w:val="false"/>
                  <w:dstrike w:val="false"/>
                  <w:color w:val="000000"/>
                  <w:sz w:val="20"/>
                  <w:u w:val="none"/>
                  <w:effect w:val="none"/>
                </w:rPr>
                <w:t>PART IV</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11">
              <w:r>
                <w:rPr>
                  <w:rStyle w:val="InternetLink"/>
                  <w:rFonts w:ascii="Times New Roman;sans-serif" w:hAnsi="Times New Roman;sans-serif"/>
                  <w:b w:val="false"/>
                  <w:strike w:val="false"/>
                  <w:dstrike w:val="false"/>
                  <w:color w:val="000000"/>
                  <w:sz w:val="20"/>
                  <w:u w:val="none"/>
                  <w:effect w:val="none"/>
                </w:rPr>
                <w:t>Item 15.</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11">
              <w:r>
                <w:rPr>
                  <w:rStyle w:val="InternetLink"/>
                  <w:rFonts w:ascii="Times New Roman;sans-serif" w:hAnsi="Times New Roman;sans-serif"/>
                  <w:b w:val="false"/>
                  <w:color w:val="000080"/>
                  <w:sz w:val="20"/>
                  <w:u w:val="single"/>
                </w:rPr>
                <w:t>Exhibits</w:t>
              </w:r>
            </w:hyperlink>
            <w:hyperlink w:anchor="i374575ee8ecb4d8c9aaa6bdb34828ed2_211">
              <w:r>
                <w:rPr>
                  <w:rStyle w:val="InternetLink"/>
                  <w:rFonts w:ascii="Times New Roman;sans-serif" w:hAnsi="Times New Roman;sans-serif"/>
                  <w:b w:val="false"/>
                  <w:color w:val="000080"/>
                  <w:sz w:val="20"/>
                  <w:u w:val="single"/>
                </w:rPr>
                <w:t xml:space="preserve"> and </w:t>
              </w:r>
            </w:hyperlink>
            <w:hyperlink w:anchor="i374575ee8ecb4d8c9aaa6bdb34828ed2_211">
              <w:r>
                <w:rPr>
                  <w:rStyle w:val="InternetLink"/>
                  <w:rFonts w:ascii="Times New Roman;sans-serif" w:hAnsi="Times New Roman;sans-serif"/>
                  <w:b w:val="false"/>
                  <w:color w:val="000080"/>
                  <w:sz w:val="20"/>
                  <w:u w:val="single"/>
                </w:rPr>
                <w:t>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211">
              <w:r>
                <w:rPr>
                  <w:rStyle w:val="InternetLink"/>
                  <w:rFonts w:ascii="Times New Roman;sans-serif" w:hAnsi="Times New Roman;sans-serif"/>
                  <w:b w:val="false"/>
                  <w:strike w:val="false"/>
                  <w:dstrike w:val="false"/>
                  <w:color w:val="000000"/>
                  <w:sz w:val="20"/>
                  <w:u w:val="none"/>
                  <w:effect w:val="none"/>
                </w:rPr>
                <w:t>109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14">
              <w:r>
                <w:rPr>
                  <w:rStyle w:val="InternetLink"/>
                  <w:rFonts w:ascii="Times New Roman;sans-serif" w:hAnsi="Times New Roman;sans-serif"/>
                  <w:b w:val="false"/>
                  <w:strike w:val="false"/>
                  <w:dstrike w:val="false"/>
                  <w:color w:val="000000"/>
                  <w:sz w:val="20"/>
                  <w:u w:val="none"/>
                  <w:effect w:val="none"/>
                </w:rPr>
                <w:t>Item 16.</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214">
              <w:r>
                <w:rPr>
                  <w:rStyle w:val="InternetLink"/>
                  <w:rFonts w:ascii="Times New Roman;sans-serif" w:hAnsi="Times New Roman;sans-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214">
              <w:r>
                <w:rPr>
                  <w:rStyle w:val="InternetLink"/>
                  <w:rFonts w:ascii="Times New Roman;sans-serif" w:hAnsi="Times New Roman;sans-serif"/>
                  <w:b w:val="false"/>
                  <w:strike w:val="false"/>
                  <w:dstrike w:val="false"/>
                  <w:color w:val="000000"/>
                  <w:sz w:val="20"/>
                  <w:u w:val="none"/>
                  <w:effect w:val="none"/>
                </w:rPr>
                <w:t>113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    </w:t>
      </w:r>
    </w:p>
    <w:p>
      <w:pPr>
        <w:pStyle w:val="TextBody"/>
        <w:bidi w:val="0"/>
        <w:spacing w:lineRule="auto" w:line="268" w:before="0" w:after="0"/>
        <w:jc w:val="left"/>
        <w:rPr/>
      </w:pPr>
      <w:r>
        <w:rPr>
          <w:rFonts w:ascii="Times New Roman;sans-serif" w:hAnsi="Times New Roman;sans-serif"/>
          <w:b w:val="false"/>
          <w:color w:val="000000"/>
          <w:sz w:val="20"/>
          <w:shd w:fill="FFFFFF" w:val="clear"/>
        </w:rPr>
        <w:t>This Annual Report on Form 10-K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expectations about our ability to maintain our status as a real estate investment trust (a “REIT”); our expectations regarding the refinancing of and interest expense on our new ABS Loan Facility (as defined below); our expectations regarding filing an amendment to this Form 10-K to include Windstream’s audited financial statements as of and for the year ended December 31, 2023;</w:t>
      </w:r>
      <w:r>
        <w:rPr>
          <w:color w:val="000000"/>
          <w:shd w:fill="FFFFFF" w:val="clear"/>
        </w:rPr>
        <w:t xml:space="preserve"> </w:t>
      </w:r>
      <w:r>
        <w:rPr>
          <w:rFonts w:ascii="Times New Roman;sans-serif" w:hAnsi="Times New Roman;sans-serif"/>
          <w:b w:val="false"/>
          <w:color w:val="000000"/>
          <w:sz w:val="20"/>
          <w:shd w:fill="FFFFFF" w:val="clear"/>
        </w:rPr>
        <w:t>our expectations regarding the future growth and demand of the telecommunication industry, future financing plans, business strategies, growth prospects, operating and financial performance, and our future liquidity needs and access to capital; our expectations regarding future deployment of fiber strand miles and small cell networks and recognition of revenue related thereto; our expectations regarding levels of capital expenditures; our expectations regarding the deductibility of goodwill for tax purposes; our expectations regarding the amortization of intangible assets; our expectations regarding remediation of the material weakness in our internal control over financial reporting as discussed in Part II, Item 9A of this Annual Report on Form 10-K; and our expectations regarding the payment of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pStyle w:val="TextBody"/>
        <w:bidi w:val="0"/>
        <w:spacing w:lineRule="auto" w:line="288" w:before="240" w:after="283"/>
        <w:ind w:left="0" w:right="0" w:hanging="1080"/>
        <w:jc w:val="left"/>
        <w:rPr/>
      </w:pPr>
      <w:r>
        <w:rPr>
          <w:color w:val="000000"/>
          <w:shd w:fill="FFFFFF" w:val="clear"/>
        </w:rPr>
        <w:t>•</w:t>
      </w:r>
      <w:r>
        <w:rPr>
          <w:rFonts w:ascii="Times New Roman;sans-serif" w:hAnsi="Times New Roman;sans-serif"/>
          <w:b w:val="false"/>
          <w:color w:val="000000"/>
          <w:sz w:val="20"/>
        </w:rPr>
        <w:t>the future prospects of our largest customer, Windstream, following its emergence from bankruptcy;</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adverse impacts of inflation and higher interest rates on our employees, our business, the business of our customers and other business partners and the global financial markets;</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the ability and willingness of our customers to meet and/or perform their obligations under any contractual arrangements entered into with us, including master lease arrangements;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the availability of and our ability to identify suitable acquisition opportunities and our ability to acquire and lease the respective properties on favorable terms or operate and integrate the acquired businesses;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our ability to generate sufficient cash flows to service our outstanding indebtedness and fund our capital funding commitments;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our ability to access debt and equity capital markets;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the impact on our business or the business of our customers as a result of credit rating downgrades, and fluctuating interest rates;</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our ability to retain our key management personnel;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our ability to maintain our status as a REIT;</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changes in the U.S. tax law and other federal, state or local laws, whether or not specific to REITs;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covenants in our debt agreements that may limit our operational flexibility;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the possibility that we may experience equipment failures, natural disasters, cyber-attacks or terrorist attacks for which our insurance may not provide adequate coverage;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 xml:space="preserve">the risk that we fail to fully realize the potential benefits of or have difficulty in integrating the companies we acquire;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other risks inherent in the communications industry and in the ownership of communications distribution systems, including potential liability relating to environmental matters and illiquidity of real estate investments; and</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Annual Report on Form 10-K.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is an independent, internally managed REIT engaged in the acquisition, construction and leasing of mission critical infrastructure in the communications industry. We are principally focused on acquiring and constructing fiber optic, copper and coaxial broadband networks and data centers.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Uniti and its subsidiaries own approximately 140,000 fiber network route miles, representing approximately 8.5 million fiber strand miles, approximately 231,000 route miles of copper cable lines, central office land and buildings across 44 states and beneficial rights to permits, pole agreements and easements. Refer to Part I, Item 2 “Properties” of this Annual Report on Form 10-K for a more detailed breakdown of our telecommunications properties. </w:t>
      </w:r>
    </w:p>
    <w:p>
      <w:pPr>
        <w:pStyle w:val="TextBody"/>
        <w:bidi w:val="0"/>
        <w:spacing w:lineRule="auto" w:line="288" w:before="240" w:after="283"/>
        <w:jc w:val="left"/>
        <w:rPr/>
      </w:pPr>
      <w:r>
        <w:rPr>
          <w:rFonts w:ascii="Times New Roman;sans-serif" w:hAnsi="Times New Roman;sans-serif"/>
          <w:b w:val="false"/>
          <w:color w:val="000000"/>
          <w:sz w:val="20"/>
        </w:rPr>
        <w:t xml:space="preserve">For the year ended December 31, 2023, we had revenues of $1.1 billion, net loss attributable to common shareholders of $82.9 million, Funds From Operations (“FFO”) of $136.8 million and Adjusted Funds From Operations (“AFFO”) of $385.3 million. Both FFO and AFFO are non-GAAP financial measures, which we use to analyze our results. Refer to Part II, Item 7 “Management’s Discussion and Analysis of Financial Condition and Results of Operations,” of this Annual Report on Form 10-K for additional information regarding these non-GAAP financial measures. We manage our operations in two reportable segments, Leasing and Fiber (which we refer to as Uniti Leasing and Uniti Fiber, respectively), which are described in more detail in </w:t>
      </w:r>
      <w:hyperlink w:anchor="i374575ee8ecb4d8c9aaa6bdb34828ed2_151">
        <w:r>
          <w:rPr>
            <w:rStyle w:val="InternetLink"/>
            <w:rFonts w:ascii="Times New Roman;sans-serif" w:hAnsi="Times New Roman;sans-serif"/>
            <w:b w:val="false"/>
            <w:color w:val="0000FF"/>
            <w:sz w:val="20"/>
            <w:u w:val="single"/>
          </w:rPr>
          <w:t>Note 16</w:t>
        </w:r>
      </w:hyperlink>
      <w:r>
        <w:rPr>
          <w:color w:val="000000"/>
        </w:rPr>
        <w:t xml:space="preserve"> </w:t>
      </w:r>
      <w:r>
        <w:rPr>
          <w:rFonts w:ascii="Times New Roman;sans-serif" w:hAnsi="Times New Roman;sans-serif"/>
          <w:b w:val="false"/>
          <w:color w:val="000000"/>
          <w:sz w:val="20"/>
        </w:rPr>
        <w:t xml:space="preserve">to our consolidated financial statements contained in Part II, Item 8 “Financial Statements and Supplementary Data” in addition to our corporate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Part II, Item 7 “Management’s Discussion and Analysis of Financial Condition and Results of Operations—Overview—Significant Business Developments,” of this Annual Report on Form 10-K for information regarding significant developments in our business in 2023.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Industry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continues to increase in priority and economic importance. We believe this considerable demand creates significant opportunities for us as an operator and as a funding source for operators seeking to capitalize on these trends through build outs and acquisitions of infrastructure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bandwidth infrastructure services.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Strategy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goal is to create long-term stockholder value by (i) generating reliable and growing cash flows, (ii) diversifying our tenant and asset base, (iii) paying a dividend and (iv) maintaining our financial strength and liquidity. To achieve this goal, we have employed a business strategy that includes the following components: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Acquire Additional Infrastructure Assets Through Sale Leaseback Transactions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actively seek to diversify our overall portfolio by acquiring communications infrastructure assets from communication service providers and leasing these assets back to the communication service providers on a long-term basis.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type of transaction benefits the communication service providers with incremental liquidity which can be used to reduce indebtedness or for other investments, while they continue to focus on their existing business. We seek to employ a disciplined, opportunistic acquisition strategy and seek to price transactions appropriately based on, among other things, growth opportunities, the mix of assets acquired, length and terms of the lease, and credit worthiness of the tenant.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Capitalize on the Market Demand for Increased Bandwidth Infrastructure and Performance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Bandwidth intensive devices and applications are rapidly fueling worldwide consumption of bandwidth, which in turn fuels a continuously growing demand for stable and secure bandwidth options. Communications service providers and other enterprises whose services and businesses require substantial amounts of bandwidth are increasingly looking to infrastructure providers to support their bandwidth needs and to expand the reach, performance and security of their networks. We believe we are well positioned to capitalize on this ongoing demand for bandwidth infrastructure solutions.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Partner with Communication Service Provides for Improvements of Infrastructure Assets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communications infrastructure industry in the United States is currently going through an upgrade cycle driven by consumers’ general desire for greater bandwidth and wireless services. These upgrades require significant capital expenditures.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support our tenant operators and other communication service providers by partnering with them on infrastructure improvements such as capacity augmentation projects, tower construction and network expansions.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Pursue M&amp;A Transactions in the Communication Service Sector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highly fragmented nature of the communication service sector is expected to result in more consolidation, which we believe will provide us ample opportunity to pursue M&amp;A transactions, including the acquisition or disposition of assets or businesses by Uniti or as a capital partner to potential acquirers in the communication service sector. For example, we may partner with operators through use of “OpCo-PropCo” structures, pursuant to which we acquire the underlying network and other assets and the operator acquires the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Maintain Balance Sheet Strength and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seek to maintain a capital structure that provides the resources and financial flexibility to position us to capitalize on strategic growth opportunities. Our access to, and cost of, external capital is dependent on various factors, including general market conditions, credit ratings on our securities, interest rates and expectations of our future business performance. We intend to maintain a strong balance sheet through disciplined use of leverage, aiming to lower our relative cost of capital over time, and continuing to have access to multiple sources of capital and liquidity. As of December 31, 2023, we had $62.3 million of unrestricted cash and cash equivalents. As of December 31, 2023, with the exception of our Revolving Credit Facility, all of our debt was fixed-rate debt.</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Competition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for investments in the communications industry with telecommunications companies, investment companies,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 lower costs of capital than we have. In addition, revenues from our network properties are dependent, to an extent, on the ability of our operating partners to compete with other communication service providers.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Uniti's primary lines of business are Uniti Leasing and Uniti Fiber, which are described in further detail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Uniti Leasing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Uniti Leasing is engaged in acquiring and constructing mission-critical communications assets, such as fiber, data centers, next-generation consumer broadband, coaxial and upgradeable copper, and leasing them back to anchor customers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either an exclusive or shared-tenant basis. Presently, a substantial portion of Uniti Leasing’s revenue is rental revenues from leasing the Distribution Systems to Windstream as described below in the section titled “Significant Customers.” With Uniti Leasing, our goal is to provide creative and tax-efficient solutions to additional customers, including (i) sale-leaseback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 Results for Uniti Leasing are reported in our consolidated financial statements in our Uniti Leasing business segment.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Uniti Fiber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 (also known as USAC). We believe fiber is the mission-critical focal point in the modern communications infrastructure industry and that Uniti Fiber will accelerate our growth and diversification strategy and expand our relationships with high quality national and international wireless carriers.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Uniti Fiber’s revenues under contract were over $1.1 billion, with a network consisting of approximately 3.0 million strand miles of fiber and approximately 28,599 customer connections. Results for Uniti Fiber are reported in our consolidated financial statements in our Uniti Fiber business segment.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The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was incorporated in the state of Maryland on September 4, 2014.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operates as a REIT for U.S. federal income tax purposes. As a REIT, the Company is generally not subject to U.S. federal income taxes on income generated by its REIT operations. We have elected to treat the subsidiaries through which we operate our fiber business, Uniti Fiber, and certain aspects of our leasing business, Uniti Leasing, as taxable REIT subsidiaries (“TRSs”). TRSs enable us to engage in activities that result in income that does not constitute qualifying income for a REIT. Our TRSs are subject to U.S. federal, state and local corporate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2023, we are the sole general partner of the Operating Partnership and own approximately 99.96% of the partnership interests in the Operating Partnership. In addition, we have undertaken a series of transactions to permit us to hold certain of our assets indirectly through subsidiaries that are taxed as REITs, which may also facilitate future acquisition opportunities.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Human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31, 2023, we employed 813 people, of whom 467 work directly developing and maintaining network operations, 132 in sales and sales support, 68 in shared services, 76 accounting and finance related positions and 70 in operations support roles. None of our employees are subject to a collective bargaining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are our most important resources and their success ultimately creates our own. We fuel their success by offering career growth, recognition and appreciation programs, fulfilling work relationships, empowerment, mentoring, and training and development opportunities. We demonstrate the value we place in our employees financial, physical and emotional health by providing our employees with competitive salaries, health benefits, investment opportunities, vacation options and a generous paid volunteer program, among other benefits.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Uniti launched ULead, a manager training program focused on the growth and development of our emerging leaders. ULead is a comprehensive training program to help prepare and support Uniti supervisors and managers as they navigate the responsibilities and challenges of managing a team. By investing in their professional development,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equipping them with the knowledge, tools and confidence to successfully lead their teams to achieve Uniti’s goals and objectives, reduce turnover, and continue to enhance our valued culture.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last six years Uniti has been certified as a Great Place to Work®. Our management team strives to embody and promote our company values of united, necessary, innovative, tenacious, and integrity. As a certified Great Place to Work®, 95% of our employees say they are treated fairly and are made to feel welcome. 89% of them agree that Uniti is a great place to work. We believe our energetic and collaborative work environment is a contributing factor to our limited employee turnover and high levels of engagement.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our organization, we believe in unity and know that it can only be generated through connection, collaboration and respect. We are committed to fostering these ideals by hiring, developing and supporting a diverse and inclusive workplace that encourages, supports and celebrates the diverse voices of our team members. Two women sit on our board of directors and women represent approximately 25% of leadership positions across our company. A key component to our commitment includes our Diversity and Inclusion Groups (“DIGs”) which support employees and allies in various experiences including diverse backgrounds, lifestyle, characteristics, and more. Uniti currently has six active DIGs that allow for enrichment, connection and growth for our employees. Each DIG is sponsored and supported by senior leaders across the organization.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value our strong ethical foundation and have instituted policies and procedures designed to preserve and prioritize corporate integrity. To actively promote honest, ethical and respectful conduct, we engage in a top-down approach by requiring our directors and executives to set high standards of integrity, responsibility, and transparency. We insist all employees adhere to a code of conduct that sets standards for appropriate behavior and includes information on preventing, identifying, reporting and stopping any type of discrimination or unethical behavior.</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Uniti is committed to offering competitive and inclusive benefits to meet the needs of our employees. We offer an employer-paid benefit which provides our employees comprehensive, inclusive fertility healthcare and family-forming benefits. Employees have access to exclusive resources designed to make fertility care more accessible and affordable to everyone — regardless of age, sex, sexual orientation, gender identity, or location. Uniti continues to support the mental health needs of our employees with an employer-paid virtual mental health benefit in addition to our already available Employee Assistance Program ("EAP"). Our EAP offers free, confidential assessments and short-term counseling to employees. Together, with our additional virtual mental health benefit, employees have the opportunity to seek in person or virtual assistance with personal and/or work-related problems.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will continue to seek opportunities to support the overall health and well-being of our employees as we continue to realize significant value for our stockholders, customers and communities.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Significant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67.3%, 66.5% and 66.4% of our revenues, respectively, were derived from leasing our Distribution Systems to Windstream.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2015, we were separated and spun-off from Windstream pursuant to which Windstream contributed certain telecommunications network assets, including fiber and copper networks and other real estate (the "Distribution Systems") and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On September 22, 2020, Windstream filed a Form 15 to terminate all filing obligations under Sections 12(g) and 15(d) under the Exchange Act. Windstream’s filings are not incorporated by reference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on Form 10-K, Windstream is current on all lease payments. We note that in August 2020, Moody’s Investors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addition, in order to assist us in our continuing assessment of Windstream’s creditworthiness, we periodically receive certain confidential financial information and metrics from Windstream. Refer to Part II, Item 7 “Management’s Discussion and Analysis of Financial Condition and Results of Operations,” of this Annual Report on Form 10-K for additional information regarding this assessment.</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Government Regulation, Licensing and Enforcement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 Telecommunications Regulatory 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subsidiaries and our tenants operate in a regulated market.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and our tenants to civil, criminal and administrative sanctions. We expect that the telecommunications industry, in general, will continue to face increased regulation. Changes in laws and regulations and violations of federal or state laws or regulations by us or our tenants could have a significant direct or indirect effect on our operations and financial condition, as detailed below and set forth under “Risk Factors—Risks Related to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require that certain of our subsidiaries across all segments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may be required to provide notice and/or obtain prior approval from certain governmental agencies. Failure to obtain required approvals could subject us to fines or other penalties.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subsidiaries are subject to a number of federal, state, and local regulations that govern the way we can conduct our business. Such regulations may impose requirements and costs for our entities to operate and utilize local rights of way. They may also impose other operating costs on our businesses, including restrictions on pricing flexibility for certain products, minimum service quality standards, service reporting, intercarrier compensation, contributions to universal service, and other obligations. Further, the relaxation of regulatory requirements on our competitors, such as those granting us access to incumbent local exchange carrier facilities and/or services or the prices that such carriers may charge for such services or access to their facilities, may also have a detrimental effect on the businesses of our subsidiaries and/or tenants.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sought to structure the operations for our core real estate business in a manner to minimize the likelihood that we may be required to become regulated as a public utility or common carrier by the FCC or PUCs, but a number of our business operations are nonetheless subject to federal, state, and local regulation, and we cannot guarantee that our core real estate business will not become further subject to federal, state, and local regulation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broadband internet services that we provide, traditionally, the FCC has recognized that broadband internet access services are “information services” subject to limited regulation. In 2015, the FCC issued a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neutrality” decision that declared broadband internet access services to be subject to certain “telecommunications services” regulation under Title II of the Communications Act of 1934. These regulations would have limited the ways that broadband internet access service providers could structure business arrangements and manage their networks and spurred additional restrictions, including rate regulation, which could adversely affect broadband investment and innovation. In 2017, the FCC voted to return broadband internet access service to its prior classification as “information services.” In 2023 the FCC announced its intention to consider rules aimed at subjecting broadband internet service to regulation under Title II again. The regulatory classification of broadband internet service is likely to continue to be subject to evolving standards set by the FCC. Further, state legislators and governors in some jurisdictions have introduced, and in some cases passed, state laws and executive orders requiring different levels of adherence to “network neutrality” principles for broadband internet access service providers active in the applicable states. As a result of the FCC's activities, as well as state laws and regulations, it is unclear at this time how broadband internet services will be regulated in the future, and the potential impact those regulations may have on our broadband internet service business. In addition, while they have not sought to specifically regulate the manner in which broadband internet service providers manage network traffic, the FCC has nonetheless continued to adopt other forms of regulation over such services, such as broadband labelling requirements, which may affect our operations and subject us to sanctions if we fail to comply with them. We cannot anticipate what additional requirements may be imposed on our broadband internet access business by federal, state or local authorities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Uniti Fiber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subsidiaries that compose Uniti Fiber own and operate significant fiber and other communications facilities throughout various regions of the United States. The provision of such services is often subject to FCC and PUC licensure in many jurisdictions, and the companies are typically licensed as CLECs and/or interexchange carriers in those states where they operate. The companies also hold various FCC wireless licenses in order to provide microwave backhaul and other wireless services. Because of the nature of the licenses that these companies hold, and the nature of the services that they provide, they are subject to various federal and state regulatory requirements, including, but not limited to, revenue and other reporting requirements and tariffing requirements. The companies must also maintain their wireless licenses with the FCC, which requires construction and notification reporting and other regulatory requirements. New fiber network construction is also subject to certain state and local governmental permitting and licensing requirements. Delays in the local and state permitting process can delay the construction of new facilities. Failure to abide by permit requirements can subject the company to fines and other penalties.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our subsidiaries that compose Uniti Fiber utilize services or facilities of incumbent local exchange carriers through arrangements established under the Telecommunications Act of 1996 and FCC regulations. The FCC has recently issued orders allowing ILECs to stop offering such elements and/or to increase the rates that they may charge competitive providers for access to such elements. The loss of these elements, or significant price increases associated with our use of such elements, may increase our costs to maintain and construct new network facilities to replace those we may no longer access, or have other negative effects on our business such as a loss of ability to continue to provide services to certain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our subsidiaries that compose Uniti Fiber provide services to customers within the FCC’s E-Rate and Rural Healthcare (“RHC”) programs. E-Rate and RHC are federally funded programs that provide discounts to assist eligible schools, libraries, and healthcare providers to fund the acquisition and operation of certain communications services and technology. These programs are administered by the Universal Service Administrative Company under the direction of the FCC. The E-Rate and RHC programs are subject to regulatory requirements that change often, and require strict-adherence to program requirements and deadlines. Failure to abide by program and regulatory requirements can result in loss of funding, claw back of prior funding, and fines or other sanctions. The E-Rate, RHC and other programs are funded by the universal service fund ("USF") program. The USF program design, including the manner in which USF contributions are made by service providers, is currently subject to federal court challenges. They could also be modified by Congress or the FCC in the future. We cannot predict future developments or changes to the regulatory environment with respect to the USF, E-Rate or RHC programs, or the impact such developments or changes would have on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Regulatory Changes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revenues, costs, and capital investment in the communication businesses of our tenants, Uniti Fiber,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USF support, rules governing the prices that can be charged for business data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location and siting rules, access to unbundled network elements, and other requirements. Federal and state communications laws and regulations may be amended in the future, and other new laws and regulations may affect our business. In addition, certain laws and regulations applicable to us and our competitors may be, and have been, challenged in the courts and could be vacated or modified at any time. We cannot predict future developments or changes to the regulatory environment or the impact such developments or changes would have on our business.</w:t>
      </w:r>
    </w:p>
    <w:p>
      <w:pPr>
        <w:pStyle w:val="TextBody"/>
        <w:bidi w:val="0"/>
        <w:spacing w:lineRule="auto" w:line="288" w:before="240" w:after="283"/>
        <w:jc w:val="left"/>
        <w:rPr/>
      </w:pPr>
      <w:r>
        <w:rPr>
          <w:rFonts w:ascii="Times New Roman;sans-serif" w:hAnsi="Times New Roman;sans-serif"/>
          <w:b w:val="false"/>
          <w:color w:val="000000"/>
          <w:sz w:val="20"/>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r>
        <w:rPr>
          <w:rFonts w:ascii="Times New Roman;sans-serif" w:hAnsi="Times New Roman;sans-serif"/>
          <w:b w:val="false"/>
          <w:i/>
          <w:color w:val="000000"/>
          <w:sz w:val="20"/>
        </w:rPr>
        <w:t>.</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Environmental Matters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Insurance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or will require in our leases (including the Windstream Leases) that our tenants maintain, applicable lines of insurance on our properties and their operations. Under the Windstream Leases,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Windstream Leases, and such insurance may not be available at a reasonable cost in the future or fully cover all losses on our properties upon the occurrence of a catastrophic event. Moreover, we cannot guarantee the future financial viability of the insurers.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Available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2101 Riverfront Drive, Suite A, Little Rock, AR 72202 and our telephone number is (501) 850-0820. We maintain a website at www.uniti.com. Our Annual Reports on Form 10-K, Quarterly Reports on Form 10-Q, Current Reports on Form 8-K and any amendments to those reports filed or furnished pursuant to Section 13(a) or 15(d) of the Exchange Act are available on our website, free of charge, as soon as reasonably practicable after we electronically file such materials with, or furnish them to, the Securities and Exchange Commission. Our Exchange Act filings can also be found at www.sec.gov.</w:t>
      </w:r>
    </w:p>
    <w:p>
      <w:pPr>
        <w:pStyle w:val="TextBody"/>
        <w:bidi w:val="0"/>
        <w:spacing w:lineRule="auto" w:line="288" w:before="240" w:after="283"/>
        <w:jc w:val="left"/>
        <w:rPr/>
      </w:pPr>
      <w:r>
        <w:rPr>
          <w:rFonts w:ascii="Times New Roman;sans-serif" w:hAnsi="Times New Roman;sans-serif"/>
          <w:b w:val="false"/>
          <w:color w:val="000000"/>
          <w:sz w:val="20"/>
        </w:rPr>
        <w:t>Current copies of our Code of Business Conduct and Ethics &amp; Whistleblower Policy, Corporate Governance Guidelines, and the charters for our Audit, Compensation and Governance Committees are posted in the “Corporate Governance”</w:t>
      </w:r>
      <w:r>
        <w:rPr>
          <w:color w:val="000000"/>
        </w:rPr>
        <w:t xml:space="preserve"> </w:t>
      </w:r>
      <w:r>
        <w:rPr>
          <w:rFonts w:ascii="Times New Roman;sans-serif" w:hAnsi="Times New Roman;sans-serif"/>
          <w:b w:val="false"/>
          <w:color w:val="000000"/>
          <w:sz w:val="20"/>
        </w:rPr>
        <w:t>section of the About Us page of our website at www.uniti.com.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dependent on Windstream to make payments to us under the Windstream Leases, and an event that materially and adversely affects Windstream’s business, financial position or results of operations could materially and adversely affect our business, financial position or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Windstream is the lessee of the Distribution Systems pursuant to the Windstream Leases and, therefore, is presently the source of a substantial portion of our revenues.There can be no assurance that Windstream will have sufficient assets, income and access to financing to enable it to satisfy its payment and other obligations under the Windstream Leases. In recent years, Windstream has experienced annual declines in its total revenue, sales and cash flow and has undergone a restructuring under Chapter 11 of the U.S. Bankruptcy Code.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inability or unwillingness of Windstream to meet its rent obligations under the Windstream Leases could materially adversely affect our business, financial position or results of operations, including our ability to pay dividends to our stockholders as required to maintain our status as a REIT. The inability of Windstream to satisfy its other obligations under the Windstream Leases, such as the payment of insurance, taxes and utilities, could materially and adversely affect the condition of the Distribution Systems as well as the business, financial position and results of operations of Windstream. In addition, Windstream will be dependent on distributions from its subsidiaries in order to satisfy the payment obligations under the Windstream Leases, as such, if its subsidiaries were to experience a material and adverse effect on their business, financial position or results of operations, our business, financial position or results of operations could also be materially and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Failure by Windstream to comply with the terms of the Windstream Leases or to comply with the regulations to which the Distribution Systems are subject could require us to find another lessee for such Distribution Systems, or a portion thereof, and there could be a decrease or cessation of rental payments by Windstream.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we would be able to lease the Distribution Systems to another lessee on substantially equivalent or better terms than the Windstream Leases,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renew the Windstream Leases on commercially attractive terms or at 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term of the Windstream Leases expires on April 30, 2030. There can be no assurance that Windstream will renew the Windstream Leases upon their expiration.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Windstream elects to renew the Windstream Leases, we and Windstream will need to reach a mutual agreement on the rent for the renewal term. The Windstream Leases require that the renewal rent be “Fair Market Rent,” and if we and Windstream are unable to agree on that amount, the renewal Fair Market Rent will be determined by an independent appraisal process. If the current rent payable by Windstream exceeds the Fair Market Rent at the time of renewal, then the renewal term rent will be lower than the current rent payable by Windstream. We are confident that any renewal will be at a rate reflecting fair value as required by the terms of the Windstream Leases and should be at an amount that will at least approximate current rent amounts, but we can provide no assurance as to the outcome of any negotiation or appraisal process. Any significant decrease in the renewal rent of the Windstream Leases could have a material adverse effect on our results of operations, financial condition and future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level of indebtedness could materially and adversely affect our financial position, including reducing funds available for other business purposes and reducing our operational flexibility.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outstanding long term indebtedness of approximately $5.62 billion consisting of senior notes and a revolving credit facility provided by a syndicate of banks and other financial institutions, which, as of December 31, 2023, provided for an aggregate committed amount of borrowings up to approximately $500.0 million. Additionally, on February 23, 2024, we entered into the ABS Loan Agreement (as defined herein) which provides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ABS Loan Facility (as defined herein) of $350 million. See “Significant Business Developments” in Part II, Item 7 “Management’s Discussion and Analysis of Financial Condition and Results of Operations” of this Annual Report on Form 10-K for more information.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 and our ability to pay dividends.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anticipate that we will have sufficient access to liquidity to fund our cash needs; if we are unable to do so, we would need to reduce our spending and it could have an adverse effect on us.</w:t>
      </w:r>
    </w:p>
    <w:p>
      <w:pPr>
        <w:pStyle w:val="TextBody"/>
        <w:bidi w:val="0"/>
        <w:spacing w:lineRule="auto" w:line="288" w:before="240" w:after="283"/>
        <w:jc w:val="left"/>
        <w:rPr/>
      </w:pP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 xml:space="preserve">e anticipate continuing to invest in our network infrastructure across our Uniti Leasing and Uniti Fiber portfolios. </w:t>
      </w:r>
      <w:r>
        <w:rPr>
          <w:rFonts w:ascii="Times New Roman;sans-serif" w:hAnsi="Times New Roman;sans-serif"/>
          <w:b w:val="false"/>
          <w:color w:val="000000"/>
          <w:sz w:val="20"/>
        </w:rPr>
        <w:t>We anticipate declaring dividends for the 2023 tax year to comply with our REIT distribution requirements. We anticipate that we will partially finance these needs, together with operating expenses (including our debt service obligations) from our cash on hand and cash flows provided by operating activities. We also expect the need to raise capital to fund obligations to Windstream, including (i) $490.1 million of settlement payments payable over time (of which $171.5 million remains to be paid as of December 31, 2023) and (ii) an aggregate of up to $1.75 billion for certain growth capital improvements (of which $955.8 million remains to be paid as of December 31, 2023) in long-term value accretive fiber and related assets made by Windstream (or other applicable tenant) to certain ILEC and CLEC properties (the “Growth Capital Improvements”) subject to the Windstream Leases (although such investments will lead to higher rent payments). However,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intend to pursue acquisitions and seek other strategic opportunities, which may result in the use of a significant amount of management resources or significant costs, and we may not fully realize the potential benefits of such transactions.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pursue acquisitions and seek other strategic opportunities. Accordingly, we currently are, and expect in the future to be, engaged in evaluating potential transactions and other strategic alternatives.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Reports of a potential sale of the business may interfere with our business and harm our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Media outlets have recently reported, and may report in the future, that certain unaffiliated third parties are interested in acquiring us or that we may combine with another company. There can be no assurance that any such transaction will occur. We generally do not confirm or deny rumors, and we also do not generally announce negotiations or discussions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until definitive documentation has been executed. Such rumors and any related actions taken by third parties could adversely affect our business, as responding to such reports and activity can be costly and time-consuming, disruptive to our operations and divert the attention of management and our employees. Moreover, such reports and activities may create perceived uncertainties among current and potential customers, employees and other constituencies as to our future direction, which could result in the loss of business opportunities and make it more difficult to attract and retain qualified personnel. In addition, any perception of a possible transaction may cause significant fluctuations in our stock price that do not necessarily reflect the underlying fundamentals and prospects of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dependent on the communications industry and may be susceptible to the risks associated with it, which could materially adversely affect our business, financial position or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owner, lessor and provider of communications services and distribution systems serving the communications industry, we are impacted by the risks associated with the communications industry. Therefore, our success is dependent on the communications industry, which could be adversely affected by economic conditions in general, changes in consumer trends and preferences, changes in communications technology designed to enhance the efficiency of communications distribution systems (including lit fiber networks and wireless equipment), and other factors over which we and our tenants have no control. As we are subject to risks inherent in substantial investments in a single industry, a decrease in the communications business or development and implementation of any such new technologies would likely have an adverse effect on our revenues.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government regulations and changes in current or future laws, regulations or rules could restrict our ability to operate our business in the manner currently contemplated.</w:t>
      </w:r>
    </w:p>
    <w:p>
      <w:pPr>
        <w:pStyle w:val="TextBody"/>
        <w:bidi w:val="0"/>
        <w:spacing w:lineRule="auto" w:line="268" w:before="240" w:after="283"/>
        <w:jc w:val="left"/>
        <w:rPr/>
      </w:pPr>
      <w:r>
        <w:rPr>
          <w:rFonts w:ascii="Times New Roman;sans-serif" w:hAnsi="Times New Roman;sans-serif"/>
          <w:b w:val="false"/>
          <w:color w:val="000000"/>
          <w:sz w:val="20"/>
        </w:rPr>
        <w:t>Our business, and that of our tenants, is subject to federal, state and local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w:t>
      </w:r>
      <w:r>
        <w:rPr>
          <w:color w:val="000000"/>
        </w:rPr>
        <w:t xml:space="preserve"> </w:t>
      </w:r>
      <w:r>
        <w:rPr>
          <w:rFonts w:ascii="Times New Roman;sans-serif" w:hAnsi="Times New Roman;sans-serif"/>
          <w:b w:val="false"/>
          <w:color w:val="000000"/>
          <w:sz w:val="20"/>
        </w:rPr>
        <w:t>(including, but not limited to, regulations related to public health and safety matters similar to ones adopted in recent years to prevent the spread of COVID-19, like travel restrictions, stay at home policies, temporary business closures, social distancing and vaccination requirements)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identified a material weakness in our internal control over financial reporting which could, if not remediated, result in material misstatements in our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further described in Item 9A of this Annual Report, in the course of completing our assessment of internal control over financial reporting as of December 31, 2023, management identified a material weakness in our internal control over financial reporting related to controls over the annual goodwill impairment assessment. Specifically, the Company did not have a sufficient complement of personnel with appropriate technical expertise to perform an effective risk assessment related to determining the income tax impact of goodwill impairments, resulting in improper design and implementation of certain control activities in the goodwill and tax process. A “material weakness” is a deficiency, or a combination of deficiencies, in internal control over financial reporting, such that there is a reasonable possibility that a material misstatement of the annual or interim financial statements would not be prevented or detected on a timely basis. As a result, management has concluded that, because of this material weakness, our internal control over financial reporting and our disclosure controls and procedures were not effective as of December 31, 2023. If we fail to complete the remediation of this material weakness, or after having remediated such material weakness, thereafter fail to maintain the effectiveness of our internal control over financial reporting or our disclosure controls and procedures, we could be subjected to regulatory scrutiny, civil or criminal penalties or shareholder litigation, the defense of any of which could cause the diversion of management’s attention and resources, we could incur significant legal and other expenses, and we could be required to pay damages to settle such actions if any such actions were not resolved in our favor. Continued or future failure to maintain effective internal control over financial reporting could also result in financial statements that do not accurately reflect our financial condition or results of operations. There can be no assurance that we will not conclude in the future that this material weakness continues to exist or that we will not identify any significant deficiencies or other material weaknesses that will impair our ability to report our financial condition and results of operations accurately or on a timely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0" w:after="0"/>
        <w:jc w:val="left"/>
        <w:rPr/>
      </w:pPr>
      <w:r>
        <w:rPr>
          <w:rFonts w:ascii="Times New Roman;sans-serif" w:hAnsi="Times New Roman;sans-serif"/>
          <w:b/>
          <w:i/>
          <w:color w:val="000000"/>
          <w:sz w:val="20"/>
        </w:rPr>
        <w:t>Any further impairment of our goodwill would negatively impact our financial condition.</w:t>
      </w:r>
      <w:r>
        <w:rPr>
          <w:color w:val="000000"/>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Goodwill represents the excess of cost over the fair value of net assets acquired in business combinations. Impairment may result from significant changes in the manner of use of the acquired assets, negative industry or economic trends and/or any changes in the key assumptions regarding our fair value. The extent to which the fair value of net assets acquired in business combinations is ultimately impacted will depend on numerous evolving factors that are presently uncertain and which we may not be able to predict. Although we assess potential impairment of our goodwill on an annual basis, negative industry or economic trends and/or any changes in key assumptions regarding our fair value may cause us to perform an interim analysis of our goodwill and cause us to report an impairment charge in the future, which could have a significant adverse impact on our reported earnings. At December 31, 2023, we had $157.4 million of goodwill on our consolidated balance sheet after recognizing a $204.0 million goodwill impairment charge for the Uniti Fiber reporting unit during the year ended December 31, 2023. For a discussion of our goodwill impairment testing, see </w:t>
      </w:r>
      <w:hyperlink w:anchor="i374575ee8ecb4d8c9aaa6bdb34828ed2_109">
        <w:r>
          <w:rPr>
            <w:rStyle w:val="InternetLink"/>
            <w:rFonts w:ascii="Times New Roman;sans-serif" w:hAnsi="Times New Roman;sans-serif"/>
            <w:b w:val="false"/>
            <w:color w:val="0000FF"/>
            <w:sz w:val="20"/>
            <w:u w:val="single"/>
          </w:rPr>
          <w:t>Note 3</w:t>
        </w:r>
      </w:hyperlink>
      <w:r>
        <w:rPr>
          <w:color w:val="000000"/>
        </w:rPr>
        <w:t xml:space="preserve"> </w:t>
      </w:r>
      <w:r>
        <w:rPr>
          <w:rFonts w:ascii="Times New Roman;sans-serif" w:hAnsi="Times New Roman;sans-serif"/>
          <w:b w:val="false"/>
          <w:color w:val="000000"/>
          <w:sz w:val="20"/>
        </w:rPr>
        <w:t>to our consolidated financial statements in Part II, Item 8 “Financial Statements and Supplementary Data”</w:t>
      </w:r>
      <w:r>
        <w:rPr>
          <w:color w:val="000000"/>
        </w:rPr>
        <w:t xml:space="preserve"> </w:t>
      </w:r>
      <w:r>
        <w:rPr>
          <w:rFonts w:ascii="Times New Roman;sans-serif" w:hAnsi="Times New Roman;sans-serif"/>
          <w:b w:val="false"/>
          <w:color w:val="000000"/>
          <w:sz w:val="20"/>
        </w:rPr>
        <w:t>and “Critical Accounting Estimates-Evaluation of Goodwill Impairment” in Part II, Item 7 “Management’s Discussion and Analysis of Financial Condition and Results of Operations” of this Annual Report on Form 10-K.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or our tenants may experience uninsured or underinsured losses, which could result in a significant loss of the capital we have invested in a property, decrease anticipated future revenues or cause us to incur unanticipated expenses.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Windstream Leases require, and we expect that additional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information technology in our operations, and any material failure, inadequacy, interruption or security failure of that technology could harm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employees may be working remotely from their homes, which could have the effect of exacerbating any of the foregoing risks. While we have taken steps to ensure the security of our data and to prevent security breaches, many of these measures are being deployed for the first time on a widespread and sustained basis, and there is no guarantee the data security and privacy safeguards we have put in place will be completely effective or that we will not encounter some of the common risks associated with employees accessing Company data and systems remotely. As a result, we may be required to expend significant capital and other resources to protect against security breaches or to alleviate problems caused by security breaches.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failure of our physical infrastructure or services could lead to significant costs and disruptions.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our networks or facilities, whether within our control or the control of third-party providers, could result in service interruptions or equipment damage. We may not be able to efficiently upgrade or change our networks or facilities to meet new demands without incurring significant costs that we may not be able to pass on to customers. Given the service guarantees that may be included in the Company's agreements with customers, such disruptions could result in customer credits; however, we cannot assume that customers will accept these credits as compensation in the future, and we may face additional liability or loss of customers.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Unforeseen events could adversely affect our operations, business, and reputation.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be negatively impacted by unforeseen events, such as extreme weather events, natural disasters (including as a result of any potential effects of climate change), acts of vandalism or terrorism, or outbreak of highly infectious or contagious diseases. For example, the COVID-19 pandemic negatively impacted the global economy, disrupted global supply chains and created significant volatility and disruption of financial markets, and another pandemic or other unforeseen event in the future could do the same. Also, there is increasing concern that global climate change is occurring and could result in increased frequency of certain types of natural disasters and extreme weather events. We cannot predict with certainty the rate at which climate change is occurring or the potential direct or indirect impacts of climate change to our business. Any such unforeseen events could, among other things, damage or delay deployment of our communication infrastructure, interrupt or delay service to our tenants or could result in legal claims or penalties, disruption in operations, damage to our reputation, negative market perception, or costly response measures, which could adversely affect our business. </w:t>
      </w:r>
    </w:p>
    <w:p>
      <w:pPr>
        <w:pStyle w:val="TextBody"/>
        <w:bidi w:val="0"/>
        <w:spacing w:lineRule="auto" w:line="288" w:before="240" w:after="283"/>
        <w:jc w:val="left"/>
        <w:rPr/>
      </w:pPr>
      <w:r>
        <w:rPr>
          <w:rFonts w:ascii="Times New Roman;sans-serif" w:hAnsi="Times New Roman;sans-serif"/>
          <w:b w:val="false"/>
          <w:color w:val="000000"/>
          <w:sz w:val="20"/>
        </w:rPr>
        <w:t>Although our businesses are considered essential, an unforeseen event, such as the COVID-19 pandemic or a future pandemic, could have material and adverse effects on our ability to successfully operate and on our financial condition, results of operations and cash flows due to, among other factors: significant disruptions or delays in our operations or network performance; increases in operating costs, inventory shortages and/or a decrease in productivity; delays in permitting activities due to the shutdown of local permitting authorities; a deterioration in our ability to operate in affected areas or delays in the supply of products or services; the impact on our contracts with customers and suppliers, including potential disputes over force majeure events; adverse impact on the timing of installs in our enterprise and wholesale customer segments at Uniti Fiber; a general reduction in business and economic activity; difficulty accessing debt and equity capital on attractive terms, or at all; our access to capital may be restricted; and the potential negative impact on the health and well-being of our personnel.</w:t>
      </w:r>
      <w:r>
        <w:rPr>
          <w:color w:val="000000"/>
        </w:rPr>
        <w:t xml:space="preserve"> </w:t>
      </w:r>
      <w:r>
        <w:rPr>
          <w:rFonts w:ascii="Times New Roman;sans-serif" w:hAnsi="Times New Roman;sans-serif"/>
          <w:b w:val="false"/>
          <w:color w:val="000000"/>
          <w:sz w:val="20"/>
        </w:rPr>
        <w:t>We have implemented policies and procedures designed to mitigate the risk of adverse impacts of unforeseen events on our operations, but we may incur additional costs to ensure continuity of business operations caused by these events, which could adversely affect our financial condition and results of operations. However, the extent of such impacts will depend on future developments, which are highly uncertain and cannot be predicted, including new information which may emerge concerning the severity of an unforeseen event and actions taken to contain it or its impact, among others.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the Status of Uniti as a REIT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do not qualify as a REIT, or fail to remain qualified as a REIT, we will be subject to U.S. federal income tax as a regular corporation and could face a substantial tax liability, which could reduce the amount of cash available for distribution to our stockholders and to service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as a REIT for U.S. federal income tax purposes, as does one of our principal operating subsidiaries. Our qualification as a REIT will depend on our satisfaction of certain highly technical and complex asset, income, organizational, distribution, stockholder ownership and other requirements, including at the level of our subsidiary REIT, on a continuing basis. Our ability to satisfy the asset tests depends upon our analysis of the characterization and fair market values of our assets, some of which are not susceptible to a precise determination and for which we may not obtain independent appraisals.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subsidiary REIT were to fail to qualify as a REIT in any taxable year, unless certain relief provisions apply, we would be subject to U.S. federal income tax on all of our taxable income at regular corporate rates and dividends paid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stockholders would not be deductible by us in computing our taxable income. As a result, we would no longer be required to pay dividends in order to qualify to be taxed as a REIT, and we could decide to reduce the amount of dividends we pay to our stockholders.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 </w:t>
      </w:r>
    </w:p>
    <w:p>
      <w:pPr>
        <w:pStyle w:val="TextBody"/>
        <w:bidi w:val="0"/>
        <w:spacing w:lineRule="auto" w:line="288" w:before="240" w:after="283"/>
        <w:jc w:val="left"/>
        <w:rPr/>
      </w:pPr>
      <w:r>
        <w:rPr>
          <w:rFonts w:ascii="Times New Roman;sans-serif" w:hAnsi="Times New Roman;sans-serif"/>
          <w:b w:val="false"/>
          <w:color w:val="000000"/>
          <w:sz w:val="20"/>
        </w:rPr>
        <w:t>We are subject to the statutory requirements of the locations in which we conduct business, and state and local income taxes are accrued as deemed required in the best judgment of management based on analysis and interpretation of respective tax laws</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Legislative or other actions affecting REITs could have a negative effect on us.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 REIT, the federal income tax consequences of such qualification, the determination of the amount of REIT taxable income or the amount of tax paid by our TRSs.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could fail to qualify as a REIT if income we receive from lease transactions, such as income from Windstream pursuant to the Windstream Leases, is not treated as qualifying income.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applicable provisions of the Code, we will not be treated as a REIT unless we satisfy various requirements, including requirements relating to the sources of our gross income. Rents received or accrued by us from Windstream or other lessees will not be treated as qualifying rent for purposes of these requirements if the relevant lease is not respected as a “true lease” for U.S. federal income tax purposes and is instead treated as a service contract, joint venture or some other type of arrangement. If any of our leases, including the Windstream Leases, are not respected as a true lease for U.S. federal income tax purposes, we may fail to qualify as a REIT.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REIT distribution requirements could adversely affect our ability to execute our business plan.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must qualify as a REIT and distribute annually at least 90% of our REIT taxable income, determined without regard to the dividends paid deduction and excluding any net capital gains, for the U.S. federal corporate income tax not to apply to earnings that we distribute (assuming that certain other requirements are also satisfied).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The same rules apply to our REIT subsidiary. We currently intend to make distributions to our stockholders, and to cause our REIT subsidiary to make distributions, to comply with the REIT requirements of the Code.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FFO is currently generated largely by rents paid under the Windstream Leases.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 deterioration in Windstream’s financial condition could adversely affect our ability to continue to qualify as a REIT.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satisfying the distribution requirement described above in the immediately preceding risk factor, we and our subsidiary REIT must each satisfy a number of other requirements in order to qualify as a REIT. A deterioration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Windstream’s financial condition could adversely affect our ability to satisfy several of these requirements and thus our ability to continue to qualify as a REIT.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order to qualify as a REIT for any year, at the end of each calendar quarter, at least 75% of the value of our assets must consist of cash, cash items, government securities and “real estate assets” (as defined in the Code), and no more than 20% of the value of our total assets can be represented by securities (other than qualified real estate assets) of one or more TRSs. If we fail to comply with either of these requirements at the end of any calendar quarter, we must correct the failure within 30 days after the end of the calendar quarter or qualify for certain statutory relief provisions to avoid losing our REIT qualification. These same rules apply to our REIT subsidiary. Our ability to satisfy these requirements depends in substantial part on the value of the assets that are the subject of the Windstream Leases with Windstream, and any diminution in the value of such assets, including as a result of any diminution in the implied value of the Windstream Leases as a result of changes in the financial condition or creditworthiness of Windstream or Windstream’s inability or unwillingness to meet its rent and other obligations under the Windstream Leases, could adversely affect our ability to satisfy these requirements at the end of any calendar quarter, and there can be no assurance that we would be able to timely correct any such failure or otherwise qualify for any statutory relief provision. See “—Risks Related to Our Business—We are dependent on Windstream Holdings to make payments to us under the Windstream Leases, and an event that materially and adversely affects Windstream’s business, financial position or results of operations could materially and adversely affect our business, financial position or results of operations.” In addition, under applicable provisions of the Code, we will not be treated as a REIT for any year unless we satisfy various requirements, including requirements relating to the sources of our gross income in such year. These same rules apply to our REIT subsidiary. Our ability to satisfy these gross income tests depends in substantial part on our receipt of rents paid under the Windstream Leases. Windstream’s inability or unwillingness to meet its rent and other obligations under the Windstream Leases, or any suspension, delay or other reduction in the amount of rent that we receive under the Windstream Leases could adversely affect our ability to qualify as a REIT.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Even if we remain qualified as a REIT, we may face other tax liabilities that reduce our cash flow.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Complying with the REIT requirements may cause us to forego otherwise attractive acquisition opportunities.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(other than qualified real estate assets)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cannot guarantee our ability to pay dividends in the future, and we could elect to pay dividends substantially in the form of additional shares of our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qualify as a REIT, our annual dividend must not be less than 90% of our REIT taxable income on an annual basis, determined without regard to the dividends paid deduction and excluding any net capital gains. Our ability to pay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ensure that we will achieve investment results that will allow us to make a specified level of cash dividends or year-to-year increases in cash dividends in the future.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while we are required to pay dividends in order to maintain our REIT status, we may elect not to maintain our REIT status,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which may result in holders of our common stock incurring tax liability without the receipt of a corresponding amount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our common stock may fluctuate widely.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prices at which our common stock may trade. The market price of our common stock has fluctuated significantly since February 15, 2019 and may continue to fluctuate significantly, depending upon many factors, some of which may be beyond our control.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charter restricts the ownership and transfer of our outstanding stock, which may have the effect of delaying, deferring or preventing a transaction or change of control of our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 Management and Strategy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an information security program to assess, identify and manage material risks from cybersecurity threats, which is an integral part of the Company's overall enterprise risk management program. This program is established at the executive level, with regular reporting to, and oversight by, the Company’s Board as described below.</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Company’s information security program, the Company maintains written policies and procedures, such as the Information Security Policy and Company’s Incident Response Plan, which identify how cybersecurity measures and controls are developed, implemented, and regularly reviewed and updated. The Company’s Information Security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identifies security controls, appropriate use, and user responsibilities for the organization that are in place to identify and manage the risk of a cybersecurity incident.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a set of controls to manage information risk, utilizing controls from multiple security frameworks, specifically ISO 27001, and the Payment Card Industry Data Security Standard (PCI-DSS). The Company also conducts various internal and external information risk assessments each year, which are based on nationally accepted standards, including annual compliance required assessments, such as PCI and SOX audits, as well as ad-hoc assessments driven by emerging risks, changes in the Company’s environment, or benchmark/roadmap needs. Risks identified in such assessments are considered for inclusion in the Company’s risk portfolio and are then prioritized and addressed as needed through the Company’s broader information security programs and policies. The risk assessment along with risk-based analysis and judgment are used to select security controls to address risks. During this process, the following factors, among others, are considered: likelihood and severity of risk, impact on the Company and others if a risk materializes, feasibility and cost of controls, and impact of controls on operations and others. Specific controls that are used to some extent include endpoint threat detection and response (EDR), identity and access management (IAM), privileged access management (PAM), logging and monitoring involving the use of security information and event management (SIEM), multi-factor authentication (MFA), firewalls and intrusion detection and prevention, encryption, and vulnerability and patch management.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risks from cyber threats have not materially affected our business strategy, results of operations, or financial</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condition to date, we continue to closely monitor cyber risk. To protect its information and cyber assets, the Company conducts appropriate cybersecurity exercises and training. For example, employees must complete cybersecurity training at least annually, which educates our employees on the Company’s policies and procedures for incident reporting, and avoiding common cybersecurity threats such as phishing attacks.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leverages third-party security firms in different capacities to implement or operate various aspects of the Company’s information security program, including to conduct risk assessments, vulnerability scans, and penetration testing based on nationally accepted standards. The Company uses a variety of processes to address cybersecurity threats related to the use of third-party technology and services, such as requiring an independent assessment of the third party’s information security controls where appropriate. As part of the Company’s process to continuously improve its information security programs, the Company also engages third-party subject matter experts to assess and evaluate the effectiveness of various aspects of the Company’s information security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(or the third parties on which it relies) may not be able to fully, continuously, and effectively implement security controls as intended. We utilize a risk-based approach and judgment to determine the security controls to implement and it is possible we may not implement appropriate controls if we do not recognize or underestimate a particular risk. In addition, security controls, no matter how well designed or implemented, may only mitigate and not fully eliminate risks and events, when detected by security tools or third parties, may not always be immediately understood or acted upon.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Board Governance and Management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risk is managed as an enterprise risk in the Company’s enterprise risk management process. At the highest level, the Company’s program includes multi-layered governance by management, the Audit Committee and the Board of Directors.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Ultimate responsibility for risk oversight and management generally lies with the Company’s Board. To effectively manage oversight of our cybersecurity risk management practices, the Board has delegated such responsibility to the Company’s Audit Committee. The Company’s Chief Information Officer (“CIO”) and the information security team provide reports to either the Audit Committee or the full Board on a quarterly basis on various matters, including current and emerging cybersecurity risks to the Company, internal and external assessments of the Company’s information security program, and a roadmap of projects to manage its information security posture. In the event of any significant cybersecurity incidents, the Company’s Incident Response Plan outlines the process to escalate communications to the Audit Committee and/or the full Board in the event of any significant cybersecurity incidents between the quarterly updates on an ad hoc basis.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executive and management level, the CIO has primary responsibility for the development, operation, and maintenance of the Company’s information security program. The CIO has 19 years of experience in technology risk management, 11 of which have been with the Company (or its affiliates), and has passed examinations and received certifications as a SANS Global Information Security Leader and a Certified Information Systems Auditor. In addition to the CIO, the Company’s information security team under the direction of the CIO, implements and provides governance and functional oversight for cybersecurity controls and services. Information security processes include escalation of certain risks and incidents to the CIO and the executive team, with monthly scorecard and quarterly dashboards also used to update the risk landscape.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Overall, the Company has implemented tactical processes for assessing, identifying, and managing material risks from cybersecurity threats to the company including governance at the Board level and accountability in our executive management for the execution of the Company’s cyber risk management strategy and the controls designed to protect its operations. In addition, we maintain cyber insurance that is designed to protect us against certain losses related to cyber risks, and we believe the amount and scope of this insurance are customary for similarly situated companies in the telecommunications industry. See ITEM 1A. RISK FACTORS for additional information regarding the Company’s cybersecurity risks. Those sections of Item 1A should be read in conjunction with this Item 1C.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Uniti and its subsidiaries own or lease approximately 140,000 fiber network route miles, representing approximately 8.5 million fiber strand miles, approximately 231,000 route miles of copper cable lines, wireless communication towers, central office land and buildings across 44 states and beneficial rights to permits, pole agreements and easements.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Leasing Segment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Leasing’s network properties include its fiber route miles and copper route miles. Below is a geographic distribution summary as of December 31, 2023:</w:t>
      </w:r>
    </w:p>
    <w:tbl>
      <w:tblPr>
        <w:tblW w:w="5799" w:type="dxa"/>
        <w:jc w:val="center"/>
        <w:tblInd w:w="0" w:type="dxa"/>
        <w:tblLayout w:type="fixed"/>
        <w:tblCellMar>
          <w:top w:w="28" w:type="dxa"/>
          <w:left w:w="28" w:type="dxa"/>
          <w:bottom w:w="28" w:type="dxa"/>
          <w:right w:w="28" w:type="dxa"/>
        </w:tblCellMar>
      </w:tblPr>
      <w:tblGrid>
        <w:gridCol w:w="277"/>
        <w:gridCol w:w="244"/>
        <w:gridCol w:w="245"/>
        <w:gridCol w:w="464"/>
        <w:gridCol w:w="464"/>
        <w:gridCol w:w="467"/>
        <w:gridCol w:w="109"/>
        <w:gridCol w:w="109"/>
        <w:gridCol w:w="109"/>
        <w:gridCol w:w="514"/>
        <w:gridCol w:w="514"/>
        <w:gridCol w:w="516"/>
        <w:gridCol w:w="109"/>
        <w:gridCol w:w="109"/>
        <w:gridCol w:w="109"/>
        <w:gridCol w:w="420"/>
        <w:gridCol w:w="420"/>
        <w:gridCol w:w="60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Fiber Route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Copper Route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Route Miles</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TX</w:t>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TN</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333,700</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21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Fiber Segment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Fiber’s network properties include its fiber route miles and wireless communications towers. Below is a geographic distribution summary of approximate fiber route miles and wireless communications towers as of December 31, 2023:</w:t>
      </w:r>
    </w:p>
    <w:tbl>
      <w:tblPr>
        <w:tblW w:w="2206" w:type="dxa"/>
        <w:jc w:val="center"/>
        <w:tblInd w:w="0" w:type="dxa"/>
        <w:tblLayout w:type="fixed"/>
        <w:tblCellMar>
          <w:top w:w="28" w:type="dxa"/>
          <w:left w:w="28" w:type="dxa"/>
          <w:bottom w:w="28" w:type="dxa"/>
          <w:right w:w="28" w:type="dxa"/>
        </w:tblCellMar>
      </w:tblPr>
      <w:tblGrid>
        <w:gridCol w:w="277"/>
        <w:gridCol w:w="244"/>
        <w:gridCol w:w="245"/>
        <w:gridCol w:w="420"/>
        <w:gridCol w:w="420"/>
        <w:gridCol w:w="60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1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Fiber Route Miles</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TX</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13 states.</w:t>
      </w:r>
    </w:p>
    <w:tbl>
      <w:tblPr>
        <w:tblW w:w="1442" w:type="dxa"/>
        <w:jc w:val="center"/>
        <w:tblInd w:w="0" w:type="dxa"/>
        <w:tblLayout w:type="fixed"/>
        <w:tblCellMar>
          <w:top w:w="28" w:type="dxa"/>
          <w:left w:w="28" w:type="dxa"/>
          <w:bottom w:w="28" w:type="dxa"/>
          <w:right w:w="28" w:type="dxa"/>
        </w:tblCellMar>
      </w:tblPr>
      <w:tblGrid>
        <w:gridCol w:w="277"/>
        <w:gridCol w:w="244"/>
        <w:gridCol w:w="245"/>
        <w:gridCol w:w="198"/>
        <w:gridCol w:w="198"/>
        <w:gridCol w:w="28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Towers</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3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 description of legal proceedings can be found in </w:t>
      </w:r>
      <w:hyperlink w:anchor="i374575ee8ecb4d8c9aaa6bdb34828ed2_154">
        <w:r>
          <w:rPr>
            <w:rStyle w:val="InternetLink"/>
            <w:rFonts w:ascii="Times New Roman;sans-serif" w:hAnsi="Times New Roman;sans-serif"/>
            <w:b w:val="false"/>
            <w:color w:val="0000FF"/>
            <w:sz w:val="20"/>
            <w:u w:val="single"/>
            <w:shd w:fill="FFFFFF" w:val="clear"/>
          </w:rPr>
          <w:t>Note 17</w:t>
        </w:r>
      </w:hyperlink>
      <w:r>
        <w:rPr>
          <w:color w:val="000000"/>
          <w:shd w:fill="FFFFFF" w:val="clear"/>
        </w:rPr>
        <w:t xml:space="preserve"> </w:t>
      </w:r>
      <w:r>
        <w:rPr>
          <w:rFonts w:ascii="Times New Roman;sans-serif" w:hAnsi="Times New Roman;sans-serif"/>
          <w:b w:val="false"/>
          <w:color w:val="000000"/>
          <w:sz w:val="20"/>
          <w:shd w:fill="FFFFFF" w:val="clear"/>
        </w:rPr>
        <w:t>- Commitments and Contingencies to our consolidated financial statements in Part II, Item 8 “Financial Statements and Supplementary Data,” of this Annual Report on Form 10-K and is incorporated by reference into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Global Select Market under the symbol “UNIT.”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240" w:after="283"/>
        <w:jc w:val="left"/>
        <w:rPr/>
      </w:pPr>
      <w:r>
        <w:rPr>
          <w:rFonts w:ascii="Times New Roman;sans-serif" w:hAnsi="Times New Roman;sans-serif"/>
          <w:b w:val="false"/>
          <w:color w:val="000000"/>
          <w:sz w:val="20"/>
        </w:rPr>
        <w:t xml:space="preserve">As of February 22, 2024, </w:t>
      </w:r>
      <w:r>
        <w:rPr>
          <w:rFonts w:ascii="Times New Roman;sans-serif" w:hAnsi="Times New Roman;sans-serif"/>
          <w:b w:val="false"/>
          <w:color w:val="000000"/>
          <w:sz w:val="20"/>
          <w:shd w:fill="FFFFFF" w:val="clear"/>
        </w:rPr>
        <w:t>the closing price of our common stock was $5.66 per share as reported on the NASDAQ Global Select Market. As of February 22, 2024, we had 238,751,855 outstanding shares of common stock, and there were approximately 15,883 registered holders of record of Uniti’s common stock.</w:t>
      </w:r>
      <w:r>
        <w:rPr>
          <w:color w:val="000000"/>
        </w:rPr>
        <w:t xml:space="preserve"> </w:t>
      </w:r>
      <w:r>
        <w:rPr>
          <w:rFonts w:ascii="Times New Roman;sans-serif" w:hAnsi="Times New Roman;sans-serif"/>
          <w:b w:val="false"/>
          <w:color w:val="000000"/>
          <w:sz w:val="20"/>
        </w:rPr>
        <w:t>A substantially greater number of holders of Uniti common stock are “street name” or beneficial holders, whose shares of record are held by banks, brokers, and other financial institutions.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 (Distributions)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with respect to our common stock are characterized for federal income tax purposes as taxable ordinary dividends, capital gains dividends, non-dividend distributions or a combination thereof. It has been our policy to declare dividends to common shareholders so as to comply with the provisions of the Internal Revenue Code governing REITs.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Performance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shows a comparison from December 31, 2018 through December 31, 2023 on the NASDAQ Global Select Market of the cumulative total return for our common stock, the Standard &amp; Poor's 400 Stock Index (S&amp;P 400 Index), and the MSCI US REIT Index. The graph assumes that $100 was invested at the market open on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and that all dividends were reinvested in the common stock of Uniti, the S&amp;P 400 Index and the MSCI US REIT Index. The stock price performance of the following graph is not necessarily indicative of future stock price performance.</w:t>
      </w:r>
    </w:p>
    <w:p>
      <w:pPr>
        <w:pStyle w:val="TextBody"/>
        <w:bidi w:val="0"/>
        <w:spacing w:before="240" w:after="283"/>
        <w:jc w:val="left"/>
        <w:rPr/>
      </w:pPr>
      <w:r>
        <w:rPr/>
        <w:drawing>
          <wp:inline distT="0" distB="0" distL="0" distR="0">
            <wp:extent cx="6296025" cy="4229100"/>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6296025" cy="4229100"/>
                    </a:xfrm>
                    <a:prstGeom prst="rect">
                      <a:avLst/>
                    </a:prstGeom>
                  </pic:spPr>
                </pic:pic>
              </a:graphicData>
            </a:graphic>
          </wp:inline>
        </w:drawing>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Cumulative Total Stockholder Returns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Based on Investment of $100.00 Beginning on December 31, 2018</w:t>
      </w:r>
    </w:p>
    <w:tbl>
      <w:tblPr>
        <w:tblW w:w="8308" w:type="dxa"/>
        <w:jc w:val="left"/>
        <w:tblInd w:w="0" w:type="dxa"/>
        <w:tblLayout w:type="fixed"/>
        <w:tblCellMar>
          <w:top w:w="28" w:type="dxa"/>
          <w:left w:w="28" w:type="dxa"/>
          <w:bottom w:w="28" w:type="dxa"/>
          <w:right w:w="28" w:type="dxa"/>
        </w:tblCellMar>
      </w:tblPr>
      <w:tblGrid>
        <w:gridCol w:w="677"/>
        <w:gridCol w:w="597"/>
        <w:gridCol w:w="600"/>
        <w:gridCol w:w="216"/>
        <w:gridCol w:w="738"/>
        <w:gridCol w:w="111"/>
        <w:gridCol w:w="240"/>
        <w:gridCol w:w="701"/>
        <w:gridCol w:w="124"/>
        <w:gridCol w:w="240"/>
        <w:gridCol w:w="701"/>
        <w:gridCol w:w="124"/>
        <w:gridCol w:w="216"/>
        <w:gridCol w:w="738"/>
        <w:gridCol w:w="111"/>
        <w:gridCol w:w="240"/>
        <w:gridCol w:w="701"/>
        <w:gridCol w:w="124"/>
        <w:gridCol w:w="238"/>
        <w:gridCol w:w="697"/>
        <w:gridCol w:w="174"/>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12/31/2018</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12/31/2019</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12/31/2020</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12/31/2021</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12/31/2022</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12/31/2023</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400 Index</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MSCI US REIT Index</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provides information regarding shares withheld from Uniti employees to satisfy minimum statutory tax withholding obligations arising from the vesting of restricted stock granted under the Uniti Group Inc. 2015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Plan. The shares of common stock withheld to satisfy tax withholding obligations may be deemed purchases of such shares required to be disclosed pursuant to this Item 5.</w:t>
      </w:r>
    </w:p>
    <w:tbl>
      <w:tblPr>
        <w:tblW w:w="10205" w:type="dxa"/>
        <w:jc w:val="left"/>
        <w:tblInd w:w="0" w:type="dxa"/>
        <w:tblLayout w:type="fixed"/>
        <w:tblCellMar>
          <w:top w:w="28" w:type="dxa"/>
          <w:left w:w="28" w:type="dxa"/>
          <w:bottom w:w="28" w:type="dxa"/>
          <w:right w:w="28" w:type="dxa"/>
        </w:tblCellMar>
      </w:tblPr>
      <w:tblGrid>
        <w:gridCol w:w="674"/>
        <w:gridCol w:w="462"/>
        <w:gridCol w:w="472"/>
        <w:gridCol w:w="109"/>
        <w:gridCol w:w="109"/>
        <w:gridCol w:w="109"/>
        <w:gridCol w:w="549"/>
        <w:gridCol w:w="437"/>
        <w:gridCol w:w="439"/>
        <w:gridCol w:w="109"/>
        <w:gridCol w:w="109"/>
        <w:gridCol w:w="109"/>
        <w:gridCol w:w="312"/>
        <w:gridCol w:w="756"/>
        <w:gridCol w:w="161"/>
        <w:gridCol w:w="109"/>
        <w:gridCol w:w="109"/>
        <w:gridCol w:w="109"/>
        <w:gridCol w:w="766"/>
        <w:gridCol w:w="766"/>
        <w:gridCol w:w="768"/>
        <w:gridCol w:w="109"/>
        <w:gridCol w:w="109"/>
        <w:gridCol w:w="109"/>
        <w:gridCol w:w="682"/>
        <w:gridCol w:w="682"/>
        <w:gridCol w:w="971"/>
      </w:tblGrid>
      <w:tr>
        <w:trPr/>
        <w:tc>
          <w:tcPr>
            <w:tcW w:w="67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w:t>
            </w:r>
          </w:p>
        </w:tc>
      </w:tr>
      <w:tr>
        <w:trPr/>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to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to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to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13,029 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45"/>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average price paid per share is the weighted-average of the fair market prices at which we calculated the number of shares withheld to cover tax withholdings for the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section generally discusses 2023 and 2022 items and year-to-year comparisons between 2023 and 2022. Discussions of 2021 items and year-to-year comparisons between 2022 and 2021 that are not included in this Annual Report on Form 10-K can be found in “Management’s Discussion and Analysis of Financial Condition and Results of Operations” in Part II, Item 7 of our Annual Report on Form 10-K for the year ended December 31, 2022 filed with the Securities and Exchange Commission on February 28, 2023, as amended by Amendment No. 1 thereto filed on Form 10-K/A with the SEC on March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Company Description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is an independent, internally managed REIT engaged in the acquisition and construction of mission critical infrastructure in the communications industry. We are principally focused on acquiring and constructing fiber optic, copper and coaxial broadband networks and data centers.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and certain aspects of our leasing business, Uniti Leasing, as taxable REIT subsidiaries ("TRSs"). TRSs enable us to engage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activities that result in income that does not constitute qualifying income for a REIT. Our TRSs are subject to U.S. federal, state and local corporate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2023, we are the sole general partner of the Operating Partnership and own approximately 99.96% of the partnership interests in the Operating Partnership. In addition, we have undertaken a series of transactions to permit us to hold certain assets indirectly through subsidiaries that are taxed as REITs, which may also facilitate future acquisition opportunities.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aim to grow and diversify our portfolio and tenant base by pursuing a range of transaction structures with communication service providers, including (i) 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as two reportable business segments, in addition to our corporate operations:</w:t>
      </w:r>
    </w:p>
    <w:p>
      <w:pPr>
        <w:pStyle w:val="TextBody"/>
        <w:bidi w:val="0"/>
        <w:spacing w:lineRule="auto" w:line="288" w:before="240" w:after="283"/>
        <w:jc w:val="left"/>
        <w:rPr/>
      </w:pPr>
      <w:r>
        <w:rPr>
          <w:rFonts w:ascii="Times New Roman;sans-serif" w:hAnsi="Times New Roman;sans-serif"/>
          <w:b w:val="false"/>
          <w:i/>
          <w:color w:val="000000"/>
          <w:sz w:val="20"/>
          <w:u w:val="single"/>
        </w:rPr>
        <w:t>Leasing Segment (Uniti Leasing)</w:t>
      </w:r>
      <w:r>
        <w:rPr>
          <w:rFonts w:ascii="Times New Roman;sans-serif" w:hAnsi="Times New Roman;sans-serif"/>
          <w:b w:val="false"/>
          <w:color w:val="000000"/>
          <w:sz w:val="20"/>
        </w:rPr>
        <w:t>: Represents the results from our leasing business, Uniti Leasing, which is engaged in the acquisition and construction of mission-critical 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also operated through taxable REIT subsidiaries.</w:t>
      </w:r>
    </w:p>
    <w:p>
      <w:pPr>
        <w:pStyle w:val="TextBody"/>
        <w:bidi w:val="0"/>
        <w:spacing w:lineRule="auto" w:line="288" w:before="240" w:after="283"/>
        <w:jc w:val="left"/>
        <w:rPr/>
      </w:pPr>
      <w:r>
        <w:rPr>
          <w:rFonts w:ascii="Times New Roman;sans-serif" w:hAnsi="Times New Roman;sans-serif"/>
          <w:b w:val="false"/>
          <w:i/>
          <w:color w:val="000000"/>
          <w:sz w:val="20"/>
          <w:u w:val="single"/>
        </w:rPr>
        <w:t>Fiber Segment (Uniti Fiber)</w:t>
      </w:r>
      <w:r>
        <w:rPr>
          <w:rFonts w:ascii="Times New Roman;sans-serif" w:hAnsi="Times New Roman;sans-serif"/>
          <w:b w:val="false"/>
          <w:color w:val="000000"/>
          <w:sz w:val="20"/>
        </w:rPr>
        <w:t>: Represents the operations of our fiber business, Uniti Fiber,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color w:val="000000"/>
          <w:sz w:val="20"/>
        </w:rPr>
        <w:t xml:space="preserve">: Represents our corporate office and shared service functions. Certain costs and expenses, primarily related to headcount, information technology systems, insurance, professional fees and similar charges, that are directly attributable to operations of our business segments are allocated to the respective segments. </w:t>
      </w:r>
    </w:p>
    <w:p>
      <w:pPr>
        <w:pStyle w:val="TextBody"/>
        <w:bidi w:val="0"/>
        <w:spacing w:lineRule="auto" w:line="288" w:before="240" w:after="283"/>
        <w:jc w:val="left"/>
        <w:rPr/>
      </w:pPr>
      <w:r>
        <w:rPr>
          <w:rFonts w:ascii="Times New Roman;sans-serif" w:hAnsi="Times New Roman;sans-serif"/>
          <w:b w:val="false"/>
          <w:color w:val="000000"/>
          <w:sz w:val="20"/>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w:t>
      </w:r>
      <w:r>
        <w:rPr>
          <w:rFonts w:ascii="Times New Roman;sans-serif" w:hAnsi="Times New Roman;sans-serif"/>
          <w:b w:val="false"/>
          <w:color w:val="000000"/>
          <w:sz w:val="20"/>
          <w:shd w:fill="FFFFFF" w:val="clear"/>
        </w:rPr>
        <w:t xml:space="preserve">expense and the impact, which may be recurring in nature, of acquisition, pursuit, transaction and integration related costs (including unsuccessful acquisition pursuit costs), costs associated with Windstream’s bankruptcy, costs associated with litigation claims made against us, costs associated with the implementation of our enterprise resource planning system, goodwill impairment charges,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t>
      </w:r>
      <w:r>
        <w:rPr>
          <w:rFonts w:ascii="Times New Roman;sans-serif" w:hAnsi="Times New Roman;sans-serif"/>
          <w:b w:val="false"/>
          <w:color w:val="000000"/>
          <w:sz w:val="20"/>
        </w:rPr>
        <w:t>For more information on Adjusted EBITDA, see “Non-GAAP Financial Measures.” Detailed information about our segments can be found in Note 16 to our consolidated financial statements contained in Part II, Item 8 “Financial Statements and Supplementary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Significant Business Developments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Asset-Backed Securities Facility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2024, Uniti Fiber Bridge Borrower LLC (the “ABS Borrower”), Uniti Fiber Bridge HoldCo LLC and Uniti Fiber GulfCo LLC (together, the “ABS Loan Parties”), each an indirect subsidiary of the Company, entered into a bridge loan and security agreement, dated as of February 23, 2024 (the “ABS Loan Agreement”) by and among the ABS Loan Parties, Wilmington Trust, National Association, as administrative agent, collateral agent, account bank and verification agent, Barclays Bank PLC, as facility agent, and the lenders identified therein.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ABS Loan Agreement provides for a secured, multi-draw term loan facility of up to $350 million (the “ABS Loan Facility”). Unless otherwise terminated pursuant to the terms of the ABS Loan Agreement, the ABS Loan Facility matures on the date that is 18 months from the initial draw thereunder (the “Closing Date”). The Company intends to refinance the ABS Loan Facility in full with proceeds from a long-term ABS facility secured primarily by certain Uniti Fiber network assets.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outstanding under the ABS Loan Facility will bear interest at a floating rate equal to, at the Company’s option, either (i) the one-month or three-month Secured Overnight Financing Rate (“SOFR”), plus a spread of 3.75% per annum or (ii) Base Rate (as defined in the ABS Loan Agreement), plus a spread of 2.75% per annum; provided that the spread will automatically increase to (a) 4.50% per annum in the case of loans bearing interest based on SOFR and 3.50% per annum in the case of loans bearing interest based on Base Rate, in each case to the extent outstanding on and after the date that is 12 months following the Closing Date and (b) 5.25% per annum in the case of loans bearing interest based on SOFR and 4.25% per annum in the case of loans bearing interest based on Base Rate, in each case to the extent outstanding on and after the date that is 15 months following the Closing Date. The Company intends to cap SOFR interest expense for the duration of the ABS Loan Facility pursuant to an interest rate protection agreement.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ABS Loan Facility, the Company formed Uniti Fiber ABS Parent LLC, an indirect subsidiary that qualifies as a bankruptcy-remote special purpose entity (“ABS Parent”), and directed the formation of the ABS Loan Parties, which are direct and indirect subsidiaries of ABS Parent. Each of the ABS Loan Parties is a Delaware limited liability company and a special purpose, bankruptcy-remote, indirect subsidiary of the Company. The ABS Loan Facility is secured by equity in the ABS Borrower and substantially all of the assets of the ABS Loan Parties (subject to certain customary limited exceptions) and is non-recourse to the Company. Each of the ABS Loan Parties and ABS Parent was designated as an unrestricted subsidiary under the Credit Agreement (as defined herein) and the applicable indentures governing the Company’s outstanding senior notes. The assets of the ABS Loan Parties will only be available for payment of the obligations arising under the ABS Loan Agreement and will not be available to pay any obligations or claims of the Company’s other creditors.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initial funding under the ABS Loan Facility on the Closing Date, the Company will, directly or indirectly, (i) transfer certain Uniti Fiber non-regulated and interstate customer contracts and related equipment to the ABS Loan Parties and (ii) grant an indefeasible right of use in the related fiber network assets to such ABS Loan Parties. In addition, certain of the ABS Loan Parties will enter into a management agreement (the “Management Agreement”) with Uniti Fiber Holdings Inc. (the “Manager”), pursuant to which the Manager will be responsible for servicing and administering the assets securing the ABS Loan Facility and be permitted to make reimbursable servicing advances in respect of the collateral securing the ABS Loan Facility under certain circumstances.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ABS Loan Agreement contains customary covenants limiting the ability of the ABS Loan Parties to: incur or guarantee additional indebtedness; pay dividends or distributions on, or redeem or repurchase, capital stock; make certain investments or other restricted payments; sell fiber network assets; enter into transactions with affiliates; and create restrictions on the ability of the ABS Loan Parties to incur liens on their assets constituting collateral to secure obligations under the ABS Loan Agreement. These covenants are subject to a number of limitations, qualifications and exceptions. The ABS Loan Agreement also contains a maximum leverage financial maintenance covenant and customary events of default.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CableSouth </w:t>
      </w:r>
    </w:p>
    <w:p>
      <w:pPr>
        <w:pStyle w:val="TextBody"/>
        <w:bidi w:val="0"/>
        <w:spacing w:lineRule="auto" w:line="26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2018, we acquired certain fiber assets from CableSouth Media, LLC (“CableSouth”) and leased back certain of those acquired assets to CableSouth pursuant to a triple-net lease.</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shd w:fill="FFFFFF" w:val="clear"/>
        </w:rPr>
        <w:t xml:space="preserve">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"Transaction"). The Transaction closed on </w:t>
      </w:r>
      <w:r>
        <w:rPr>
          <w:rFonts w:ascii="Times New Roman;sans-serif" w:hAnsi="Times New Roman;sans-serif"/>
          <w:b w:val="false"/>
          <w:color w:val="000000"/>
          <w:sz w:val="20"/>
        </w:rPr>
        <w:t>January 31</w:t>
      </w:r>
      <w:r>
        <w:rPr>
          <w:rFonts w:ascii="Times New Roman;sans-serif" w:hAnsi="Times New Roman;sans-serif"/>
          <w:b w:val="false"/>
          <w:color w:val="000000"/>
          <w:sz w:val="20"/>
          <w:shd w:fill="FFFFFF" w:val="clear"/>
        </w:rPr>
        <w:t xml:space="preserve">, 2024.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76" w:before="0" w:after="0"/>
        <w:jc w:val="left"/>
        <w:rPr/>
      </w:pPr>
      <w:r>
        <w:rPr>
          <w:rFonts w:ascii="Times New Roman;sans-serif" w:hAnsi="Times New Roman;sans-serif"/>
          <w:b w:val="false"/>
          <w:color w:val="000000"/>
          <w:sz w:val="20"/>
          <w:shd w:fill="FFFFFF" w:val="clear"/>
        </w:rPr>
        <w:t xml:space="preserve">Notes 7 and 24 </w:t>
      </w:r>
      <w:r>
        <w:rPr>
          <w:rFonts w:ascii="Times New Roman;sans-serif" w:hAnsi="Times New Roman;sans-serif"/>
          <w:b w:val="false"/>
          <w:color w:val="000000"/>
          <w:sz w:val="20"/>
        </w:rPr>
        <w:t>to our consolidated financial statements contained in Part II, Item 8 “Financial Statements and Supplementary Data”</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pPr>
      <w:r>
        <w:rPr>
          <w:rFonts w:ascii="Times New Roman;sans-serif" w:hAnsi="Times New Roman;sans-serif"/>
          <w:b w:val="false"/>
          <w:color w:val="000000"/>
          <w:sz w:val="20"/>
          <w:u w:val="single"/>
        </w:rPr>
        <w:t>Sale of BB Fiber Holdings Interest</w:t>
      </w:r>
      <w:r>
        <w:rPr>
          <w:color w:val="000000"/>
        </w:rPr>
        <w:t xml:space="preserve"> </w:t>
      </w:r>
    </w:p>
    <w:p>
      <w:pPr>
        <w:pStyle w:val="TextBody"/>
        <w:bidi w:val="0"/>
        <w:spacing w:lineRule="auto" w:line="288" w:before="240" w:after="283"/>
        <w:jc w:val="left"/>
        <w:rPr>
          <w:rFonts w:ascii="Times New Roman;sans-serif" w:hAnsi="Times New Roman;sans-serif"/>
          <w:b w:val="false"/>
          <w:color w:val="212529"/>
          <w:sz w:val="20"/>
        </w:rPr>
      </w:pPr>
      <w:r>
        <w:rPr>
          <w:rFonts w:ascii="Times New Roman;sans-serif" w:hAnsi="Times New Roman;sans-serif"/>
          <w:b w:val="false"/>
          <w:color w:val="212529"/>
          <w:sz w:val="20"/>
        </w:rPr>
        <w:t xml:space="preserve">On December 21, 2023, the Company completed the sale of its investment in BB Fiber Holdings LLC to MIP IV MidWest Fiber Parent LLC, our partner in the investment, for total cash consideration of $40.0 million. As a result of the transaction, during the fourth quarter of 2023 we recorded a pre-tax gain of $2.6 million within other expense (income), net and $0.2 million of income tax expense within our Consolidated Statements of (Loss) Income. </w:t>
      </w:r>
    </w:p>
    <w:p>
      <w:pPr>
        <w:pStyle w:val="TextBody"/>
        <w:bidi w:val="0"/>
        <w:spacing w:lineRule="auto" w:line="26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Secured Notes Offering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2023, the Operating Partnership, Uniti Fiber Holdings Inc., Uniti Group Finance 2019 Inc. and CSL Capital, LLC (collectively the "Issuers") issued $2.6 billion aggregate principal amount of the 10.50% Secured Notes due February 2028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During the year ended December 31, 2023, we recognized a $32.3 million loss on the extinguishment of the 2025 Secured Notes within interest expense, net on the Consolidated Statements of (Loss) Income, which included $10.3 million of non-cash interest expense for the write off of the unamortized discount and deferred financing costs and $22.0 million of cash interest expense for the redemption premium.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February 2028 Secured Notes are fully and unconditionally guaranteed, jointly and severally, on a senior unsecured basis by the Company and on a senior secured basis by each of the Operating Partnership’s existing and future domestic restricted subsidiaries (other than the Issuers) that guarantees indebtedness under the Company’s senior secured credit facilities and existing secured notes.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Exchangeable Notes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On March 21, 2023, the Company repurchased approximately $15.0 million </w:t>
      </w:r>
      <w:r>
        <w:rPr>
          <w:rFonts w:ascii="Times New Roman;sans-serif" w:hAnsi="Times New Roman;sans-serif"/>
          <w:b w:val="false"/>
          <w:color w:val="000000"/>
          <w:sz w:val="20"/>
          <w:shd w:fill="FFFFFF" w:val="clear"/>
        </w:rPr>
        <w:t>aggregate principal amount of the 4.00% exchangeable senior notes due 2024 (</w:t>
      </w:r>
      <w:r>
        <w:rPr>
          <w:rFonts w:ascii="Times New Roman;sans-serif" w:hAnsi="Times New Roman;sans-serif"/>
          <w:b w:val="false"/>
          <w:color w:val="000000"/>
          <w:sz w:val="20"/>
        </w:rPr>
        <w:t>the “Exchangeable Notes") for total cash consideration of $13.7 million. During the year ended December 31, 2023, we recorded a $1.1 million gain on extinguishment of debt, net within interest expense on our Consolidated Statements of (Loss) Income, which included $0.1 million of non-cash interest expense for the write off of the unamortized discount and deferred financing costs.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Amendments to Credit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2023, we entered into an amendment (the "Eighth Amendment") to our Credit Agreement (as defined below). Pursuant to the Eighth Amendment, commitments from existing lenders under the Credit Agreement's Revolving Credit Facility (as defined below) have been extended to September 24, 2027. The Eighth Amendment also transitioned the Revolving Credit Facility from LIBOR to Term SOFR, and in connection with that change, set the credit spread adjustment to ten basis points for all interest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years ended December 31,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expressed as dollars and as a percentage of total revenues for the periods indicated:</w:t>
      </w:r>
    </w:p>
    <w:tbl>
      <w:tblPr>
        <w:tblW w:w="10205" w:type="dxa"/>
        <w:jc w:val="left"/>
        <w:tblInd w:w="0" w:type="dxa"/>
        <w:tblLayout w:type="fixed"/>
        <w:tblCellMar>
          <w:top w:w="28" w:type="dxa"/>
          <w:left w:w="28" w:type="dxa"/>
          <w:bottom w:w="28" w:type="dxa"/>
          <w:right w:w="28" w:type="dxa"/>
        </w:tblCellMar>
      </w:tblPr>
      <w:tblGrid>
        <w:gridCol w:w="1540"/>
        <w:gridCol w:w="1138"/>
        <w:gridCol w:w="1145"/>
        <w:gridCol w:w="109"/>
        <w:gridCol w:w="109"/>
        <w:gridCol w:w="109"/>
        <w:gridCol w:w="319"/>
        <w:gridCol w:w="1249"/>
        <w:gridCol w:w="164"/>
        <w:gridCol w:w="109"/>
        <w:gridCol w:w="109"/>
        <w:gridCol w:w="109"/>
        <w:gridCol w:w="260"/>
        <w:gridCol w:w="260"/>
        <w:gridCol w:w="261"/>
        <w:gridCol w:w="109"/>
        <w:gridCol w:w="109"/>
        <w:gridCol w:w="109"/>
        <w:gridCol w:w="319"/>
        <w:gridCol w:w="1249"/>
        <w:gridCol w:w="164"/>
        <w:gridCol w:w="109"/>
        <w:gridCol w:w="109"/>
        <w:gridCol w:w="109"/>
        <w:gridCol w:w="242"/>
        <w:gridCol w:w="242"/>
        <w:gridCol w:w="345"/>
      </w:tblGrid>
      <w:tr>
        <w:trPr/>
        <w:tc>
          <w:tcPr>
            <w:tcW w:w="154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Revenues</w:t>
            </w:r>
          </w:p>
        </w:tc>
      </w:tr>
      <w:tr>
        <w:trPr/>
        <w:tc>
          <w:tcPr>
            <w:tcW w:w="38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72.9%</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79.3%</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236,433 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1,149,831 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1,128,847 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33.4%</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(152,885)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3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revenues, Adjusted EBITDA and net loss of our reportable segments for the years ended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10205" w:type="dxa"/>
        <w:jc w:val="center"/>
        <w:tblInd w:w="0" w:type="dxa"/>
        <w:tblLayout w:type="fixed"/>
        <w:tblCellMar>
          <w:top w:w="28" w:type="dxa"/>
          <w:left w:w="28" w:type="dxa"/>
          <w:bottom w:w="28" w:type="dxa"/>
          <w:right w:w="28" w:type="dxa"/>
        </w:tblCellMar>
      </w:tblPr>
      <w:tblGrid>
        <w:gridCol w:w="1424"/>
        <w:gridCol w:w="1084"/>
        <w:gridCol w:w="1091"/>
        <w:gridCol w:w="109"/>
        <w:gridCol w:w="109"/>
        <w:gridCol w:w="109"/>
        <w:gridCol w:w="211"/>
        <w:gridCol w:w="826"/>
        <w:gridCol w:w="109"/>
        <w:gridCol w:w="109"/>
        <w:gridCol w:w="109"/>
        <w:gridCol w:w="109"/>
        <w:gridCol w:w="211"/>
        <w:gridCol w:w="826"/>
        <w:gridCol w:w="109"/>
        <w:gridCol w:w="109"/>
        <w:gridCol w:w="109"/>
        <w:gridCol w:w="109"/>
        <w:gridCol w:w="211"/>
        <w:gridCol w:w="770"/>
        <w:gridCol w:w="109"/>
        <w:gridCol w:w="109"/>
        <w:gridCol w:w="109"/>
        <w:gridCol w:w="109"/>
        <w:gridCol w:w="301"/>
        <w:gridCol w:w="1394"/>
        <w:gridCol w:w="221"/>
      </w:tblGrid>
      <w:tr>
        <w:trPr/>
        <w:tc>
          <w:tcPr>
            <w:tcW w:w="142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of Reportable Segments </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1,149,831 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(81,749)</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24"/>
        <w:gridCol w:w="1084"/>
        <w:gridCol w:w="1091"/>
        <w:gridCol w:w="109"/>
        <w:gridCol w:w="109"/>
        <w:gridCol w:w="109"/>
        <w:gridCol w:w="211"/>
        <w:gridCol w:w="826"/>
        <w:gridCol w:w="109"/>
        <w:gridCol w:w="109"/>
        <w:gridCol w:w="109"/>
        <w:gridCol w:w="109"/>
        <w:gridCol w:w="211"/>
        <w:gridCol w:w="826"/>
        <w:gridCol w:w="109"/>
        <w:gridCol w:w="109"/>
        <w:gridCol w:w="109"/>
        <w:gridCol w:w="109"/>
        <w:gridCol w:w="211"/>
        <w:gridCol w:w="770"/>
        <w:gridCol w:w="109"/>
        <w:gridCol w:w="109"/>
        <w:gridCol w:w="109"/>
        <w:gridCol w:w="109"/>
        <w:gridCol w:w="301"/>
        <w:gridCol w:w="1394"/>
        <w:gridCol w:w="221"/>
      </w:tblGrid>
      <w:tr>
        <w:trPr/>
        <w:tc>
          <w:tcPr>
            <w:tcW w:w="142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of Reportable Segments </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1,128,847 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905,896 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7067" w:type="dxa"/>
        <w:jc w:val="center"/>
        <w:tblInd w:w="0" w:type="dxa"/>
        <w:tblLayout w:type="fixed"/>
        <w:tblCellMar>
          <w:top w:w="28" w:type="dxa"/>
          <w:left w:w="28" w:type="dxa"/>
          <w:bottom w:w="28" w:type="dxa"/>
          <w:right w:w="28" w:type="dxa"/>
        </w:tblCellMar>
      </w:tblPr>
      <w:tblGrid>
        <w:gridCol w:w="701"/>
        <w:gridCol w:w="615"/>
        <w:gridCol w:w="619"/>
        <w:gridCol w:w="488"/>
        <w:gridCol w:w="488"/>
        <w:gridCol w:w="176"/>
        <w:gridCol w:w="114"/>
        <w:gridCol w:w="114"/>
        <w:gridCol w:w="114"/>
        <w:gridCol w:w="488"/>
        <w:gridCol w:w="488"/>
        <w:gridCol w:w="176"/>
        <w:gridCol w:w="114"/>
        <w:gridCol w:w="114"/>
        <w:gridCol w:w="114"/>
        <w:gridCol w:w="627"/>
        <w:gridCol w:w="627"/>
        <w:gridCol w:w="890"/>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Metrics</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Increase / (Decrease)</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metrics: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 route miles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connections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revenues are primarily attributable to rental revenue from leasing our Distribution Systems to Windstream pursuant to the Windstream Leases.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is $672.2 million, and is subject to annual escalation at a rate of 0.5%. 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0.5%. For a description of the Windstream Leases, see Part II, Item 7 Management’s Discussion and Analysis of Financial Condition and Results of Operations in “Liquidity and Capital Resources—Windstream Leases.” </w:t>
      </w:r>
    </w:p>
    <w:tbl>
      <w:tblPr>
        <w:tblW w:w="9808" w:type="dxa"/>
        <w:jc w:val="center"/>
        <w:tblInd w:w="0" w:type="dxa"/>
        <w:tblLayout w:type="fixed"/>
        <w:tblCellMar>
          <w:top w:w="28" w:type="dxa"/>
          <w:left w:w="28" w:type="dxa"/>
          <w:bottom w:w="28" w:type="dxa"/>
          <w:right w:w="28" w:type="dxa"/>
        </w:tblCellMar>
      </w:tblPr>
      <w:tblGrid>
        <w:gridCol w:w="895"/>
        <w:gridCol w:w="787"/>
        <w:gridCol w:w="792"/>
        <w:gridCol w:w="109"/>
        <w:gridCol w:w="109"/>
        <w:gridCol w:w="109"/>
        <w:gridCol w:w="211"/>
        <w:gridCol w:w="826"/>
        <w:gridCol w:w="109"/>
        <w:gridCol w:w="109"/>
        <w:gridCol w:w="109"/>
        <w:gridCol w:w="109"/>
        <w:gridCol w:w="411"/>
        <w:gridCol w:w="411"/>
        <w:gridCol w:w="1023"/>
        <w:gridCol w:w="109"/>
        <w:gridCol w:w="109"/>
        <w:gridCol w:w="109"/>
        <w:gridCol w:w="211"/>
        <w:gridCol w:w="826"/>
        <w:gridCol w:w="109"/>
        <w:gridCol w:w="109"/>
        <w:gridCol w:w="109"/>
        <w:gridCol w:w="109"/>
        <w:gridCol w:w="384"/>
        <w:gridCol w:w="384"/>
        <w:gridCol w:w="1121"/>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Leasing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TCI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straight-line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Windstream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Leasing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The increase in tenant funded capital improvements ("TCIs") revenue is attributable to continued investment by Windstream. Windstream invested $167.8 million in TCIs during the year ended December 31, 2023, offset by the Growth Capital Improvement reimbursements of capital improvements that were completed in 2022 that, as allowed under the Windstream Leases, were previously classified as TCIs of $35.1 million. The total amount invested in TCIs by Windstream since the inception of the Windstream Leases (including the Master Lease) was $1.2 billion as of December 31, 2023 and $1.1 billion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The increase in GCI revenue is attributable to continued reimbursement by Uniti. Uniti reimbursed $250.0 million in Growth Capital Improvements during the year ended December 31, 2023. </w:t>
      </w:r>
      <w:r>
        <w:rPr>
          <w:rFonts w:ascii="Times New Roman;sans-serif" w:hAnsi="Times New Roman;sans-serif"/>
          <w:b w:val="false"/>
          <w:color w:val="000000"/>
          <w:sz w:val="20"/>
          <w:shd w:fill="FFFFFF" w:val="clear"/>
        </w:rPr>
        <w:t>Subsequent to December 31, 2023, Windstream requested and we reimbursed $79.6 million of qualifying Growth Capital Improvements. As of the date of this Annual Report on Form 10-K, we have reimbursed a total of $873.8 million of Growth Capital Improvements</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For the year ended December 31, 2023, we recognized $78.5 million of revenues from other services including non-Windstream triple-net leasing and dark fiber indefeasible rights of use (“IRU”) arrangements, compared to $76.7 million for the year ended </w:t>
      </w:r>
      <w:r>
        <w:rPr>
          <w:rFonts w:ascii="Times New Roman;sans-serif" w:hAnsi="Times New Roman;sans-serif"/>
          <w:b w:val="false"/>
          <w:color w:val="000000"/>
          <w:sz w:val="20"/>
          <w:shd w:fill="FFFFFF" w:val="clear"/>
        </w:rPr>
        <w:t>December 31, 2022.</w:t>
      </w:r>
      <w:r>
        <w:rPr>
          <w:color w:val="000000"/>
        </w:rPr>
        <w:t xml:space="preserve"> </w:t>
      </w:r>
      <w:r>
        <w:rPr>
          <w:rFonts w:ascii="Times New Roman;sans-serif" w:hAnsi="Times New Roman;sans-serif"/>
          <w:b w:val="false"/>
          <w:color w:val="000000"/>
          <w:sz w:val="20"/>
        </w:rPr>
        <w:t>The increase is primarily driven by revenues from new customer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Windstream Leases, Windstream is required to provide us audited financial statements as of and for the year ended December 31, 2023 (the “2023 Financial Statements”) no later than 90-days after its fiscal year-end. After receipt of the 2023 Financial Statements, Uniti expects to file a Form 10-K/A to include the 2023 Financial Statements in our annual report. As of the date of this Annual Report on Form 10-K, Windstream is current on all lease payments required under the Windstream Leases.</w:t>
      </w:r>
    </w:p>
    <w:p>
      <w:pPr>
        <w:pStyle w:val="TextBody"/>
        <w:bidi w:val="0"/>
        <w:spacing w:lineRule="auto" w:line="288" w:before="240" w:after="283"/>
        <w:jc w:val="left"/>
        <w:rPr/>
      </w:pPr>
      <w:r>
        <w:rPr>
          <w:rFonts w:ascii="Times New Roman;sans-serif" w:hAnsi="Times New Roman;sans-serif"/>
          <w:b w:val="false"/>
          <w:i/>
          <w:color w:val="000000"/>
          <w:sz w:val="20"/>
          <w:u w:val="single"/>
        </w:rPr>
        <w:t xml:space="preserve">Uniti Fiber </w:t>
      </w:r>
      <w:r>
        <w:rPr>
          <w:color w:val="000000"/>
        </w:rPr>
        <w:t xml:space="preserve">– </w:t>
      </w:r>
      <w:r>
        <w:rPr>
          <w:rFonts w:ascii="Times New Roman;sans-serif" w:hAnsi="Times New Roman;sans-serif"/>
          <w:b w:val="false"/>
          <w:color w:val="000000"/>
          <w:sz w:val="20"/>
        </w:rPr>
        <w:t>Revenue components for the Uniti Fiber segment for the years ended December 31, 2023 and 2022 consisted of the following:</w:t>
      </w:r>
    </w:p>
    <w:tbl>
      <w:tblPr>
        <w:tblW w:w="8773" w:type="dxa"/>
        <w:jc w:val="center"/>
        <w:tblInd w:w="0" w:type="dxa"/>
        <w:tblLayout w:type="fixed"/>
        <w:tblCellMar>
          <w:top w:w="28" w:type="dxa"/>
          <w:left w:w="28" w:type="dxa"/>
          <w:bottom w:w="28" w:type="dxa"/>
          <w:right w:w="28" w:type="dxa"/>
        </w:tblCellMar>
      </w:tblPr>
      <w:tblGrid>
        <w:gridCol w:w="814"/>
        <w:gridCol w:w="715"/>
        <w:gridCol w:w="720"/>
        <w:gridCol w:w="109"/>
        <w:gridCol w:w="109"/>
        <w:gridCol w:w="109"/>
        <w:gridCol w:w="211"/>
        <w:gridCol w:w="826"/>
        <w:gridCol w:w="109"/>
        <w:gridCol w:w="109"/>
        <w:gridCol w:w="109"/>
        <w:gridCol w:w="109"/>
        <w:gridCol w:w="479"/>
        <w:gridCol w:w="479"/>
        <w:gridCol w:w="481"/>
        <w:gridCol w:w="109"/>
        <w:gridCol w:w="109"/>
        <w:gridCol w:w="109"/>
        <w:gridCol w:w="211"/>
        <w:gridCol w:w="826"/>
        <w:gridCol w:w="109"/>
        <w:gridCol w:w="109"/>
        <w:gridCol w:w="109"/>
        <w:gridCol w:w="109"/>
        <w:gridCol w:w="435"/>
        <w:gridCol w:w="435"/>
        <w:gridCol w:w="615"/>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Segment Revenues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Dark fiber and small cells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we recognized $297.1 million and $301.4 million of revenue, respectively, in our Uniti Fiber segment. The decrease in revenues of $4.3 million is primarily due to a decrease in E-rate and government revenues of $8.5 million driven primarily by a decrease in equipment and installation sales, lit backhaul services revenues of $4.4 million driven primarily by decreased one-time unsplicing and cancellation fees and $3.6 million of dark fiber and small cells revenue related to one-time early termination and cancellation revenues, partially offset by an increase in Enterprise and wholesale revenues of $12.0 million driven primarily by increased internet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9961" w:type="dxa"/>
        <w:jc w:val="center"/>
        <w:tblInd w:w="0" w:type="dxa"/>
        <w:tblLayout w:type="fixed"/>
        <w:tblCellMar>
          <w:top w:w="28" w:type="dxa"/>
          <w:left w:w="28" w:type="dxa"/>
          <w:bottom w:w="28" w:type="dxa"/>
          <w:right w:w="28" w:type="dxa"/>
        </w:tblCellMar>
      </w:tblPr>
      <w:tblGrid>
        <w:gridCol w:w="1770"/>
        <w:gridCol w:w="1554"/>
        <w:gridCol w:w="1566"/>
        <w:gridCol w:w="109"/>
        <w:gridCol w:w="109"/>
        <w:gridCol w:w="109"/>
        <w:gridCol w:w="330"/>
        <w:gridCol w:w="496"/>
        <w:gridCol w:w="394"/>
        <w:gridCol w:w="109"/>
        <w:gridCol w:w="109"/>
        <w:gridCol w:w="109"/>
        <w:gridCol w:w="330"/>
        <w:gridCol w:w="496"/>
        <w:gridCol w:w="394"/>
        <w:gridCol w:w="109"/>
        <w:gridCol w:w="109"/>
        <w:gridCol w:w="109"/>
        <w:gridCol w:w="292"/>
        <w:gridCol w:w="1145"/>
        <w:gridCol w:w="213"/>
      </w:tblGrid>
      <w:tr>
        <w:trPr/>
        <w:tc>
          <w:tcPr>
            <w:tcW w:w="17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475,492 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358,136 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18,161</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135,517</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Interest expense for the year ended December 31, 2023 increased $135.5 million compared to the year ended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The increase in cash interest expense of $117.4 million is primarily due to higher interest on our secured and unsecured notes, as a result of the refinancing activities which occurred during 2022 and 2023, of $127.4 million, partially offset by a $9.2 million decrease in interest rate swap termination interest which ceased October 2022. Non-cash interest expense increased by $18.2 million, primarily due to the $8.1 million increase in write off of unamortized discount and deferred financing costs, primarily associated with the 2025 Secured Notes (as defined below) during the year ended December 31, 2023, and a decrease in the gain recognized on the partial extinguishment of the Exchangeable Notes (as defined below) of $11.8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p>
      <w:pPr>
        <w:pStyle w:val="TextBody"/>
        <w:bidi w:val="0"/>
        <w:spacing w:lineRule="auto" w:line="288" w:before="240" w:after="283"/>
        <w:jc w:val="left"/>
        <w:rPr/>
      </w:pPr>
      <w:r>
        <w:rPr>
          <w:rFonts w:ascii="Times New Roman;sans-serif" w:hAnsi="Times New Roman;sans-serif"/>
          <w:b w:val="false"/>
          <w:color w:val="000000"/>
          <w:sz w:val="20"/>
        </w:rPr>
        <w:t xml:space="preserve">We incur depreciation and amortization expense related to our property, plant and equipment, corporate assets and intangible assets. Depreciation and amortization </w:t>
      </w:r>
      <w:r>
        <w:rPr>
          <w:rFonts w:ascii="Times New Roman;sans-serif" w:hAnsi="Times New Roman;sans-serif"/>
          <w:b w:val="false"/>
          <w:color w:val="000000"/>
          <w:sz w:val="20"/>
          <w:shd w:fill="FFFFFF" w:val="clear"/>
        </w:rPr>
        <w:t>expense for our reportable segments for the years ended December 31, 2023 and 2022 consisted of the following:</w:t>
      </w:r>
    </w:p>
    <w:tbl>
      <w:tblPr>
        <w:tblW w:w="9707" w:type="dxa"/>
        <w:jc w:val="left"/>
        <w:tblInd w:w="0" w:type="dxa"/>
        <w:tblLayout w:type="fixed"/>
        <w:tblCellMar>
          <w:top w:w="28" w:type="dxa"/>
          <w:left w:w="28" w:type="dxa"/>
          <w:bottom w:w="28" w:type="dxa"/>
          <w:right w:w="28" w:type="dxa"/>
        </w:tblCellMar>
      </w:tblPr>
      <w:tblGrid>
        <w:gridCol w:w="1621"/>
        <w:gridCol w:w="1424"/>
        <w:gridCol w:w="1439"/>
        <w:gridCol w:w="109"/>
        <w:gridCol w:w="109"/>
        <w:gridCol w:w="109"/>
        <w:gridCol w:w="211"/>
        <w:gridCol w:w="826"/>
        <w:gridCol w:w="109"/>
        <w:gridCol w:w="109"/>
        <w:gridCol w:w="109"/>
        <w:gridCol w:w="109"/>
        <w:gridCol w:w="211"/>
        <w:gridCol w:w="826"/>
        <w:gridCol w:w="109"/>
        <w:gridCol w:w="109"/>
        <w:gridCol w:w="109"/>
        <w:gridCol w:w="109"/>
        <w:gridCol w:w="379"/>
        <w:gridCol w:w="1295"/>
        <w:gridCol w:w="276"/>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Increase / (Decrease) </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Depreciation expense increased $6.9 million for the year ended December 31, 2023 as compared to the year ended December 31, 2022. The increase is primarily attributable to asset additions since December 31, 2022.</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Depreciation expense increased $11.0 million for the year ended December 31, 2023 as compared to the year ended December 31, 2022. The increase is primarily attributable to asset additions since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compensation costs, including stock-based compensation awards, professional and legal services, corporate office costs and other costs associated with the administrative activities of our segments.</w:t>
      </w:r>
    </w:p>
    <w:tbl>
      <w:tblPr>
        <w:tblW w:w="10205" w:type="dxa"/>
        <w:jc w:val="center"/>
        <w:tblInd w:w="0" w:type="dxa"/>
        <w:tblLayout w:type="fixed"/>
        <w:tblCellMar>
          <w:top w:w="28" w:type="dxa"/>
          <w:left w:w="28" w:type="dxa"/>
          <w:bottom w:w="28" w:type="dxa"/>
          <w:right w:w="28" w:type="dxa"/>
        </w:tblCellMar>
      </w:tblPr>
      <w:tblGrid>
        <w:gridCol w:w="1018"/>
        <w:gridCol w:w="894"/>
        <w:gridCol w:w="902"/>
        <w:gridCol w:w="109"/>
        <w:gridCol w:w="109"/>
        <w:gridCol w:w="109"/>
        <w:gridCol w:w="211"/>
        <w:gridCol w:w="826"/>
        <w:gridCol w:w="109"/>
        <w:gridCol w:w="109"/>
        <w:gridCol w:w="109"/>
        <w:gridCol w:w="109"/>
        <w:gridCol w:w="623"/>
        <w:gridCol w:w="623"/>
        <w:gridCol w:w="624"/>
        <w:gridCol w:w="109"/>
        <w:gridCol w:w="109"/>
        <w:gridCol w:w="109"/>
        <w:gridCol w:w="211"/>
        <w:gridCol w:w="826"/>
        <w:gridCol w:w="109"/>
        <w:gridCol w:w="109"/>
        <w:gridCol w:w="109"/>
        <w:gridCol w:w="109"/>
        <w:gridCol w:w="560"/>
        <w:gridCol w:w="560"/>
        <w:gridCol w:w="801"/>
      </w:tblGrid>
      <w:tr>
        <w:trPr/>
        <w:tc>
          <w:tcPr>
            <w:tcW w:w="101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Consolidated Revenues</w:t>
            </w:r>
          </w:p>
        </w:tc>
      </w:tr>
      <w:tr>
        <w:trPr/>
        <w:tc>
          <w:tcPr>
            <w:tcW w:w="2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General and administrative expense decreased $1.2 million for the year ended December 31, 2023 as compared to the year ended December 31, 2022. The decrease is primarily attributable to a decrease in personnel expenses of $1.6 million, partially offset by an increase in insurance costs of $0.5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General and administrative expense increased $7.3 million for the year ended December 31, 2023 as compared to the year ended December 31, 2022. The increase is primarily attributable to an increase in personnel expense of $3.6 million, insurance expense of $1.3 million and regulatory expense, driven predominantly by universal service fees of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color w:val="000000"/>
        </w:rPr>
        <w:t xml:space="preserve"> – </w:t>
      </w:r>
      <w:r>
        <w:rPr>
          <w:rFonts w:ascii="Times New Roman;sans-serif" w:hAnsi="Times New Roman;sans-serif"/>
          <w:b w:val="false"/>
          <w:color w:val="000000"/>
          <w:sz w:val="20"/>
        </w:rPr>
        <w:t xml:space="preserve">Corporate general and administrative expense decreased $4.4 million for the year ended December 31, 2023 as compared to the year ended December 31, 2022. The decrease is primarily attributable to a decrease in legal fees, professional fees, and insurance expense of $6.2 million, partially offset by an increase in personnel expense of $1.8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expense consists of network related costs, such as dark fiber and tower rents, lit service and maintenance expense and costs associated with our construction activities.</w:t>
      </w:r>
    </w:p>
    <w:tbl>
      <w:tblPr>
        <w:tblW w:w="9927" w:type="dxa"/>
        <w:jc w:val="center"/>
        <w:tblInd w:w="0" w:type="dxa"/>
        <w:tblLayout w:type="fixed"/>
        <w:tblCellMar>
          <w:top w:w="28" w:type="dxa"/>
          <w:left w:w="28" w:type="dxa"/>
          <w:bottom w:w="28" w:type="dxa"/>
          <w:right w:w="28" w:type="dxa"/>
        </w:tblCellMar>
      </w:tblPr>
      <w:tblGrid>
        <w:gridCol w:w="991"/>
        <w:gridCol w:w="872"/>
        <w:gridCol w:w="881"/>
        <w:gridCol w:w="109"/>
        <w:gridCol w:w="109"/>
        <w:gridCol w:w="109"/>
        <w:gridCol w:w="211"/>
        <w:gridCol w:w="826"/>
        <w:gridCol w:w="109"/>
        <w:gridCol w:w="109"/>
        <w:gridCol w:w="109"/>
        <w:gridCol w:w="109"/>
        <w:gridCol w:w="589"/>
        <w:gridCol w:w="589"/>
        <w:gridCol w:w="591"/>
        <w:gridCol w:w="109"/>
        <w:gridCol w:w="109"/>
        <w:gridCol w:w="109"/>
        <w:gridCol w:w="211"/>
        <w:gridCol w:w="826"/>
        <w:gridCol w:w="109"/>
        <w:gridCol w:w="109"/>
        <w:gridCol w:w="109"/>
        <w:gridCol w:w="109"/>
        <w:gridCol w:w="531"/>
        <w:gridCol w:w="531"/>
        <w:gridCol w:w="752"/>
      </w:tblGrid>
      <w:tr>
        <w:trPr/>
        <w:tc>
          <w:tcPr>
            <w:tcW w:w="9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 Revenues</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Operating expense increased $3.1 million for the year ended December 31, 2023 as compared to the year ended December 31, 2022. The increase is primarily attributable to a $3.9 million increase in leased asset cost resulting from customer growth, partially offset by a decrease in personnel expense of $0.8 million. </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Operating expense decreased $2.0 million for the year ended December 31, 2023 as compared to the year ended December 31, 2022. The decrease is primarily attributable to decreased non-recurring equipment and installation expenses of $5.1 million, unsplicing expenses of $1.6 million, early termination fees of $1.5 million, and personnel expense of $1.4 million, partially offset by increased maintenance and repairs expense of $5.9 million and one-time construction costs of $1.2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 Impairment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macroeconomic and financial market factors, specifically increased interest rates impacting our discount rate, we concluded that it was more likely than not that the fair value of the Uniti Fiber segment, estimated using a combination of the income approach and market approach, is less than its carrying amount. Accordingly, we recorded a $204.0 million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($151.9 million net of tax) goodwill impairment in Uniti Fiber segment during the year ended December 31, 2023 as compared to a $240.5 million ($223.9 million net of tax) goodwill impairment in the Uniti Fiber segment during the year ended December 31, 2022. For additional information on this goodwill impairment see “Critical Accounting Estimate – Goodwill” below and Note 3 of notes to our consolidated financial statements contained in Part II, Item 8 "Financial Statements and Supplementary Data."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Transaction Related and Other Costs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costs include acquisition pursuit, transaction and integration costs, including unsuccessful acquisition pursuit costs. For the year ended December 31, 2023, we incurred $12.6 million of transaction related and other costs, compared to $10.3 million of such costs during the year ended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$18.4 million of other expense for the year ended December 31, 2023, which included $20.6 million of costs related to the issuance of the February 2028 Secured Notes. We recognized $7.3 million of other income for the year ended December 31, 2022, which included $7.9 million in pre-tax gain on the sale of our investment in Harmoni.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benefit recorded for the years ended December 31, 2023 and 2022 relates to the following:</w:t>
      </w:r>
    </w:p>
    <w:tbl>
      <w:tblPr>
        <w:tblW w:w="6410" w:type="dxa"/>
        <w:jc w:val="center"/>
        <w:tblInd w:w="0" w:type="dxa"/>
        <w:tblLayout w:type="fixed"/>
        <w:tblCellMar>
          <w:top w:w="28" w:type="dxa"/>
          <w:left w:w="28" w:type="dxa"/>
          <w:bottom w:w="28" w:type="dxa"/>
          <w:right w:w="28" w:type="dxa"/>
        </w:tblCellMar>
      </w:tblPr>
      <w:tblGrid>
        <w:gridCol w:w="1260"/>
        <w:gridCol w:w="1107"/>
        <w:gridCol w:w="1112"/>
        <w:gridCol w:w="109"/>
        <w:gridCol w:w="109"/>
        <w:gridCol w:w="109"/>
        <w:gridCol w:w="211"/>
        <w:gridCol w:w="796"/>
        <w:gridCol w:w="109"/>
        <w:gridCol w:w="109"/>
        <w:gridCol w:w="109"/>
        <w:gridCol w:w="109"/>
        <w:gridCol w:w="211"/>
        <w:gridCol w:w="79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 (Uniti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(29,031)</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undistributed REIT taxable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state and local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accrual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difference between income tax benefit related to Uniti Fiber pre-tax loss for 2023 versus 2022 is impairment of tax-deductible goodwill.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define “EBITDA” as net income, as defined by GAAP, before interest expense, provision for income taxes and depreciation and amortization. We define “Adjusted EBITDA” as EBITDA before stock-based compensation expense and the impact, which may be recurring in nature, of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defines AFFO, as FFO excluding (i) Transaction Related and Other Costs; (ii) costs related to the litigation settlement with Windstream, accretion on our settlement obligation, and gains on the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our net loss to EBITDA and Adjusted EBITDA and of our net loss attributable to common shareholders to FFO and AFFO for the years ended December 31, 2023 and 2022 is as follows:</w:t>
      </w:r>
    </w:p>
    <w:tbl>
      <w:tblPr>
        <w:tblW w:w="8286" w:type="dxa"/>
        <w:jc w:val="left"/>
        <w:tblInd w:w="0" w:type="dxa"/>
        <w:tblLayout w:type="fixed"/>
        <w:tblCellMar>
          <w:top w:w="28" w:type="dxa"/>
          <w:left w:w="28" w:type="dxa"/>
          <w:bottom w:w="28" w:type="dxa"/>
          <w:right w:w="28" w:type="dxa"/>
        </w:tblCellMar>
      </w:tblPr>
      <w:tblGrid>
        <w:gridCol w:w="1913"/>
        <w:gridCol w:w="1682"/>
        <w:gridCol w:w="1700"/>
        <w:gridCol w:w="109"/>
        <w:gridCol w:w="109"/>
        <w:gridCol w:w="109"/>
        <w:gridCol w:w="211"/>
        <w:gridCol w:w="826"/>
        <w:gridCol w:w="109"/>
        <w:gridCol w:w="109"/>
        <w:gridCol w:w="109"/>
        <w:gridCol w:w="109"/>
        <w:gridCol w:w="211"/>
        <w:gridCol w:w="82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9096" w:type="dxa"/>
        <w:jc w:val="left"/>
        <w:tblInd w:w="0" w:type="dxa"/>
        <w:tblLayout w:type="fixed"/>
        <w:tblCellMar>
          <w:top w:w="28" w:type="dxa"/>
          <w:left w:w="28" w:type="dxa"/>
          <w:bottom w:w="28" w:type="dxa"/>
          <w:right w:w="28" w:type="dxa"/>
        </w:tblCellMar>
      </w:tblPr>
      <w:tblGrid>
        <w:gridCol w:w="2209"/>
        <w:gridCol w:w="1938"/>
        <w:gridCol w:w="1958"/>
        <w:gridCol w:w="109"/>
        <w:gridCol w:w="109"/>
        <w:gridCol w:w="109"/>
        <w:gridCol w:w="211"/>
        <w:gridCol w:w="826"/>
        <w:gridCol w:w="109"/>
        <w:gridCol w:w="109"/>
        <w:gridCol w:w="109"/>
        <w:gridCol w:w="109"/>
        <w:gridCol w:w="211"/>
        <w:gridCol w:w="826"/>
        <w:gridCol w:w="154"/>
      </w:tblGrid>
      <w:tr>
        <w:trPr/>
        <w:tc>
          <w:tcPr>
            <w:tcW w:w="22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unconsolidated entity,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Non-real estate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statutory requirements of the locations in which we conduct business, and state and local income taxes are accrued as deemed required in the best judgment of management based on analysis and interpretation of respective tax laws.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elected to treat the subsidiaries through which we operate Uniti Fiber and certain subsidiaries of Uniti Leasing as TRSs</w:t>
      </w:r>
      <w:r>
        <w:rPr>
          <w:rFonts w:ascii="Times New Roman;sans-serif" w:hAnsi="Times New Roman;sans-serif"/>
          <w:b w:val="false"/>
          <w:color w:val="000000"/>
          <w:sz w:val="20"/>
        </w:rPr>
        <w:t>. TRSs enable us to engage in activities that result in income that does not constitute qualifying income for a REIT. Our TRSs are subject to U.S. federal, state and local corporate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be subject to state corporate level tax in a certain limited number of states on any built-in gain recognized from a sale of assets occurring within a ten-year recognition period after the Spin-Off. The five-year recognition period applicable for federal corporate level tax on any built-in gain recognized from a sale of assets occurring within five years after the Spin-Off expired in 2020.</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Revenue Recognition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are recognized when products are delivered to and accepted by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 are primarily derived from providing broadband transport and backhaul communications services and are recognized using the following five step model: (i) identify the contract with a customer, (ii) identify the performance obligation in the contract, (iii) determine the transaction price, (iv) allocate the transaction price, and (v) recognize revenue when the related performance obligation is satisfied. Services provided to the Company’s customers are pursuant to contractual fee</w:t>
        <w:noBreakHyphen/>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Impairment of Property, Plant and Equipment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 During the years ended December 31, 2023 and 2022, no impairment losses were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Goodwill</w:t>
      </w:r>
    </w:p>
    <w:p>
      <w:pPr>
        <w:pStyle w:val="TextBody"/>
        <w:bidi w:val="0"/>
        <w:spacing w:lineRule="auto" w:line="288" w:before="240" w:after="283"/>
        <w:jc w:val="left"/>
        <w:rPr/>
      </w:pPr>
      <w:r>
        <w:rPr>
          <w:rFonts w:ascii="Times New Roman;sans-serif" w:hAnsi="Times New Roman;sans-serif"/>
          <w:b w:val="false"/>
          <w:color w:val="212529"/>
          <w:sz w:val="20"/>
          <w:shd w:fill="FFFFFF" w:val="clear"/>
        </w:rPr>
        <w:t xml:space="preserve">As of </w:t>
      </w:r>
      <w:r>
        <w:rPr>
          <w:rFonts w:ascii="Times New Roman;sans-serif" w:hAnsi="Times New Roman;sans-serif"/>
          <w:b w:val="false"/>
          <w:color w:val="000000"/>
          <w:sz w:val="20"/>
          <w:shd w:fill="FFFFFF" w:val="clear"/>
        </w:rPr>
        <w:t>December 31, 2023</w:t>
      </w:r>
      <w:r>
        <w:rPr>
          <w:color w:val="212529"/>
          <w:shd w:fill="FFFFFF" w:val="clear"/>
        </w:rPr>
        <w:t xml:space="preserve"> </w:t>
      </w:r>
      <w:r>
        <w:rPr>
          <w:rFonts w:ascii="Times New Roman;sans-serif" w:hAnsi="Times New Roman;sans-serif"/>
          <w:b w:val="false"/>
          <w:color w:val="212529"/>
          <w:sz w:val="20"/>
          <w:shd w:fill="FFFFFF" w:val="clear"/>
        </w:rPr>
        <w:t xml:space="preserve">and 2022, all of our goodwill is included in our Uniti Fiber segment. Goodwill is recognized for the excess of purchase price over the fair value of net assets of businesses acquired. Goodwill is reviewed for impairment at least annually. Our annual impairment test is performed with a valuation date of October 1. In accordance with ASC 350-20, </w:t>
      </w:r>
      <w:r>
        <w:rPr>
          <w:rFonts w:ascii="Times New Roman;sans-serif" w:hAnsi="Times New Roman;sans-serif"/>
          <w:b w:val="false"/>
          <w:i/>
          <w:color w:val="212529"/>
          <w:sz w:val="20"/>
          <w:shd w:fill="FFFFFF" w:val="clear"/>
        </w:rPr>
        <w:t xml:space="preserve">Intangibles-Goodwill and Other </w:t>
      </w:r>
      <w:r>
        <w:rPr>
          <w:rFonts w:ascii="Times New Roman;sans-serif" w:hAnsi="Times New Roman;sans-serif"/>
          <w:b w:val="false"/>
          <w:color w:val="212529"/>
          <w:sz w:val="20"/>
          <w:shd w:fill="FFFFFF" w:val="clear"/>
        </w:rPr>
        <w:t>("ASC 350-20"), we evaluate g</w:t>
      </w:r>
      <w:r>
        <w:rPr>
          <w:rFonts w:ascii="Times New Roman;sans-serif" w:hAnsi="Times New Roman;sans-serif"/>
          <w:b w:val="false"/>
          <w:color w:val="000000"/>
          <w:sz w:val="20"/>
          <w:shd w:fill="FFFFFF" w:val="clear"/>
        </w:rPr>
        <w:t>oodwill for impairment between annual impairment tests if an event occurs or circumstances change that would more likely than not reduce the fair value of a reporting unit below its carrying amount (a “Triggering Event”). On the occurrence of a Trig</w:t>
      </w:r>
      <w:r>
        <w:rPr>
          <w:rFonts w:ascii="Times New Roman;sans-serif" w:hAnsi="Times New Roman;sans-serif"/>
          <w:b w:val="false"/>
          <w:color w:val="212529"/>
          <w:sz w:val="20"/>
          <w:shd w:fill="FFFFFF" w:val="clear"/>
        </w:rPr>
        <w:t xml:space="preserve">gering Event, an entity has the option to first assess qualitative factors to determine whether a quantitative impairment test is necessary. If it is more likely than not that goodwill is impaired, the fair value of the reporting unit must be compared with its carrying value.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and the assignment of goodwill to reporting units. </w:t>
      </w:r>
    </w:p>
    <w:p>
      <w:pPr>
        <w:pStyle w:val="TextBody"/>
        <w:bidi w:val="0"/>
        <w:spacing w:lineRule="auto" w:line="288" w:before="240" w:after="283"/>
        <w:jc w:val="left"/>
        <w:rPr>
          <w:rFonts w:ascii="Times New Roman;sans-serif" w:hAnsi="Times New Roman;sans-serif"/>
          <w:b w:val="false"/>
          <w:color w:val="212529"/>
          <w:sz w:val="20"/>
          <w:shd w:fill="FFFFFF" w:val="clear"/>
        </w:rPr>
      </w:pPr>
      <w:r>
        <w:rPr>
          <w:rFonts w:ascii="Times New Roman;sans-serif" w:hAnsi="Times New Roman;sans-serif"/>
          <w:b w:val="false"/>
          <w:color w:val="212529"/>
          <w:sz w:val="20"/>
          <w:shd w:fill="FFFFFF" w:val="clear"/>
        </w:rPr>
        <w:t>During the third quarter of 2023, the Company identified a Triggering Event and, therefore, performed a qualitative and quantitative goodwill impairment test with a valuation date of September 30, 2023. The Triggering Event was a result of macroeconomic and financial market factors, specifically increased interest rates impacting our discount rate. As a result, we concluded that the fair value of the Uniti Fiber reporting unit, estimated using a combination of the income approach and market approach, was less than its carrying amount. Accordingly, we recorded a $204.0 million ($151.9 million net of tax) goodwill impairment charge in the Uniti Fiber segment during the three months ended September 30, 2023.</w:t>
      </w:r>
    </w:p>
    <w:p>
      <w:pPr>
        <w:pStyle w:val="TextBody"/>
        <w:bidi w:val="0"/>
        <w:spacing w:lineRule="auto" w:line="288" w:before="240" w:after="283"/>
        <w:jc w:val="left"/>
        <w:rPr>
          <w:rFonts w:ascii="Times New Roman;sans-serif" w:hAnsi="Times New Roman;sans-serif"/>
          <w:b w:val="false"/>
          <w:color w:val="212529"/>
          <w:sz w:val="20"/>
          <w:shd w:fill="FFFFFF" w:val="clear"/>
        </w:rPr>
      </w:pPr>
      <w:r>
        <w:rPr>
          <w:rFonts w:ascii="Times New Roman;sans-serif" w:hAnsi="Times New Roman;sans-serif"/>
          <w:b w:val="false"/>
          <w:color w:val="212529"/>
          <w:sz w:val="20"/>
          <w:shd w:fill="FFFFFF" w:val="clear"/>
        </w:rPr>
        <w:t>During the third quarter of 2022, the Company identified a Triggering Event and, therefore, performed a qualitative and quantitative goodwill impairment test with a valuation date of September 30, 2022. The Triggering Event was a result of macroeconomic and financial market factors, specifically increased interest rates impacting our discount rate. As a result, we concluded that the fair value of the Uniti Fiber reporting unit, estimated using a combination of the income approach and market approach, was less than its carrying amount. Accordingly, we recorded a $216.0 million ($205.7 million net of tax) goodwill impairment charge in the Uniti Fiber reporting unit during the three months ended September 30, 2022. During the fourth quarter of 2022, we performed an additional quantitative and qualitative impairment test, and concluded that as a result of the continuing macroeconomic and financial market factors, specifically increased interest rates impacting our discount rate, the fair value of the Uniti Fiber reporting unit was less than its carrying amount. As a result, we recorded a $24.5 million ($18.2 million net of tax) goodwill impairment charge in the Uniti Fiber reporting unit during the three months ended December 31, 2022.</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During the year ended December 31, 2021 no impairment losses were recognized.</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estimate the fair value of our Fiber reporting unit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(Loss) Income not to exceed the carrying amount of goodwill.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interest rates and/or declines in acquisition multiples utilized in the market approach could affect the likelihood and amount of potential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pPr>
      <w:r>
        <w:rPr>
          <w:rFonts w:ascii="Times New Roman;sans-serif" w:hAnsi="Times New Roman;sans-serif"/>
          <w:b w:val="false"/>
          <w:color w:val="000000"/>
          <w:sz w:val="20"/>
        </w:rPr>
        <w:t xml:space="preserve">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w:t>
      </w:r>
      <w:r>
        <w:rPr>
          <w:rFonts w:ascii="Times New Roman;sans-serif" w:hAnsi="Times New Roman;sans-serif"/>
          <w:b w:val="false"/>
          <w:color w:val="000000"/>
          <w:sz w:val="20"/>
          <w:shd w:fill="FFFFFF" w:val="clear"/>
        </w:rPr>
        <w:t>beginning in October 2020</w:t>
      </w:r>
      <w:r>
        <w:rPr>
          <w:color w:val="000000"/>
        </w:rPr>
        <w:t xml:space="preserve"> </w:t>
      </w:r>
      <w:r>
        <w:rPr>
          <w:rFonts w:ascii="Times New Roman;sans-serif" w:hAnsi="Times New Roman;sans-serif"/>
          <w:b w:val="false"/>
          <w:color w:val="000000"/>
          <w:sz w:val="20"/>
        </w:rPr>
        <w:t>and (ii) to reimburse Windstream for up to an aggregate of $1.75 billion for Growth Capital Improvements in long-term value accretive fiber and related assets made by Windstream through 2029. To date, we have paid $313.4 million of the $490.1 million due to Windstream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in 2021, 2022 and 2023 and are limited to $225 million in 2024; $175 million per year in 2025 and 2026; and $125 million per year in 2027 through 2029. As of December 31, 2023, we have reimbursed a total of $794.2 million in Growth Capital Improvements.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(collectively, the "Borrowers"), the guarantors and lenders party thereto and Bank of America, N.A., as administrative agent and collateral agent (the “Credit Agreement”), and proceeds from the issuance of debt and equity securities. As of December 31, 2023, the Credit Agreement provided for a $500 million revolving credit facility that matures on September 24, 2027 (the “Revolving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and cash equivalents of $62.3 million and approximately $292.0 million of borrowing availability under our Revolving Credit Facility under the Credit Agreement. Subsequent to December 31, 2023, other than $79.6 million of Growth Capital Improvements, there have been no material outlays of funds outside of our scheduled interest and dividend payments.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restrictions on our ability to pay dividends. There were no such restrictions as of December 31, 2023.</w:t>
      </w:r>
    </w:p>
    <w:tbl>
      <w:tblPr>
        <w:tblW w:w="6455" w:type="dxa"/>
        <w:jc w:val="center"/>
        <w:tblInd w:w="0" w:type="dxa"/>
        <w:tblLayout w:type="fixed"/>
        <w:tblCellMar>
          <w:top w:w="28" w:type="dxa"/>
          <w:left w:w="28" w:type="dxa"/>
          <w:bottom w:w="28" w:type="dxa"/>
          <w:right w:w="28" w:type="dxa"/>
        </w:tblCellMar>
      </w:tblPr>
      <w:tblGrid>
        <w:gridCol w:w="1253"/>
        <w:gridCol w:w="1102"/>
        <w:gridCol w:w="1109"/>
        <w:gridCol w:w="109"/>
        <w:gridCol w:w="109"/>
        <w:gridCol w:w="109"/>
        <w:gridCol w:w="211"/>
        <w:gridCol w:w="826"/>
        <w:gridCol w:w="109"/>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$353.1 million and $460.1 million for the years ended December 31, 2023 and 2022, respectively. The decrease in net cash provided by operating activities during the year ended December 31, 2023 is primarily attributable to increases in cash interest expense, related to the issuance of the February 2028 Secured Notes, and changes in working capital, including the timing of interest payments associated with debt activities occurring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6800" w:type="dxa"/>
        <w:jc w:val="center"/>
        <w:tblInd w:w="0" w:type="dxa"/>
        <w:tblLayout w:type="fixed"/>
        <w:tblCellMar>
          <w:top w:w="28" w:type="dxa"/>
          <w:left w:w="28" w:type="dxa"/>
          <w:bottom w:w="28" w:type="dxa"/>
          <w:right w:w="28" w:type="dxa"/>
        </w:tblCellMar>
      </w:tblPr>
      <w:tblGrid>
        <w:gridCol w:w="1324"/>
        <w:gridCol w:w="1164"/>
        <w:gridCol w:w="1171"/>
        <w:gridCol w:w="109"/>
        <w:gridCol w:w="109"/>
        <w:gridCol w:w="109"/>
        <w:gridCol w:w="211"/>
        <w:gridCol w:w="901"/>
        <w:gridCol w:w="109"/>
        <w:gridCol w:w="109"/>
        <w:gridCol w:w="109"/>
        <w:gridCol w:w="109"/>
        <w:gridCol w:w="211"/>
        <w:gridCol w:w="90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 net of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Cash used in investing activities was $411.3 million for the year ended December 31, 2023 and is primarily driven by capital expenditures of $417.0 million, which includes $250.0 million of Growth Capital Improvements.</w:t>
      </w:r>
      <w:r>
        <w:rPr>
          <w:color w:val="212529"/>
          <w:shd w:fill="FFFFFF" w:val="clear"/>
        </w:rPr>
        <w:t xml:space="preserve"> </w:t>
      </w:r>
      <w:r>
        <w:rPr>
          <w:rFonts w:ascii="Times New Roman;sans-serif" w:hAnsi="Times New Roman;sans-serif"/>
          <w:b w:val="false"/>
          <w:color w:val="000000"/>
          <w:sz w:val="20"/>
          <w:shd w:fill="FFFFFF" w:val="clear"/>
        </w:rPr>
        <w:t>Cash used in investing activities for the year ended December 31, 2022 was $392.0 million and was primarily driven by capital expenditures of $427.6 million, which included $238.0 million of Growth Capital Improvements, partially offset by proceeds from the sale of the Harmoni investment of $32.5 million.</w:t>
      </w:r>
      <w:r>
        <w:rPr>
          <w:color w:val="000000"/>
        </w:rPr>
        <w:t xml:space="preserve"> </w:t>
      </w:r>
    </w:p>
    <w:tbl>
      <w:tblPr>
        <w:tblW w:w="8811" w:type="dxa"/>
        <w:jc w:val="left"/>
        <w:tblInd w:w="0" w:type="dxa"/>
        <w:tblLayout w:type="fixed"/>
        <w:tblCellMar>
          <w:top w:w="28" w:type="dxa"/>
          <w:left w:w="28" w:type="dxa"/>
          <w:bottom w:w="28" w:type="dxa"/>
          <w:right w:w="28" w:type="dxa"/>
        </w:tblCellMar>
      </w:tblPr>
      <w:tblGrid>
        <w:gridCol w:w="1998"/>
        <w:gridCol w:w="1756"/>
        <w:gridCol w:w="1766"/>
        <w:gridCol w:w="109"/>
        <w:gridCol w:w="109"/>
        <w:gridCol w:w="109"/>
        <w:gridCol w:w="211"/>
        <w:gridCol w:w="1051"/>
        <w:gridCol w:w="109"/>
        <w:gridCol w:w="109"/>
        <w:gridCol w:w="109"/>
        <w:gridCol w:w="109"/>
        <w:gridCol w:w="211"/>
        <w:gridCol w:w="901"/>
        <w:gridCol w:w="154"/>
      </w:tblGrid>
      <w:tr>
        <w:trPr/>
        <w:tc>
          <w:tcPr>
            <w:tcW w:w="199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capped call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provided by financing activities was $76.6 million for the year ended December 31, 2023, which was primarily driven by proceeds received from the issuance of the February 2028 Secured Notes of $2.6 billion and borrowings under the Revolving Credit Facility of $506.0 million, offset by the repayment of the 2025 Secured Notes of $2.3 billion, dividend payments of $107.4 million, payments under the Revolving Credit Facility of $486.0 million, settlement payments of $98.0 million, and costs related to the early repayment of debt of $44.3 million. Cash used in financing activities was $83.2 million for the year ended December 31, 2022, which was primarily driven by the repayment of the Exchangeable Notes of $194.0 million, dividend payments of $143.0 million, payments under the Revolving Credit Facility $192.0 million, and payments for the capped call option related to the February 2028 Secured Notes of $21.1 million, partially offset by proceeds received from the issuance of the February 2028 Secured Notes of $306.5 million and borrowings under the Revolving Credit Facility of $180.0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Windstream Leases, Windstream (or any successor tenant under a Windstream Lease) has the right to cause Uniti to reimburse up to an aggregate $1.75 billion of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per year in 2021, 2022, and 2023, and are limited to $225 million in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2022, Uniti’s combined total obligation to fund Growth Capital Improvements may exceed $250 million to the extent of any unfunded excess amounts from calendar year 2021.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the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No such loans have been made as of December 31, 2023.</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UPREIT Operating Partnership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2017, the Company completed its reorganization (the “up-REIT Reorganization”) to operate through a customary “up-REIT” structure. Under this structure, the Operating Partnership now holds substantially all of the Company’s assets and is the direct or indirect parent company of, among others, CSL Capital, LLC, Uniti Group Finance 2019 Inc. and Uniti Fiber Holdings.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UPREIT structure enables us to acquire properties by issuing to sellers, as a form of consideration, limited partnership interests in our operating partnership, (commonly called “OP Units”). The limited partner equity interests in the Operating Partnership are exchangeable on a one-for-one basis for shares of our common stock or, at our election, cash of equivalent value.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2017 acquisitions of Hunt Telecommunications, LLC and Southern Light, LLC.</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Senior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Operating Partnership and certain of its subsidiaries had outstanding $2.6 billion aggregate principal amount of the February 2028 Secured Notes, $570.0 million aggregate principal amount of 4.750% Senior Secured Notes due April 15, 2028 (the “April 2028 Secured Notes”), $700.0 million aggregate principal amount of 6.00% Senior Unsecured Notes due January 15, 2030 (the “2030 Notes”), and $1.1 billion aggregate principal amount of 6.50% Senior Unsecured Notes due February 15, 2029 (the “2029 Notes”).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Convertible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outstanding $306.5 million aggregate principal amount of 7.50% Convertible Senior Notes due December 1, 2027 (the “Convertible 2027 Notes”). The Convertible 2027 Notes are guaranteed by each of the Company’s subsidiaries that is an issuer, obligor or guarantor under the Company’s existing senior notes (except initially those subsidiaries that require regulatory approval prior to guaranteeing the Convertible 2027 Notes). The Convertible 2027 Notes bear interest at a fixed rate of 7.50% per year, payable semiannually in arrears on June 1 and December 1 of each year. The Convertible 2027 Notes are convertible into cash, shares of the Company’s common stock, or a combination thereof, at the Company’s election at an initial conversion rate of 137.1742 shares of the Company’s common stock per $1,000 principal amount (equal to an initial conversion price of approximately $7.29 per share) subject to adjustment. The Convertible 2027 Notes will mature on December 1, 2027, unless earlier converted, redeemed or repurchased.</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Exchangeable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outstanding $122.9 million aggregate principal amount of 4.00% Exchangeable Senior Unsecured Notes due June 15, 2024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 Inc.’s election.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21, 2023, the Company repurchased approximately $15.0 million of the Exchangeable Notes for total cash consideration of $13.7 million.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Borrowers are party to the Credit Agreement, which as of December 31, 2023, provided for the $500 million Revolving Credit Facility that matures on September 24, 2027, which provides us with the ability to obtain revolving loans as well as swingline loans and letters of credit from time to time.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2023, the Borrowers, each a subsidiary of Uniti Group Inc., entered into Amendment No. 8 (the “Amendment”) to the Credit Agreement, which extended the maturity to September 24, 2027. The Amendment also transitioned the Revolving Credit Facility from LIBOR to Term SOFR, and in connection with that change, set the credit spread adjustment to ten basis points for all interest periods. All obligations under the Credit Agreement are guaranteed by (i) the Company and (ii) certain of the Operating Partnership’s subsidiaries (the “Subsidiary Guarantors”) and are secured by substantially all of the assets of the Borrowers and the Subsidiary Guarantors.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2023, the Borrowers were in compliance with all of the covenants under the Credit Agreement.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up-REIT Reorganization, the Operating Partnership replaced the Company and assumed its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as an obligor under the Credit Agreement. The Company is a guarantor to all series of senior notes, including</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Exchangeable Notes, and under the Credit Agreement. Separate financial statements of the Operating Partnership have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been included since the Operating Partnership is not a registrant.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Asset-Backed Securities Facility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2024, the ABS Loan Parties, each an indirect subsidiary of the Company, entered into the ABS Loan Agreement with Wilmington Trust, National Association, as administrative agent, collateral agent, account bank and verification agent, Barclays Bank PLC, as facility agent, and the lenders identified therein.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ABS Loan Agreement provides for the ABS Loan Facility of up to $350 million. Unless otherwise terminated pursuant to the terms of the ABS Loan Agreement, the ABS Loan Facility matures on the Closing Date. The Company intends to refinance the ABS Loan Facility in full with proceeds from a long-term ABS facility secured primarily by certain Uniti Fiber network assets.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outstanding under the ABS Loan Facility will bear interest at a floating rate equal to, at the Company’s option, either (i) the one-month or three-month SOFR, plus a spread of 3.75% per annum or (ii) Base Rate, plus a spread of 2.75% per annum; provided that the spread will automatically increase to (a) 4.50% per annum in the case of loans bearing interest based on SOFR and 3.50% per annum in the case of loans bearing interest based on Base Rate, in each case to the extent outstanding on and after the date that is 12 months following the Closing Date and (b) 5.25% per annum in the case of loans bearing interest based on SOFR and 4.25% per annum in the case of loans bearing interest based on Base Rate, in each case to the extent outstanding on and after the date that is 15 months following the Closing Date. The Company intends to cap SOFR interest expense for the duration of the ABS Loan Facility pursuant to an interest rate protection agreement.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ABS Loan Facility, the Company formed ABS Parent and directed the formation of the ABS Loan Parties, which are direct and indirect subsidiaries of ABS Parent. Each of the ABS Loan Parties is a Delaware limited liability company and a special purpose, bankruptcy-remote, indirect subsidiary of the Company. The ABS Loan Facility is secured by equity in the ABS Borrower and substantially all of the assets of the ABS Loan Parties (subject to certain customary limited exceptions) and is non-recourse to the Company. Each of the ABS Loan Parties and ABS Parent was designated as an unrestricted subsidiary under the Credit Agreement and the applicable indentures governing the Company’s outstanding senior notes. The assets of the ABS Loan Parties will only be available for payment of the obligations arising under the ABS Loan Agreement and will not be available to pay any obligations or claims of the Company’s other creditors.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initial funding under the ABS Loan Facility on the Closing Date, the Company will, directly or indirectly, (i) transfer certain Uniti Fiber non-regulated and interstate customer contracts and related equipment to the ABS Loan Parties and (ii) grant an indefeasible right of use in the related fiber network assets to such ABS Loan Parties. In addition, certain of the ABS Loan Parties will enter into the Management Agreement with the Manager, pursuant to which the Manager will be responsible for servicing and administering the assets securing the ABS Loan Facility and be permitted to make reimbursable servicing advances in respect of the collateral securing the ABS Loan Facility under certain circumstances.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ABS Loan Agreement contains customary covenants limiting the ability of the ABS Loan Parties to: incur or guarantee additional indebtedness; pay dividends or distributions on, or redeem or repurchase, capital stock; make certain investments or other restricted payments; sell fiber network assets; enter into transactions with affiliates; and create restrictions on the ability of the ABS Loan Parties to incur liens on their assets constituting collateral to secure obligations under the ABS Loan Agreement. These covenants are subject to a number of limitations, qualifications and exceptions. The ABS Loan Agreement also contains a maximum leverage financial maintenance covenant and customary events of default.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Outlook</w:t>
      </w:r>
    </w:p>
    <w:p>
      <w:pPr>
        <w:pStyle w:val="TextBody"/>
        <w:bidi w:val="0"/>
        <w:spacing w:lineRule="auto" w:line="288" w:before="240" w:after="283"/>
        <w:jc w:val="left"/>
        <w:rPr/>
      </w:pPr>
      <w:r>
        <w:rPr>
          <w:rFonts w:ascii="Times New Roman;sans-serif" w:hAnsi="Times New Roman;sans-serif"/>
          <w:b w:val="false"/>
          <w:color w:val="000000"/>
          <w:sz w:val="20"/>
        </w:rPr>
        <w:t xml:space="preserve">We anticipate continuing to invest in our network infrastructure across our Uniti Leasing and Uniti Fiber portfolios. We anticipate declaring dividends for the 2024 tax year to comply with our REIT distribution requirements. We anticipate that we will partially finance these needs, as well as operating expenses (including our debt service obligations), from our cash on hand, borrowings under our Revolving Credit Facility and ABS Loan Facility and cash flows provided by operating activities. Our 2023 capital expenditures of </w:t>
      </w:r>
      <w:r>
        <w:rPr>
          <w:rFonts w:ascii="Times New Roman;sans-serif" w:hAnsi="Times New Roman;sans-serif"/>
          <w:b w:val="false"/>
          <w:color w:val="000000"/>
          <w:sz w:val="20"/>
          <w:shd w:fill="FFFFFF" w:val="clear"/>
        </w:rPr>
        <w:t>$417.0 million</w:t>
      </w:r>
      <w:r>
        <w:rPr>
          <w:color w:val="000000"/>
        </w:rPr>
        <w:t xml:space="preserve"> </w:t>
      </w:r>
      <w:r>
        <w:rPr>
          <w:rFonts w:ascii="Times New Roman;sans-serif" w:hAnsi="Times New Roman;sans-serif"/>
          <w:b w:val="false"/>
          <w:color w:val="000000"/>
          <w:sz w:val="20"/>
        </w:rPr>
        <w:t xml:space="preserve">and dividend payments of </w:t>
      </w:r>
      <w:r>
        <w:rPr>
          <w:rFonts w:ascii="Times New Roman;sans-serif" w:hAnsi="Times New Roman;sans-serif"/>
          <w:b w:val="false"/>
          <w:color w:val="000000"/>
          <w:sz w:val="20"/>
          <w:shd w:fill="FFFFFF" w:val="clear"/>
        </w:rPr>
        <w:t>$107.4 million</w:t>
      </w:r>
      <w:r>
        <w:rPr>
          <w:color w:val="000000"/>
        </w:rPr>
        <w:t xml:space="preserve"> </w:t>
      </w:r>
      <w:r>
        <w:rPr>
          <w:rFonts w:ascii="Times New Roman;sans-serif" w:hAnsi="Times New Roman;sans-serif"/>
          <w:b w:val="false"/>
          <w:color w:val="000000"/>
          <w:sz w:val="20"/>
        </w:rPr>
        <w:t>exceeded our 2023 cash flow from operating activities of $353.1 million, which has led us to seek additional external sources of capital.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$292.0 million in borrowing availability under our Revolving Credit Facility (subject to customary borrowing conditions),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are closely monitoring the equity and debt markets and may seek to access them promptly if and when we determine market conditions are appropriate.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pPr>
      <w:r>
        <w:rPr>
          <w:rFonts w:ascii="Times New Roman;sans-serif" w:hAnsi="Times New Roman;sans-serif"/>
          <w:b w:val="false"/>
          <w:color w:val="000000"/>
          <w:sz w:val="20"/>
        </w:rPr>
        <w:t xml:space="preserve">We enter into various contractual arrangements as a part of our normal operations. Many of these contractual obligations are discussed in the notes to our consolidated financial statements contained in Part II, Item 8 “Financial Statements and Supplementary Data”. As of December 31, 2023, material obligations discussed in the notes to our consolidated financial statements included principal and interest payments on our long-term debt discussed above and in </w:t>
      </w:r>
      <w:hyperlink w:anchor="i374575ee8ecb4d8c9aaa6bdb34828ed2_139">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rPr>
        <w:t xml:space="preserve">, operating and finance leases discussed in </w:t>
      </w:r>
      <w:hyperlink w:anchor="i374575ee8ecb4d8c9aaa6bdb34828ed2_115">
        <w:r>
          <w:rPr>
            <w:rStyle w:val="InternetLink"/>
            <w:rFonts w:ascii="Times New Roman;sans-serif" w:hAnsi="Times New Roman;sans-serif"/>
            <w:b w:val="false"/>
            <w:color w:val="0000FF"/>
            <w:sz w:val="20"/>
            <w:u w:val="single"/>
          </w:rPr>
          <w:t>Note 5</w:t>
        </w:r>
      </w:hyperlink>
      <w:r>
        <w:rPr>
          <w:rFonts w:ascii="Times New Roman;sans-serif" w:hAnsi="Times New Roman;sans-serif"/>
          <w:b w:val="false"/>
          <w:color w:val="000000"/>
          <w:sz w:val="20"/>
        </w:rPr>
        <w:t xml:space="preserve">, and reimbursement commitments for growth capital improvements and cash payments related to the settlement agreement discussed in </w:t>
      </w:r>
      <w:hyperlink w:anchor="i374575ee8ecb4d8c9aaa6bdb34828ed2_109">
        <w:r>
          <w:rPr>
            <w:rStyle w:val="InternetLink"/>
            <w:rFonts w:ascii="Times New Roman;sans-serif" w:hAnsi="Times New Roman;sans-serif"/>
            <w:b w:val="false"/>
            <w:color w:val="0000FF"/>
            <w:sz w:val="20"/>
            <w:u w:val="single"/>
          </w:rPr>
          <w:t>Note 3</w:t>
        </w:r>
      </w:hyperlink>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material purchase commitments related to network deployment for success-based projects for which we have a signed customer contract before we commit resources to expand our network. As of December 31, 2023, purchase commitments totaled $5.4 million due in 2024 and $0.9 million due in 2025. Projections of future cash flows are subject to substantial uncertainty as discussed throughout Part II, Item 7 “Management’s Discussion and Analysis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Condition and Results of Operations” and particularly in Part I, Item 1A “Risk Factors” of this Annual Report on Form 10-K. Debt agreements may be renewed or refinanced if we determine it is advantageous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below sets out details regarding our cash dividends on our common stock:</w:t>
      </w:r>
    </w:p>
    <w:tbl>
      <w:tblPr>
        <w:tblW w:w="9498" w:type="dxa"/>
        <w:jc w:val="center"/>
        <w:tblInd w:w="0" w:type="dxa"/>
        <w:tblLayout w:type="fixed"/>
        <w:tblCellMar>
          <w:top w:w="28" w:type="dxa"/>
          <w:left w:w="28" w:type="dxa"/>
          <w:bottom w:w="28" w:type="dxa"/>
          <w:right w:w="28" w:type="dxa"/>
        </w:tblCellMar>
      </w:tblPr>
      <w:tblGrid>
        <w:gridCol w:w="1136"/>
        <w:gridCol w:w="998"/>
        <w:gridCol w:w="1015"/>
        <w:gridCol w:w="109"/>
        <w:gridCol w:w="109"/>
        <w:gridCol w:w="109"/>
        <w:gridCol w:w="574"/>
        <w:gridCol w:w="574"/>
        <w:gridCol w:w="577"/>
        <w:gridCol w:w="109"/>
        <w:gridCol w:w="109"/>
        <w:gridCol w:w="109"/>
        <w:gridCol w:w="487"/>
        <w:gridCol w:w="1181"/>
        <w:gridCol w:w="251"/>
        <w:gridCol w:w="109"/>
        <w:gridCol w:w="109"/>
        <w:gridCol w:w="109"/>
        <w:gridCol w:w="505"/>
        <w:gridCol w:w="505"/>
        <w:gridCol w:w="71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Record Date</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16, 2023</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8, 2023</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2023</w:t>
            </w:r>
          </w:p>
        </w:tc>
      </w:tr>
    </w:tbl>
    <w:p>
      <w:pPr>
        <w:pStyle w:val="TextBody"/>
        <w:bidi w:val="0"/>
        <w:spacing w:lineRule="auto" w:line="288" w:before="240" w:after="283"/>
        <w:jc w:val="left"/>
        <w:rPr/>
      </w:pPr>
      <w:r>
        <w:rPr>
          <w:rFonts w:ascii="Times New Roman;sans-serif" w:hAnsi="Times New Roman;sans-serif"/>
          <w:b w:val="false"/>
          <w:color w:val="000000"/>
          <w:sz w:val="20"/>
        </w:rPr>
        <w:t>Any d</w:t>
      </w:r>
      <w:r>
        <w:rPr>
          <w:rFonts w:ascii="Times New Roman;sans-serif" w:hAnsi="Times New Roman;sans-serif"/>
          <w:b w:val="false"/>
          <w:color w:val="000000"/>
          <w:sz w:val="20"/>
          <w:shd w:fill="FFFFFF" w:val="clear"/>
        </w:rPr>
        <w:t xml:space="preserve">ividends must be declared by the Board,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the Board may decide, in its absolute discretion, at any time and for any reason, not to pay dividends or to change the amount paid as dividends.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bl>
      <w:tblPr>
        <w:tblW w:w="10205" w:type="dxa"/>
        <w:jc w:val="center"/>
        <w:tblInd w:w="0" w:type="dxa"/>
        <w:tblLayout w:type="fixed"/>
        <w:tblCellMar>
          <w:top w:w="28" w:type="dxa"/>
          <w:left w:w="28" w:type="dxa"/>
          <w:bottom w:w="28" w:type="dxa"/>
          <w:right w:w="28" w:type="dxa"/>
        </w:tblCellMar>
      </w:tblPr>
      <w:tblGrid>
        <w:gridCol w:w="1347"/>
        <w:gridCol w:w="1166"/>
        <w:gridCol w:w="1181"/>
        <w:gridCol w:w="109"/>
        <w:gridCol w:w="109"/>
        <w:gridCol w:w="109"/>
        <w:gridCol w:w="230"/>
        <w:gridCol w:w="902"/>
        <w:gridCol w:w="118"/>
        <w:gridCol w:w="109"/>
        <w:gridCol w:w="109"/>
        <w:gridCol w:w="109"/>
        <w:gridCol w:w="270"/>
        <w:gridCol w:w="790"/>
        <w:gridCol w:w="141"/>
        <w:gridCol w:w="109"/>
        <w:gridCol w:w="109"/>
        <w:gridCol w:w="109"/>
        <w:gridCol w:w="109"/>
        <w:gridCol w:w="109"/>
        <w:gridCol w:w="109"/>
        <w:gridCol w:w="330"/>
        <w:gridCol w:w="729"/>
        <w:gridCol w:w="172"/>
        <w:gridCol w:w="109"/>
        <w:gridCol w:w="109"/>
        <w:gridCol w:w="109"/>
        <w:gridCol w:w="211"/>
        <w:gridCol w:w="826"/>
        <w:gridCol w:w="157"/>
      </w:tblGrid>
      <w:tr>
        <w:trPr/>
        <w:tc>
          <w:tcPr>
            <w:tcW w:w="134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 2023</w:t>
            </w:r>
          </w:p>
        </w:tc>
      </w:tr>
      <w:tr>
        <w:trPr/>
        <w:tc>
          <w:tcPr>
            <w:tcW w:w="3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Success Based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Maintenance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Non-Network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 excluding growth capital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capital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409,320 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We categorize our capital expenditures as either (i) success-based, (ii) maintenance, or (iii) non-network. We define success-based capital expenditures as those related to installing existing or anticipated contractual customer service orders. Maintenance capital expenditures are those necessary to keep existing network elements fully operational. We anticipate continuing to invest in our network infrastructure across our Uniti Leasing and Uniti Fiber businesses and expect that cash on hand and cash flows provided by operating activities will be sufficient to support these investments. </w:t>
      </w:r>
      <w:r>
        <w:rPr>
          <w:rFonts w:ascii="Times New Roman;sans-serif" w:hAnsi="Times New Roman;sans-serif"/>
          <w:b w:val="false"/>
          <w:color w:val="000000"/>
          <w:sz w:val="20"/>
          <w:shd w:fill="FFFFFF" w:val="clear"/>
        </w:rPr>
        <w:t xml:space="preserve">We have the right, but not the obligation (except for Growth Capital Improvements), to </w:t>
      </w:r>
      <w:r>
        <w:rPr>
          <w:rFonts w:ascii="Times New Roman;sans-serif" w:hAnsi="Times New Roman;sans-serif"/>
          <w:b w:val="false"/>
          <w:color w:val="000000"/>
          <w:sz w:val="20"/>
        </w:rPr>
        <w:t>reimburse</w:t>
      </w:r>
      <w:r>
        <w:rPr>
          <w:color w:val="000000"/>
          <w:shd w:fill="FFFFFF" w:val="clear"/>
        </w:rPr>
        <w:t xml:space="preserve"> </w:t>
      </w:r>
      <w:r>
        <w:rPr>
          <w:rFonts w:ascii="Times New Roman;sans-serif" w:hAnsi="Times New Roman;sans-serif"/>
          <w:b w:val="false"/>
          <w:color w:val="000000"/>
          <w:sz w:val="20"/>
          <w:shd w:fill="FFFFFF" w:val="clear"/>
        </w:rPr>
        <w:t>growth capital expenditures in certain of our lease arrangements where we are the lessor.</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Uniti’s </w:t>
      </w:r>
      <w:r>
        <w:rPr>
          <w:rFonts w:ascii="Times New Roman;sans-serif" w:hAnsi="Times New Roman;sans-serif"/>
          <w:b w:val="false"/>
          <w:color w:val="000000"/>
          <w:sz w:val="20"/>
        </w:rPr>
        <w:t>total annual reimbursement commitments to Windstream for the Growth Capital Improvements is discussed above in this Part II, Item 7 “Management’s Discussion and Analysis of Financial Condition and Results of Operations" in “Liquidity and Capital Resources—Windstream Leases.”</w:t>
      </w:r>
      <w:r>
        <w:rPr>
          <w:color w:val="000000"/>
        </w:rPr>
        <w:t xml:space="preserve"> </w:t>
      </w:r>
      <w:r>
        <w:rPr>
          <w:rFonts w:ascii="Times New Roman;sans-serif" w:hAnsi="Times New Roman;sans-serif"/>
          <w:b w:val="false"/>
          <w:color w:val="000000"/>
          <w:sz w:val="20"/>
        </w:rPr>
        <w:t>Growth Capital Improvements are treated as success-based capital improvements based on the rents paid with respect to such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circumstances warrant, we may need to take measures to conserve cash, which may include a suspension, delay or reduction in success-based capital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year 2023, our primary market risk exposure was interest rate risk with respect to our variable rate indebtedness under our Revolving Credit Facility, which had an aggregate principal amount of $208.0 million as of December 31, 2023. A hypothetical 10% change in interest rates effective at December 31, 2023, would have had a $1.4 million impact on Uniti’s results of operations for the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6886" w:type="dxa"/>
        <w:jc w:val="center"/>
        <w:tblInd w:w="0" w:type="dxa"/>
        <w:tblLayout w:type="fixed"/>
        <w:tblCellMar>
          <w:top w:w="28" w:type="dxa"/>
          <w:left w:w="28" w:type="dxa"/>
          <w:bottom w:w="28" w:type="dxa"/>
          <w:right w:w="28" w:type="dxa"/>
        </w:tblCellMar>
      </w:tblPr>
      <w:tblGrid>
        <w:gridCol w:w="2297"/>
        <w:gridCol w:w="2018"/>
        <w:gridCol w:w="2030"/>
        <w:gridCol w:w="158"/>
        <w:gridCol w:w="158"/>
        <w:gridCol w:w="225"/>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82">
              <w:r>
                <w:rPr>
                  <w:rStyle w:val="InternetLink"/>
                  <w:rFonts w:ascii="Times New Roman;sans-serif" w:hAnsi="Times New Roman;sans-serif"/>
                  <w:b w:val="false"/>
                  <w:color w:val="0000FF"/>
                  <w:sz w:val="20"/>
                  <w:u w:val="single"/>
                </w:rPr>
                <w:t>Report of Independent Registered Public Accounting Firm</w:t>
              </w:r>
            </w:hyperlink>
            <w:hyperlink w:anchor="i374575ee8ecb4d8c9aaa6bdb34828ed2_82">
              <w:r>
                <w:rPr>
                  <w:rStyle w:val="InternetLink"/>
                  <w:strike w:val="false"/>
                  <w:dstrike w:val="false"/>
                  <w:color w:val="000000"/>
                  <w:u w:val="none"/>
                  <w:effect w:val="none"/>
                </w:rPr>
                <w:t xml:space="preserve"> </w:t>
              </w:r>
            </w:hyperlink>
            <w:hyperlink w:anchor="i374575ee8ecb4d8c9aaa6bdb34828ed2_82">
              <w:r>
                <w:rPr>
                  <w:rStyle w:val="InternetLink"/>
                  <w:rFonts w:ascii="Times New Roman;sans-serif" w:hAnsi="Times New Roman;sans-serif"/>
                  <w:b w:val="false"/>
                  <w:strike w:val="false"/>
                  <w:dstrike w:val="false"/>
                  <w:color w:val="000000"/>
                  <w:sz w:val="20"/>
                  <w:u w:val="none"/>
                  <w:effect w:val="none"/>
                </w:rPr>
                <w:t xml:space="preserve">(PCAOB ID: </w:t>
              </w:r>
            </w:hyperlink>
            <w:r>
              <w:rPr>
                <w:rFonts w:ascii="Times New Roman;sans-serif" w:hAnsi="Times New Roman;sans-serif"/>
                <w:b w:val="false"/>
                <w:color w:val="000000"/>
                <w:sz w:val="20"/>
              </w:rPr>
              <w:t>185</w:t>
            </w:r>
            <w:hyperlink w:anchor="i374575ee8ecb4d8c9aaa6bdb34828ed2_82">
              <w:r>
                <w:rPr>
                  <w:rStyle w:val="InternetLink"/>
                  <w:rFonts w:ascii="Times New Roman;sans-serif" w:hAnsi="Times New Roman;sans-serif"/>
                  <w:b w:val="false"/>
                  <w:strike w:val="false"/>
                  <w:dstrike w:val="false"/>
                  <w:color w:val="000000"/>
                  <w:sz w:val="20"/>
                  <w:u w:val="none"/>
                  <w:effect w:val="none"/>
                </w:rPr>
                <w:t>)</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74575ee8ecb4d8c9aaa6bdb34828ed2_82">
              <w:r>
                <w:rPr>
                  <w:rStyle w:val="InternetLink"/>
                  <w:rFonts w:ascii="Times New Roman;sans-serif" w:hAnsi="Times New Roman;sans-serif"/>
                  <w:b w:val="false"/>
                  <w:strike w:val="false"/>
                  <w:dstrike w:val="false"/>
                  <w:color w:val="000000"/>
                  <w:sz w:val="20"/>
                  <w:u w:val="none"/>
                  <w:effect w:val="none"/>
                </w:rPr>
                <w:t>50</w:t>
              </w:r>
            </w:hyperlink>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85">
              <w:r>
                <w:rPr>
                  <w:rStyle w:val="InternetLink"/>
                  <w:rFonts w:ascii="Times New Roman;sans-serif" w:hAnsi="Times New Roman;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85">
              <w:r>
                <w:rPr>
                  <w:rStyle w:val="InternetLink"/>
                  <w:rFonts w:ascii="Times New Roman;sans-serif" w:hAnsi="Times New Roman;sans-serif"/>
                  <w:b w:val="false"/>
                  <w:strike w:val="false"/>
                  <w:dstrike w:val="false"/>
                  <w:color w:val="000000"/>
                  <w:sz w:val="20"/>
                  <w:u w:val="none"/>
                  <w:effect w:val="none"/>
                </w:rPr>
                <w:t>54</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88">
              <w:r>
                <w:rPr>
                  <w:rStyle w:val="InternetLink"/>
                  <w:rFonts w:ascii="Times New Roman;sans-serif" w:hAnsi="Times New Roman;sans-serif"/>
                  <w:b w:val="false"/>
                  <w:color w:val="0000FF"/>
                  <w:sz w:val="20"/>
                  <w:u w:val="single"/>
                </w:rPr>
                <w:t>Consolidated Statements of (Loss)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88">
              <w:r>
                <w:rPr>
                  <w:rStyle w:val="InternetLink"/>
                  <w:rFonts w:ascii="Times New Roman;sans-serif" w:hAnsi="Times New Roman;sans-serif"/>
                  <w:b w:val="false"/>
                  <w:strike w:val="false"/>
                  <w:dstrike w:val="false"/>
                  <w:color w:val="000000"/>
                  <w:sz w:val="20"/>
                  <w:u w:val="none"/>
                  <w:effect w:val="none"/>
                </w:rPr>
                <w:t>55</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91">
              <w:r>
                <w:rPr>
                  <w:rStyle w:val="InternetLink"/>
                  <w:rFonts w:ascii="Times New Roman;sans-serif" w:hAnsi="Times New Roman;sans-serif"/>
                  <w:b w:val="false"/>
                  <w:color w:val="000080"/>
                  <w:sz w:val="20"/>
                  <w:u w:val="single"/>
                </w:rPr>
                <w:t>Consolidated Statements of Comprehensive</w:t>
              </w:r>
            </w:hyperlink>
            <w:hyperlink w:anchor="i374575ee8ecb4d8c9aaa6bdb34828ed2_91">
              <w:r>
                <w:rPr>
                  <w:rStyle w:val="InternetLink"/>
                  <w:rFonts w:ascii="Times New Roman;sans-serif" w:hAnsi="Times New Roman;sans-serif"/>
                  <w:b w:val="false"/>
                  <w:color w:val="000080"/>
                  <w:sz w:val="20"/>
                  <w:u w:val="single"/>
                </w:rPr>
                <w:t xml:space="preserve"> </w:t>
              </w:r>
            </w:hyperlink>
            <w:hyperlink w:anchor="i374575ee8ecb4d8c9aaa6bdb34828ed2_91">
              <w:r>
                <w:rPr>
                  <w:rStyle w:val="InternetLink"/>
                  <w:rFonts w:ascii="Times New Roman;sans-serif" w:hAnsi="Times New Roman;sans-serif"/>
                  <w:b w:val="false"/>
                  <w:color w:val="000080"/>
                  <w:sz w:val="20"/>
                  <w:u w:val="single"/>
                </w:rPr>
                <w:t>(Loss)</w:t>
              </w:r>
            </w:hyperlink>
            <w:hyperlink w:anchor="i374575ee8ecb4d8c9aaa6bdb34828ed2_91">
              <w:r>
                <w:rPr>
                  <w:rStyle w:val="InternetLink"/>
                  <w:rFonts w:ascii="Times New Roman;sans-serif" w:hAnsi="Times New Roman;sans-serif"/>
                  <w:b w:val="false"/>
                  <w:color w:val="000080"/>
                  <w:sz w:val="20"/>
                  <w:u w:val="single"/>
                </w:rPr>
                <w:t xml:space="preser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91">
              <w:r>
                <w:rPr>
                  <w:rStyle w:val="InternetLink"/>
                  <w:rFonts w:ascii="Times New Roman;sans-serif" w:hAnsi="Times New Roman;sans-serif"/>
                  <w:b w:val="false"/>
                  <w:strike w:val="false"/>
                  <w:dstrike w:val="false"/>
                  <w:color w:val="000000"/>
                  <w:sz w:val="20"/>
                  <w:u w:val="none"/>
                  <w:effect w:val="none"/>
                </w:rPr>
                <w:t>56</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94">
              <w:r>
                <w:rPr>
                  <w:rStyle w:val="InternetLink"/>
                  <w:rFonts w:ascii="Times New Roman;sans-serif" w:hAnsi="Times New Roman;sans-serif"/>
                  <w:b w:val="false"/>
                  <w:color w:val="0000FF"/>
                  <w:sz w:val="20"/>
                  <w:u w:val="single"/>
                </w:rPr>
                <w:t>Consolidated Statements of Shareholders’ Deficit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94">
              <w:r>
                <w:rPr>
                  <w:rStyle w:val="InternetLink"/>
                  <w:rFonts w:ascii="Times New Roman;sans-serif" w:hAnsi="Times New Roman;sans-serif"/>
                  <w:b w:val="false"/>
                  <w:strike w:val="false"/>
                  <w:dstrike w:val="false"/>
                  <w:color w:val="000000"/>
                  <w:sz w:val="20"/>
                  <w:u w:val="none"/>
                  <w:effect w:val="none"/>
                </w:rPr>
                <w:t>57</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97">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97">
              <w:r>
                <w:rPr>
                  <w:rStyle w:val="InternetLink"/>
                  <w:rFonts w:ascii="Times New Roman;sans-serif" w:hAnsi="Times New Roman;sans-serif"/>
                  <w:b w:val="false"/>
                  <w:strike w:val="false"/>
                  <w:dstrike w:val="false"/>
                  <w:color w:val="000000"/>
                  <w:sz w:val="20"/>
                  <w:u w:val="none"/>
                  <w:effect w:val="none"/>
                </w:rPr>
                <w:t>59</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575ee8ecb4d8c9aaa6bdb34828ed2_100">
              <w:r>
                <w:rPr>
                  <w:rStyle w:val="InternetLink"/>
                  <w:rFonts w:ascii="Times New Roman;sans-serif" w:hAnsi="Times New Roman;sans-serif"/>
                  <w:b w:val="false"/>
                  <w:color w:val="000080"/>
                  <w:sz w:val="20"/>
                  <w:u w:val="single"/>
                </w:rPr>
                <w:t xml:space="preserve">Notes to </w:t>
              </w:r>
            </w:hyperlink>
            <w:hyperlink w:anchor="i374575ee8ecb4d8c9aaa6bdb34828ed2_100">
              <w:r>
                <w:rPr>
                  <w:rStyle w:val="InternetLink"/>
                  <w:rFonts w:ascii="Times New Roman;sans-serif" w:hAnsi="Times New Roman;sans-serif"/>
                  <w:b w:val="false"/>
                  <w:color w:val="000080"/>
                  <w:sz w:val="20"/>
                  <w:u w:val="single"/>
                </w:rPr>
                <w:t xml:space="preserve">the </w:t>
              </w:r>
            </w:hyperlink>
            <w:hyperlink w:anchor="i374575ee8ecb4d8c9aaa6bdb34828ed2_100">
              <w:r>
                <w:rPr>
                  <w:rStyle w:val="InternetLink"/>
                  <w:rFonts w:ascii="Times New Roman;sans-serif" w:hAnsi="Times New Roman;sans-serif"/>
                  <w:b w:val="false"/>
                  <w:color w:val="000080"/>
                  <w:sz w:val="20"/>
                  <w:u w:val="single"/>
                </w:rPr>
                <w:t>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00">
              <w:r>
                <w:rPr>
                  <w:rStyle w:val="InternetLink"/>
                  <w:rFonts w:ascii="Times New Roman;sans-serif" w:hAnsi="Times New Roman;sans-serif"/>
                  <w:b w:val="false"/>
                  <w:strike w:val="false"/>
                  <w:dstrike w:val="false"/>
                  <w:color w:val="000000"/>
                  <w:sz w:val="20"/>
                  <w:u w:val="none"/>
                  <w:effect w:val="none"/>
                </w:rPr>
                <w:t>61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03">
              <w:r>
                <w:rPr>
                  <w:rStyle w:val="InternetLink"/>
                  <w:rFonts w:ascii="Times New Roman;sans-serif" w:hAnsi="Times New Roman;sans-serif"/>
                  <w:b w:val="false"/>
                  <w:color w:val="000080"/>
                  <w:sz w:val="20"/>
                  <w:u w:val="single"/>
                </w:rPr>
                <w:t>1.</w:t>
              </w:r>
            </w:hyperlink>
            <w:r>
              <w:rPr>
                <w:rFonts w:ascii="Times New Roman;sans-serif" w:hAnsi="Times New Roman;sans-serif"/>
                <w:b w:val="false"/>
                <w:color w:val="0000FF"/>
                <w:sz w:val="20"/>
                <w:u w:val="single"/>
              </w:rPr>
              <w:t>    </w:t>
            </w:r>
            <w:hyperlink w:anchor="i374575ee8ecb4d8c9aaa6bdb34828ed2_103">
              <w:r>
                <w:rPr>
                  <w:rStyle w:val="InternetLink"/>
                  <w:rFonts w:ascii="Times New Roman;sans-serif" w:hAnsi="Times New Roman;sans-serif"/>
                  <w:b w:val="false"/>
                  <w:color w:val="000080"/>
                  <w:sz w:val="20"/>
                  <w:u w:val="single"/>
                </w:rPr>
                <w:t>Organization and Description of Business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03">
              <w:r>
                <w:rPr>
                  <w:rStyle w:val="InternetLink"/>
                  <w:rFonts w:ascii="Times New Roman;sans-serif" w:hAnsi="Times New Roman;sans-serif"/>
                  <w:b w:val="false"/>
                  <w:strike w:val="false"/>
                  <w:dstrike w:val="false"/>
                  <w:color w:val="000000"/>
                  <w:sz w:val="20"/>
                  <w:u w:val="none"/>
                  <w:effect w:val="none"/>
                </w:rPr>
                <w:t>61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06">
              <w:r>
                <w:rPr>
                  <w:rStyle w:val="InternetLink"/>
                  <w:rFonts w:ascii="Times New Roman;sans-serif" w:hAnsi="Times New Roman;sans-serif"/>
                  <w:b w:val="false"/>
                  <w:color w:val="000080"/>
                  <w:sz w:val="20"/>
                  <w:u w:val="single"/>
                </w:rPr>
                <w:t>2.</w:t>
              </w:r>
            </w:hyperlink>
            <w:r>
              <w:rPr>
                <w:rFonts w:ascii="Times New Roman;sans-serif" w:hAnsi="Times New Roman;sans-serif"/>
                <w:b w:val="false"/>
                <w:color w:val="0000FF"/>
                <w:sz w:val="20"/>
                <w:u w:val="single"/>
              </w:rPr>
              <w:t>    </w:t>
            </w:r>
            <w:hyperlink w:anchor="i374575ee8ecb4d8c9aaa6bdb34828ed2_106">
              <w:r>
                <w:rPr>
                  <w:rStyle w:val="InternetLink"/>
                  <w:rFonts w:ascii="Times New Roman;sans-serif" w:hAnsi="Times New Roman;sans-serif"/>
                  <w:b w:val="false"/>
                  <w:color w:val="000080"/>
                  <w:sz w:val="20"/>
                  <w:u w:val="single"/>
                </w:rPr>
                <w:t>Basis of Presentation and Consolidation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06">
              <w:r>
                <w:rPr>
                  <w:rStyle w:val="InternetLink"/>
                  <w:rFonts w:ascii="Times New Roman;sans-serif" w:hAnsi="Times New Roman;sans-serif"/>
                  <w:b w:val="false"/>
                  <w:strike w:val="false"/>
                  <w:dstrike w:val="false"/>
                  <w:color w:val="000000"/>
                  <w:sz w:val="20"/>
                  <w:u w:val="none"/>
                  <w:effect w:val="none"/>
                </w:rPr>
                <w:t>61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09">
              <w:r>
                <w:rPr>
                  <w:rStyle w:val="InternetLink"/>
                  <w:rFonts w:ascii="Times New Roman;sans-serif" w:hAnsi="Times New Roman;sans-serif"/>
                  <w:b w:val="false"/>
                  <w:color w:val="0000FF"/>
                  <w:sz w:val="20"/>
                  <w:u w:val="single"/>
                </w:rPr>
                <w:t>3.</w:t>
              </w:r>
            </w:hyperlink>
            <w:r>
              <w:rPr>
                <w:color w:val="0000FF"/>
                <w:u w:val="single"/>
              </w:rPr>
              <w:t>    </w:t>
            </w:r>
            <w:hyperlink w:anchor="i374575ee8ecb4d8c9aaa6bdb34828ed2_109">
              <w:r>
                <w:rPr>
                  <w:rStyle w:val="InternetLink"/>
                  <w:rFonts w:ascii="Times New Roman;sans-serif" w:hAnsi="Times New Roman;sans-serif"/>
                  <w:b w:val="false"/>
                  <w:color w:val="0000FF"/>
                  <w:sz w:val="20"/>
                  <w:u w:val="single"/>
                </w:rPr>
                <w:t>Summary of Significant Accounting Policies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09">
              <w:r>
                <w:rPr>
                  <w:rStyle w:val="InternetLink"/>
                  <w:rFonts w:ascii="Times New Roman;sans-serif" w:hAnsi="Times New Roman;sans-serif"/>
                  <w:b w:val="false"/>
                  <w:strike w:val="false"/>
                  <w:dstrike w:val="false"/>
                  <w:color w:val="000000"/>
                  <w:sz w:val="20"/>
                  <w:u w:val="none"/>
                  <w:effect w:val="none"/>
                </w:rPr>
                <w:t>63</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12">
              <w:r>
                <w:rPr>
                  <w:rStyle w:val="InternetLink"/>
                  <w:rFonts w:ascii="Times New Roman;sans-serif" w:hAnsi="Times New Roman;sans-serif"/>
                  <w:b w:val="false"/>
                  <w:color w:val="0000FF"/>
                  <w:sz w:val="20"/>
                  <w:u w:val="single"/>
                </w:rPr>
                <w:t>4.</w:t>
              </w:r>
            </w:hyperlink>
            <w:r>
              <w:rPr>
                <w:color w:val="0000FF"/>
                <w:u w:val="single"/>
              </w:rPr>
              <w:t>    </w:t>
            </w:r>
            <w:hyperlink w:anchor="i374575ee8ecb4d8c9aaa6bdb34828ed2_112">
              <w:r>
                <w:rPr>
                  <w:rStyle w:val="InternetLink"/>
                  <w:rFonts w:ascii="Times New Roman;sans-serif" w:hAnsi="Times New Roman;sans-serif"/>
                  <w:b w:val="false"/>
                  <w:color w:val="0000FF"/>
                  <w:sz w:val="20"/>
                  <w:u w:val="single"/>
                </w:rPr>
                <w:t>Revenues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12">
              <w:r>
                <w:rPr>
                  <w:rStyle w:val="InternetLink"/>
                  <w:rFonts w:ascii="Times New Roman;sans-serif" w:hAnsi="Times New Roman;sans-serif"/>
                  <w:b w:val="false"/>
                  <w:strike w:val="false"/>
                  <w:dstrike w:val="false"/>
                  <w:color w:val="000000"/>
                  <w:sz w:val="20"/>
                  <w:u w:val="none"/>
                  <w:effect w:val="none"/>
                </w:rPr>
                <w:t>74</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15">
              <w:r>
                <w:rPr>
                  <w:rStyle w:val="InternetLink"/>
                  <w:rFonts w:ascii="Times New Roman;sans-serif" w:hAnsi="Times New Roman;sans-serif"/>
                  <w:b w:val="false"/>
                  <w:color w:val="0000FF"/>
                  <w:sz w:val="20"/>
                  <w:u w:val="single"/>
                </w:rPr>
                <w:t>5.</w:t>
              </w:r>
            </w:hyperlink>
            <w:r>
              <w:rPr>
                <w:color w:val="0000FF"/>
                <w:u w:val="single"/>
              </w:rPr>
              <w:t>    </w:t>
            </w:r>
            <w:hyperlink w:anchor="i374575ee8ecb4d8c9aaa6bdb34828ed2_115">
              <w:r>
                <w:rPr>
                  <w:rStyle w:val="InternetLink"/>
                  <w:rFonts w:ascii="Times New Roman;sans-serif" w:hAnsi="Times New Roman;sans-serif"/>
                  <w:b w:val="false"/>
                  <w:color w:val="0000FF"/>
                  <w:sz w:val="20"/>
                  <w:u w:val="single"/>
                </w:rPr>
                <w:t>Leases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15">
              <w:r>
                <w:rPr>
                  <w:rStyle w:val="InternetLink"/>
                  <w:rFonts w:ascii="Times New Roman;sans-serif" w:hAnsi="Times New Roman;sans-serif"/>
                  <w:b w:val="false"/>
                  <w:strike w:val="false"/>
                  <w:dstrike w:val="false"/>
                  <w:color w:val="000000"/>
                  <w:sz w:val="20"/>
                  <w:u w:val="none"/>
                  <w:effect w:val="none"/>
                </w:rPr>
                <w:t>75</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21">
              <w:r>
                <w:rPr>
                  <w:rStyle w:val="InternetLink"/>
                  <w:rFonts w:ascii="Times New Roman;sans-serif" w:hAnsi="Times New Roman;sans-serif"/>
                  <w:b w:val="false"/>
                  <w:color w:val="0000FF"/>
                  <w:sz w:val="20"/>
                  <w:u w:val="single"/>
                </w:rPr>
                <w:t>6.</w:t>
              </w:r>
            </w:hyperlink>
            <w:r>
              <w:rPr>
                <w:color w:val="0000FF"/>
                <w:u w:val="single"/>
              </w:rPr>
              <w:t>    </w:t>
            </w:r>
            <w:hyperlink w:anchor="i374575ee8ecb4d8c9aaa6bdb34828ed2_121">
              <w:r>
                <w:rPr>
                  <w:rStyle w:val="InternetLink"/>
                  <w:rFonts w:ascii="Times New Roman;sans-serif" w:hAnsi="Times New Roman;sans-serif"/>
                  <w:b w:val="false"/>
                  <w:color w:val="0000FF"/>
                  <w:sz w:val="20"/>
                  <w:u w:val="single"/>
                </w:rPr>
                <w:t>Business Combinations, Asset Acquisitions and Dispositions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21">
              <w:r>
                <w:rPr>
                  <w:rStyle w:val="InternetLink"/>
                  <w:rFonts w:ascii="Times New Roman;sans-serif" w:hAnsi="Times New Roman;sans-serif"/>
                  <w:b w:val="false"/>
                  <w:strike w:val="false"/>
                  <w:dstrike w:val="false"/>
                  <w:color w:val="000000"/>
                  <w:sz w:val="20"/>
                  <w:u w:val="none"/>
                  <w:effect w:val="none"/>
                </w:rPr>
                <w:t>80</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852">
              <w:r>
                <w:rPr>
                  <w:rStyle w:val="InternetLink"/>
                  <w:rFonts w:ascii="Times New Roman;sans-serif" w:hAnsi="Times New Roman;sans-serif"/>
                  <w:b w:val="false"/>
                  <w:color w:val="000080"/>
                  <w:sz w:val="20"/>
                  <w:u w:val="single"/>
                </w:rPr>
                <w:t>7.</w:t>
              </w:r>
            </w:hyperlink>
            <w:r>
              <w:rPr>
                <w:rFonts w:ascii="Times New Roman;sans-serif" w:hAnsi="Times New Roman;sans-serif"/>
                <w:b w:val="false"/>
                <w:color w:val="0000FF"/>
                <w:sz w:val="20"/>
                <w:u w:val="single"/>
              </w:rPr>
              <w:t xml:space="preserve"> </w:t>
            </w:r>
            <w:hyperlink w:anchor="i374575ee8ecb4d8c9aaa6bdb34828ed2_852">
              <w:r>
                <w:rPr>
                  <w:rStyle w:val="InternetLink"/>
                  <w:rFonts w:ascii="Times New Roman;sans-serif" w:hAnsi="Times New Roman;sans-serif"/>
                  <w:b w:val="false"/>
                  <w:color w:val="000080"/>
                  <w:sz w:val="20"/>
                  <w:u w:val="single"/>
                </w:rPr>
                <w:t>Assets and Liabilities Held for Sale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24">
              <w:r>
                <w:rPr>
                  <w:rStyle w:val="InternetLink"/>
                  <w:rFonts w:ascii="Times New Roman;sans-serif" w:hAnsi="Times New Roman;sans-serif"/>
                  <w:b w:val="false"/>
                  <w:color w:val="0000FF"/>
                  <w:sz w:val="20"/>
                  <w:u w:val="single"/>
                </w:rPr>
                <w:t>8.</w:t>
              </w:r>
            </w:hyperlink>
            <w:r>
              <w:rPr>
                <w:color w:val="0000FF"/>
                <w:u w:val="single"/>
              </w:rPr>
              <w:t>    </w:t>
            </w:r>
            <w:hyperlink w:anchor="i374575ee8ecb4d8c9aaa6bdb34828ed2_124">
              <w:r>
                <w:rPr>
                  <w:rStyle w:val="InternetLink"/>
                  <w:rFonts w:ascii="Times New Roman;sans-serif" w:hAnsi="Times New Roman;sans-serif"/>
                  <w:b w:val="false"/>
                  <w:color w:val="0000FF"/>
                  <w:sz w:val="20"/>
                  <w:u w:val="single"/>
                </w:rPr>
                <w:t>Investment in Unconsolidated Entities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24">
              <w:r>
                <w:rPr>
                  <w:rStyle w:val="InternetLink"/>
                  <w:rFonts w:ascii="Times New Roman;sans-serif" w:hAnsi="Times New Roman;sans-serif"/>
                  <w:b w:val="false"/>
                  <w:strike w:val="false"/>
                  <w:dstrike w:val="false"/>
                  <w:color w:val="000000"/>
                  <w:sz w:val="20"/>
                  <w:u w:val="none"/>
                  <w:effect w:val="none"/>
                </w:rPr>
                <w:t>81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27">
              <w:r>
                <w:rPr>
                  <w:rStyle w:val="InternetLink"/>
                  <w:rFonts w:ascii="Times New Roman;sans-serif" w:hAnsi="Times New Roman;sans-serif"/>
                  <w:b w:val="false"/>
                  <w:color w:val="0000FF"/>
                  <w:sz w:val="20"/>
                  <w:u w:val="single"/>
                </w:rPr>
                <w:t>9.</w:t>
              </w:r>
            </w:hyperlink>
            <w:r>
              <w:rPr>
                <w:color w:val="0000FF"/>
                <w:u w:val="single"/>
              </w:rPr>
              <w:t>    </w:t>
            </w:r>
            <w:hyperlink w:anchor="i374575ee8ecb4d8c9aaa6bdb34828ed2_127">
              <w:r>
                <w:rPr>
                  <w:rStyle w:val="InternetLink"/>
                  <w:rFonts w:ascii="Times New Roman;sans-serif" w:hAnsi="Times New Roman;sans-serif"/>
                  <w:b w:val="false"/>
                  <w:color w:val="0000FF"/>
                  <w:sz w:val="20"/>
                  <w:u w:val="single"/>
                </w:rPr>
                <w:t>Fair Value of Financial Instruments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27">
              <w:r>
                <w:rPr>
                  <w:rStyle w:val="InternetLink"/>
                  <w:rFonts w:ascii="Times New Roman;sans-serif" w:hAnsi="Times New Roman;sans-serif"/>
                  <w:b w:val="false"/>
                  <w:strike w:val="false"/>
                  <w:dstrike w:val="false"/>
                  <w:color w:val="000000"/>
                  <w:sz w:val="20"/>
                  <w:u w:val="none"/>
                  <w:effect w:val="none"/>
                </w:rPr>
                <w:t>81</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30">
              <w:r>
                <w:rPr>
                  <w:rStyle w:val="InternetLink"/>
                  <w:rFonts w:ascii="Times New Roman;sans-serif" w:hAnsi="Times New Roman;sans-serif"/>
                  <w:b w:val="false"/>
                  <w:color w:val="0000FF"/>
                  <w:sz w:val="20"/>
                  <w:u w:val="single"/>
                </w:rPr>
                <w:t>10.</w:t>
              </w:r>
            </w:hyperlink>
            <w:r>
              <w:rPr>
                <w:color w:val="0000FF"/>
                <w:u w:val="single"/>
              </w:rPr>
              <w:t>    </w:t>
            </w:r>
            <w:hyperlink w:anchor="i374575ee8ecb4d8c9aaa6bdb34828ed2_130">
              <w:r>
                <w:rPr>
                  <w:rStyle w:val="InternetLink"/>
                  <w:rFonts w:ascii="Times New Roman;sans-serif" w:hAnsi="Times New Roman;sans-serif"/>
                  <w:b w:val="false"/>
                  <w:color w:val="0000FF"/>
                  <w:sz w:val="20"/>
                  <w:u w:val="single"/>
                </w:rPr>
                <w:t>Property, Plant and Equipment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30">
              <w:r>
                <w:rPr>
                  <w:rStyle w:val="InternetLink"/>
                  <w:rFonts w:ascii="Times New Roman;sans-serif" w:hAnsi="Times New Roman;sans-serif"/>
                  <w:b w:val="false"/>
                  <w:strike w:val="false"/>
                  <w:dstrike w:val="false"/>
                  <w:color w:val="000000"/>
                  <w:sz w:val="20"/>
                  <w:u w:val="none"/>
                  <w:effect w:val="none"/>
                </w:rPr>
                <w:t>83</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33">
              <w:r>
                <w:rPr>
                  <w:rStyle w:val="InternetLink"/>
                  <w:rFonts w:ascii="Times New Roman;sans-serif" w:hAnsi="Times New Roman;sans-serif"/>
                  <w:b w:val="false"/>
                  <w:color w:val="0000FF"/>
                  <w:sz w:val="20"/>
                  <w:u w:val="single"/>
                </w:rPr>
                <w:t>11.</w:t>
              </w:r>
            </w:hyperlink>
            <w:r>
              <w:rPr>
                <w:color w:val="0000FF"/>
                <w:u w:val="single"/>
              </w:rPr>
              <w:t>    </w:t>
            </w:r>
            <w:hyperlink w:anchor="i374575ee8ecb4d8c9aaa6bdb34828ed2_133">
              <w:r>
                <w:rPr>
                  <w:rStyle w:val="InternetLink"/>
                  <w:rFonts w:ascii="Times New Roman;sans-serif" w:hAnsi="Times New Roman;sans-serif"/>
                  <w:b w:val="false"/>
                  <w:color w:val="0000FF"/>
                  <w:sz w:val="20"/>
                  <w:u w:val="single"/>
                </w:rPr>
                <w:t>Derivative Instruments and Hedging Activities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33">
              <w:r>
                <w:rPr>
                  <w:rStyle w:val="InternetLink"/>
                  <w:rFonts w:ascii="Times New Roman;sans-serif" w:hAnsi="Times New Roman;sans-serif"/>
                  <w:b w:val="false"/>
                  <w:strike w:val="false"/>
                  <w:dstrike w:val="false"/>
                  <w:color w:val="000000"/>
                  <w:sz w:val="20"/>
                  <w:u w:val="none"/>
                  <w:effect w:val="none"/>
                </w:rPr>
                <w:t>84</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36">
              <w:r>
                <w:rPr>
                  <w:rStyle w:val="InternetLink"/>
                  <w:rFonts w:ascii="Times New Roman;sans-serif" w:hAnsi="Times New Roman;sans-serif"/>
                  <w:b w:val="false"/>
                  <w:color w:val="0000FF"/>
                  <w:sz w:val="20"/>
                  <w:u w:val="single"/>
                </w:rPr>
                <w:t>12.</w:t>
              </w:r>
            </w:hyperlink>
            <w:r>
              <w:rPr>
                <w:color w:val="0000FF"/>
                <w:u w:val="single"/>
              </w:rPr>
              <w:t>    </w:t>
            </w:r>
            <w:hyperlink w:anchor="i374575ee8ecb4d8c9aaa6bdb34828ed2_136">
              <w:r>
                <w:rPr>
                  <w:rStyle w:val="InternetLink"/>
                  <w:rFonts w:ascii="Times New Roman;sans-serif" w:hAnsi="Times New Roman;sans-serif"/>
                  <w:b w:val="false"/>
                  <w:color w:val="0000FF"/>
                  <w:sz w:val="20"/>
                  <w:u w:val="single"/>
                </w:rPr>
                <w:t>Goodwill and Intangible Assets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36">
              <w:r>
                <w:rPr>
                  <w:rStyle w:val="InternetLink"/>
                  <w:rFonts w:ascii="Times New Roman;sans-serif" w:hAnsi="Times New Roman;sans-serif"/>
                  <w:b w:val="false"/>
                  <w:strike w:val="false"/>
                  <w:dstrike w:val="false"/>
                  <w:color w:val="000000"/>
                  <w:sz w:val="20"/>
                  <w:u w:val="none"/>
                  <w:effect w:val="none"/>
                </w:rPr>
                <w:t>85</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39">
              <w:r>
                <w:rPr>
                  <w:rStyle w:val="InternetLink"/>
                  <w:rFonts w:ascii="Times New Roman;sans-serif" w:hAnsi="Times New Roman;sans-serif"/>
                  <w:b w:val="false"/>
                  <w:color w:val="0000FF"/>
                  <w:sz w:val="20"/>
                  <w:u w:val="single"/>
                </w:rPr>
                <w:t>13.</w:t>
              </w:r>
            </w:hyperlink>
            <w:r>
              <w:rPr>
                <w:color w:val="0000FF"/>
                <w:u w:val="single"/>
              </w:rPr>
              <w:t>    </w:t>
            </w:r>
            <w:hyperlink w:anchor="i374575ee8ecb4d8c9aaa6bdb34828ed2_139">
              <w:r>
                <w:rPr>
                  <w:rStyle w:val="InternetLink"/>
                  <w:rFonts w:ascii="Times New Roman;sans-serif" w:hAnsi="Times New Roman;sans-serif"/>
                  <w:b w:val="false"/>
                  <w:color w:val="0000FF"/>
                  <w:sz w:val="20"/>
                  <w:u w:val="single"/>
                </w:rPr>
                <w:t>Notes and Other Debt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39">
              <w:r>
                <w:rPr>
                  <w:rStyle w:val="InternetLink"/>
                  <w:rFonts w:ascii="Times New Roman;sans-serif" w:hAnsi="Times New Roman;sans-serif"/>
                  <w:b w:val="false"/>
                  <w:strike w:val="false"/>
                  <w:dstrike w:val="false"/>
                  <w:color w:val="000000"/>
                  <w:sz w:val="20"/>
                  <w:u w:val="none"/>
                  <w:effect w:val="none"/>
                </w:rPr>
                <w:t>86</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45">
              <w:r>
                <w:rPr>
                  <w:rStyle w:val="InternetLink"/>
                  <w:rFonts w:ascii="Times New Roman;sans-serif" w:hAnsi="Times New Roman;sans-serif"/>
                  <w:b w:val="false"/>
                  <w:color w:val="0000FF"/>
                  <w:sz w:val="20"/>
                  <w:u w:val="single"/>
                </w:rPr>
                <w:t>14.</w:t>
              </w:r>
            </w:hyperlink>
            <w:r>
              <w:rPr>
                <w:color w:val="0000FF"/>
                <w:u w:val="single"/>
              </w:rPr>
              <w:t>    </w:t>
            </w:r>
            <w:hyperlink w:anchor="i374575ee8ecb4d8c9aaa6bdb34828ed2_145">
              <w:r>
                <w:rPr>
                  <w:rStyle w:val="InternetLink"/>
                  <w:rFonts w:ascii="Times New Roman;sans-serif" w:hAnsi="Times New Roman;sans-serif"/>
                  <w:b w:val="false"/>
                  <w:color w:val="0000FF"/>
                  <w:sz w:val="20"/>
                  <w:u w:val="single"/>
                </w:rPr>
                <w:t>Stock-Based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45">
              <w:r>
                <w:rPr>
                  <w:rStyle w:val="InternetLink"/>
                  <w:rFonts w:ascii="Times New Roman;sans-serif" w:hAnsi="Times New Roman;sans-serif"/>
                  <w:b w:val="false"/>
                  <w:strike w:val="false"/>
                  <w:dstrike w:val="false"/>
                  <w:color w:val="000000"/>
                  <w:sz w:val="20"/>
                  <w:u w:val="none"/>
                  <w:effect w:val="none"/>
                </w:rPr>
                <w:t>92</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48">
              <w:r>
                <w:rPr>
                  <w:rStyle w:val="InternetLink"/>
                  <w:rFonts w:ascii="Times New Roman;sans-serif" w:hAnsi="Times New Roman;sans-serif"/>
                  <w:b w:val="false"/>
                  <w:color w:val="0000FF"/>
                  <w:sz w:val="20"/>
                  <w:u w:val="single"/>
                </w:rPr>
                <w:t>15.</w:t>
              </w:r>
            </w:hyperlink>
            <w:r>
              <w:rPr>
                <w:color w:val="0000FF"/>
                <w:u w:val="single"/>
              </w:rPr>
              <w:t>    </w:t>
            </w:r>
            <w:hyperlink w:anchor="i374575ee8ecb4d8c9aaa6bdb34828ed2_148">
              <w:r>
                <w:rPr>
                  <w:rStyle w:val="InternetLink"/>
                  <w:rFonts w:ascii="Times New Roman;sans-serif" w:hAnsi="Times New Roman;sans-serif"/>
                  <w:b w:val="false"/>
                  <w:color w:val="0000FF"/>
                  <w:sz w:val="20"/>
                  <w:u w:val="single"/>
                </w:rPr>
                <w:t>Earnings Per Share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48">
              <w:r>
                <w:rPr>
                  <w:rStyle w:val="InternetLink"/>
                  <w:rFonts w:ascii="Times New Roman;sans-serif" w:hAnsi="Times New Roman;sans-serif"/>
                  <w:b w:val="false"/>
                  <w:strike w:val="false"/>
                  <w:dstrike w:val="false"/>
                  <w:color w:val="000000"/>
                  <w:sz w:val="20"/>
                  <w:u w:val="none"/>
                  <w:effect w:val="none"/>
                </w:rPr>
                <w:t>94</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51">
              <w:r>
                <w:rPr>
                  <w:rStyle w:val="InternetLink"/>
                  <w:rFonts w:ascii="Times New Roman;sans-serif" w:hAnsi="Times New Roman;sans-serif"/>
                  <w:b w:val="false"/>
                  <w:color w:val="0000FF"/>
                  <w:sz w:val="20"/>
                  <w:u w:val="single"/>
                </w:rPr>
                <w:t>16.</w:t>
              </w:r>
            </w:hyperlink>
            <w:r>
              <w:rPr>
                <w:color w:val="0000FF"/>
                <w:u w:val="single"/>
              </w:rPr>
              <w:t>    </w:t>
            </w:r>
            <w:hyperlink w:anchor="i374575ee8ecb4d8c9aaa6bdb34828ed2_151">
              <w:r>
                <w:rPr>
                  <w:rStyle w:val="InternetLink"/>
                  <w:rFonts w:ascii="Times New Roman;sans-serif" w:hAnsi="Times New Roman;sans-serif"/>
                  <w:b w:val="false"/>
                  <w:color w:val="0000FF"/>
                  <w:sz w:val="20"/>
                  <w:u w:val="single"/>
                </w:rPr>
                <w:t>Segment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51">
              <w:r>
                <w:rPr>
                  <w:rStyle w:val="InternetLink"/>
                  <w:rFonts w:ascii="Times New Roman;sans-serif" w:hAnsi="Times New Roman;sans-serif"/>
                  <w:b w:val="false"/>
                  <w:strike w:val="false"/>
                  <w:dstrike w:val="false"/>
                  <w:color w:val="000000"/>
                  <w:sz w:val="20"/>
                  <w:u w:val="none"/>
                  <w:effect w:val="none"/>
                </w:rPr>
                <w:t>95</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54">
              <w:r>
                <w:rPr>
                  <w:rStyle w:val="InternetLink"/>
                  <w:rFonts w:ascii="Times New Roman;sans-serif" w:hAnsi="Times New Roman;sans-serif"/>
                  <w:b w:val="false"/>
                  <w:color w:val="0000FF"/>
                  <w:sz w:val="20"/>
                  <w:u w:val="single"/>
                </w:rPr>
                <w:t>17.</w:t>
              </w:r>
            </w:hyperlink>
            <w:r>
              <w:rPr>
                <w:color w:val="0000FF"/>
                <w:u w:val="single"/>
              </w:rPr>
              <w:t>    </w:t>
            </w:r>
            <w:hyperlink w:anchor="i374575ee8ecb4d8c9aaa6bdb34828ed2_154">
              <w:r>
                <w:rPr>
                  <w:rStyle w:val="InternetLink"/>
                  <w:rFonts w:ascii="Times New Roman;sans-serif" w:hAnsi="Times New Roman;sans-serif"/>
                  <w:b w:val="false"/>
                  <w:color w:val="0000FF"/>
                  <w:sz w:val="20"/>
                  <w:u w:val="single"/>
                </w:rPr>
                <w:t>Commitments and Contingencies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54">
              <w:r>
                <w:rPr>
                  <w:rStyle w:val="InternetLink"/>
                  <w:rFonts w:ascii="Times New Roman;sans-serif" w:hAnsi="Times New Roman;sans-serif"/>
                  <w:b w:val="false"/>
                  <w:strike w:val="false"/>
                  <w:dstrike w:val="false"/>
                  <w:color w:val="000000"/>
                  <w:sz w:val="20"/>
                  <w:u w:val="none"/>
                  <w:effect w:val="none"/>
                </w:rPr>
                <w:t>98</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57">
              <w:r>
                <w:rPr>
                  <w:rStyle w:val="InternetLink"/>
                  <w:rFonts w:ascii="Times New Roman;sans-serif" w:hAnsi="Times New Roman;sans-serif"/>
                  <w:b w:val="false"/>
                  <w:color w:val="0000FF"/>
                  <w:sz w:val="20"/>
                  <w:u w:val="single"/>
                </w:rPr>
                <w:t>18.</w:t>
              </w:r>
            </w:hyperlink>
            <w:r>
              <w:rPr>
                <w:color w:val="0000FF"/>
                <w:u w:val="single"/>
              </w:rPr>
              <w:t>    </w:t>
            </w:r>
            <w:hyperlink w:anchor="i374575ee8ecb4d8c9aaa6bdb34828ed2_157">
              <w:r>
                <w:rPr>
                  <w:rStyle w:val="InternetLink"/>
                  <w:rFonts w:ascii="Times New Roman;sans-serif" w:hAnsi="Times New Roman;sans-serif"/>
                  <w:b w:val="false"/>
                  <w:color w:val="0000FF"/>
                  <w:sz w:val="20"/>
                  <w:u w:val="single"/>
                </w:rPr>
                <w:t>Accumulated Other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57">
              <w:r>
                <w:rPr>
                  <w:rStyle w:val="InternetLink"/>
                  <w:rFonts w:ascii="Times New Roman;sans-serif" w:hAnsi="Times New Roman;sans-serif"/>
                  <w:b w:val="false"/>
                  <w:strike w:val="false"/>
                  <w:dstrike w:val="false"/>
                  <w:color w:val="000000"/>
                  <w:sz w:val="20"/>
                  <w:u w:val="none"/>
                  <w:effect w:val="none"/>
                </w:rPr>
                <w:t>98</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60">
              <w:r>
                <w:rPr>
                  <w:rStyle w:val="InternetLink"/>
                  <w:rFonts w:ascii="Times New Roman;sans-serif" w:hAnsi="Times New Roman;sans-serif"/>
                  <w:b w:val="false"/>
                  <w:color w:val="0000FF"/>
                  <w:sz w:val="20"/>
                  <w:u w:val="single"/>
                </w:rPr>
                <w:t>19.</w:t>
              </w:r>
            </w:hyperlink>
            <w:r>
              <w:rPr>
                <w:color w:val="0000FF"/>
                <w:u w:val="single"/>
              </w:rPr>
              <w:t>    </w:t>
            </w:r>
            <w:hyperlink w:anchor="i374575ee8ecb4d8c9aaa6bdb34828ed2_160">
              <w:r>
                <w:rPr>
                  <w:rStyle w:val="InternetLink"/>
                  <w:rFonts w:ascii="Times New Roman;sans-serif" w:hAnsi="Times New Roman;sans-serif"/>
                  <w:b w:val="false"/>
                  <w:color w:val="0000FF"/>
                  <w:sz w:val="20"/>
                  <w:u w:val="single"/>
                </w:rPr>
                <w:t>Income Taxes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60">
              <w:r>
                <w:rPr>
                  <w:rStyle w:val="InternetLink"/>
                  <w:rFonts w:ascii="Times New Roman;sans-serif" w:hAnsi="Times New Roman;sans-serif"/>
                  <w:b w:val="false"/>
                  <w:strike w:val="false"/>
                  <w:dstrike w:val="false"/>
                  <w:color w:val="000000"/>
                  <w:sz w:val="20"/>
                  <w:u w:val="none"/>
                  <w:effect w:val="none"/>
                </w:rPr>
                <w:t>99</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63">
              <w:r>
                <w:rPr>
                  <w:rStyle w:val="InternetLink"/>
                  <w:rFonts w:ascii="Times New Roman;sans-serif" w:hAnsi="Times New Roman;sans-serif"/>
                  <w:b w:val="false"/>
                  <w:color w:val="0000FF"/>
                  <w:sz w:val="20"/>
                  <w:u w:val="single"/>
                </w:rPr>
                <w:t>20.</w:t>
              </w:r>
            </w:hyperlink>
            <w:r>
              <w:rPr>
                <w:color w:val="0000FF"/>
                <w:u w:val="single"/>
              </w:rPr>
              <w:t>    </w:t>
            </w:r>
            <w:hyperlink w:anchor="i374575ee8ecb4d8c9aaa6bdb34828ed2_163">
              <w:r>
                <w:rPr>
                  <w:rStyle w:val="InternetLink"/>
                  <w:rFonts w:ascii="Times New Roman;sans-serif" w:hAnsi="Times New Roman;sans-serif"/>
                  <w:b w:val="false"/>
                  <w:color w:val="0000FF"/>
                  <w:sz w:val="20"/>
                  <w:u w:val="single"/>
                </w:rPr>
                <w:t>Supplemental Cash Flow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63">
              <w:r>
                <w:rPr>
                  <w:rStyle w:val="InternetLink"/>
                  <w:rFonts w:ascii="Times New Roman;sans-serif" w:hAnsi="Times New Roman;sans-serif"/>
                  <w:b w:val="false"/>
                  <w:strike w:val="false"/>
                  <w:dstrike w:val="false"/>
                  <w:color w:val="000000"/>
                  <w:sz w:val="20"/>
                  <w:u w:val="none"/>
                  <w:effect w:val="none"/>
                </w:rPr>
                <w:t>102</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66">
              <w:r>
                <w:rPr>
                  <w:rStyle w:val="InternetLink"/>
                  <w:rFonts w:ascii="Times New Roman;sans-serif" w:hAnsi="Times New Roman;sans-serif"/>
                  <w:b w:val="false"/>
                  <w:color w:val="0000FF"/>
                  <w:sz w:val="20"/>
                  <w:u w:val="single"/>
                </w:rPr>
                <w:t>21.</w:t>
              </w:r>
            </w:hyperlink>
            <w:r>
              <w:rPr>
                <w:color w:val="0000FF"/>
                <w:u w:val="single"/>
              </w:rPr>
              <w:t>    </w:t>
            </w:r>
            <w:hyperlink w:anchor="i374575ee8ecb4d8c9aaa6bdb34828ed2_166">
              <w:r>
                <w:rPr>
                  <w:rStyle w:val="InternetLink"/>
                  <w:rFonts w:ascii="Times New Roman;sans-serif" w:hAnsi="Times New Roman;sans-serif"/>
                  <w:b w:val="false"/>
                  <w:color w:val="0000FF"/>
                  <w:sz w:val="20"/>
                  <w:u w:val="single"/>
                </w:rPr>
                <w:t>Capital Stock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66">
              <w:r>
                <w:rPr>
                  <w:rStyle w:val="InternetLink"/>
                  <w:rFonts w:ascii="Times New Roman;sans-serif" w:hAnsi="Times New Roman;sans-serif"/>
                  <w:b w:val="false"/>
                  <w:strike w:val="false"/>
                  <w:dstrike w:val="false"/>
                  <w:color w:val="000000"/>
                  <w:sz w:val="20"/>
                  <w:u w:val="none"/>
                  <w:effect w:val="none"/>
                </w:rPr>
                <w:t>102</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69">
              <w:r>
                <w:rPr>
                  <w:rStyle w:val="InternetLink"/>
                  <w:rFonts w:ascii="Times New Roman;sans-serif" w:hAnsi="Times New Roman;sans-serif"/>
                  <w:b w:val="false"/>
                  <w:color w:val="0000FF"/>
                  <w:sz w:val="20"/>
                  <w:u w:val="single"/>
                </w:rPr>
                <w:t>22.</w:t>
              </w:r>
            </w:hyperlink>
            <w:r>
              <w:rPr>
                <w:color w:val="0000FF"/>
                <w:u w:val="single"/>
              </w:rPr>
              <w:t>    </w:t>
            </w:r>
            <w:hyperlink w:anchor="i374575ee8ecb4d8c9aaa6bdb34828ed2_169">
              <w:r>
                <w:rPr>
                  <w:rStyle w:val="InternetLink"/>
                  <w:rFonts w:ascii="Times New Roman;sans-serif" w:hAnsi="Times New Roman;sans-serif"/>
                  <w:b w:val="false"/>
                  <w:color w:val="0000FF"/>
                  <w:sz w:val="20"/>
                  <w:u w:val="single"/>
                </w:rPr>
                <w:t>Dividends (Distributions)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69">
              <w:r>
                <w:rPr>
                  <w:rStyle w:val="InternetLink"/>
                  <w:rFonts w:ascii="Times New Roman;sans-serif" w:hAnsi="Times New Roman;sans-serif"/>
                  <w:b w:val="false"/>
                  <w:strike w:val="false"/>
                  <w:dstrike w:val="false"/>
                  <w:color w:val="000000"/>
                  <w:sz w:val="20"/>
                  <w:u w:val="none"/>
                  <w:effect w:val="none"/>
                </w:rPr>
                <w:t>102</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72">
              <w:r>
                <w:rPr>
                  <w:rStyle w:val="InternetLink"/>
                  <w:rFonts w:ascii="Times New Roman;sans-serif" w:hAnsi="Times New Roman;sans-serif"/>
                  <w:b w:val="false"/>
                  <w:color w:val="0000FF"/>
                  <w:sz w:val="20"/>
                  <w:u w:val="single"/>
                </w:rPr>
                <w:t>23.</w:t>
              </w:r>
            </w:hyperlink>
            <w:r>
              <w:rPr>
                <w:color w:val="0000FF"/>
                <w:u w:val="single"/>
              </w:rPr>
              <w:t>    </w:t>
            </w:r>
            <w:hyperlink w:anchor="i374575ee8ecb4d8c9aaa6bdb34828ed2_172">
              <w:r>
                <w:rPr>
                  <w:rStyle w:val="InternetLink"/>
                  <w:rFonts w:ascii="Times New Roman;sans-serif" w:hAnsi="Times New Roman;sans-serif"/>
                  <w:b w:val="false"/>
                  <w:color w:val="0000FF"/>
                  <w:sz w:val="20"/>
                  <w:u w:val="single"/>
                </w:rPr>
                <w:t>Employee Benefit Plan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72">
              <w:r>
                <w:rPr>
                  <w:rStyle w:val="InternetLink"/>
                  <w:rFonts w:ascii="Times New Roman;sans-serif" w:hAnsi="Times New Roman;sans-serif"/>
                  <w:b w:val="false"/>
                  <w:strike w:val="false"/>
                  <w:dstrike w:val="false"/>
                  <w:color w:val="000000"/>
                  <w:sz w:val="20"/>
                  <w:u w:val="none"/>
                  <w:effect w:val="none"/>
                </w:rPr>
                <w:t>103</w:t>
              </w:r>
            </w:hyperlink>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374575ee8ecb4d8c9aaa6bdb34828ed2_175">
              <w:r>
                <w:rPr>
                  <w:rStyle w:val="InternetLink"/>
                  <w:rFonts w:ascii="Times New Roman;sans-serif" w:hAnsi="Times New Roman;sans-serif"/>
                  <w:b w:val="false"/>
                  <w:color w:val="0000FF"/>
                  <w:sz w:val="20"/>
                  <w:u w:val="single"/>
                </w:rPr>
                <w:t>24.</w:t>
              </w:r>
            </w:hyperlink>
            <w:r>
              <w:rPr>
                <w:color w:val="0000FF"/>
                <w:u w:val="single"/>
              </w:rPr>
              <w:t>    </w:t>
            </w:r>
            <w:hyperlink w:anchor="i374575ee8ecb4d8c9aaa6bdb34828ed2_175">
              <w:r>
                <w:rPr>
                  <w:rStyle w:val="InternetLink"/>
                  <w:rFonts w:ascii="Times New Roman;sans-serif" w:hAnsi="Times New Roman;sans-serif"/>
                  <w:b w:val="false"/>
                  <w:color w:val="0000FF"/>
                  <w:sz w:val="20"/>
                  <w:u w:val="single"/>
                </w:rPr>
                <w:t>Subsequent Events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575ee8ecb4d8c9aaa6bdb34828ed2_172">
              <w:r>
                <w:rPr>
                  <w:rStyle w:val="InternetLink"/>
                  <w:rFonts w:ascii="Times New Roman;sans-serif" w:hAnsi="Times New Roman;sans-serif"/>
                  <w:b w:val="false"/>
                  <w:strike w:val="false"/>
                  <w:dstrike w:val="false"/>
                  <w:color w:val="000000"/>
                  <w:sz w:val="20"/>
                  <w:u w:val="none"/>
                  <w:effect w:val="none"/>
                </w:rPr>
                <w:t>103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240" w:after="283"/>
        <w:jc w:val="center"/>
        <w:rPr/>
      </w:pPr>
      <w:r>
        <w:rPr/>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br/>
        <w:t>Uniti Group Inc.:</w:t>
      </w:r>
    </w:p>
    <w:p>
      <w:pPr>
        <w:pStyle w:val="TextBody"/>
        <w:bidi w:val="0"/>
        <w:spacing w:lineRule="auto" w:line="333"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Uniti Group Inc. and subsidiaries (the Company) as of December 31, 2023 and 2022, the related consolidated statements of (loss) income, comprehensive (loss) income, shareholders’ deficit, and cash flows for each of the years in the three-year period ended December 31, 2023, and the related notes and financial statement schedules I to III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lineRule="auto" w:line="333" w:before="0" w:after="200"/>
        <w:jc w:val="left"/>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and our report dated February 29, 2024 expressed an adverse opinion on the effectiveness of the Company’s internal control over financial reporting.</w:t>
      </w:r>
    </w:p>
    <w:p>
      <w:pPr>
        <w:pStyle w:val="TextBody"/>
        <w:bidi w:val="0"/>
        <w:spacing w:lineRule="auto" w:line="333"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333"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333"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the Uniti Fiber Reporting Unit</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Notes 3 and 12 to the consolidated financial statements, the Company’s consolidated goodwill balance was $157.4 million as of December 31, 2023, all of which is associated with the Uniti Fiber segment. The Company performs goodwill impairment testing on an annual basis and whenever events or changes in circumstances occur that would more likely than not reduce the fair value of the reporting unit below its carrying amount. The Company estimated the fair value of the Uniti Fiber reporting unit using a combination of an income approach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value of estimated future cash flows and a market approach based on market data of comparable businesses. The Company recorded impairment of goodwill for the Uniti Fiber reporting unit of $204.0 million during the year ended December 31, 2023 to reduce the carrying value of the reporting unit to its estimated fair value. </w:t>
      </w:r>
    </w:p>
    <w:p>
      <w:pPr>
        <w:pStyle w:val="TextBody"/>
        <w:bidi w:val="0"/>
        <w:spacing w:before="0" w:after="0"/>
        <w:jc w:val="left"/>
        <w:rPr/>
      </w:pPr>
      <w:r>
        <w:rPr/>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the fair value of the Uniti Fiber reporting unit as a critical audit matter. We performed risk assessment procedures to determine the significant assumptions used to estimate the fair value of the reporting unit. Specifically, forecasted revenue, profit margin, and capital expenditures were challenging to test as they represent subjective estimates of future operations. The discount rate and long-term growth rate were also challenging to test as they represent subjective judgments about the investment market for infrastructure operations and assets. Minor changes to these assumptions, either individually or in aggregate, could have a significant effect on the Company’s assessment of the fair value of the reporting unit. Additionally, the audit effort associated with the evaluation of the fair value of the reporting unit required specialized skills and knowledge. </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related to the Company’s reporting unit fair value determination. This included controls related to forecasted revenue, profit margin, and capital expenditures as well as the discount rate and long-term growth rate. We evaluated the forecasted revenue and profit margins by comparing them to peer company analyst reports. We also obtained an understanding of the Company’s intent to carry out particular courses of action by inspecting their written plans and other relevant documentation, and assessed how the Company incorporated those planned actions into forecasted revenue, profit margins and capital expenditures. We compared the Company’s historical revenue, profit margin and capital expenditure forecasts to actual results to assess the Company’s ability to accurately forecast. We evaluated the Company’s forecasted revenue, profit margin, and capital expenditures by comparing them to historical results. We also evaluated whether the information used in the determination of the fair value of the reporting unit was consistent with other information used internally, presented to the Board of Directors, and used to develop other externally presented financial information. In addition, we involved a valuation professional with specialized skills and knowledge, who assisted in evaluating the Company’s discount rate and long-term growth rate by comparing them to market data for comparable entities.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br/>
        <w:t>February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24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br/>
        <w:t>Uniti Group Inc.:</w:t>
      </w:r>
    </w:p>
    <w:p>
      <w:pPr>
        <w:pStyle w:val="TextBody"/>
        <w:bidi w:val="0"/>
        <w:spacing w:before="0" w:after="0"/>
        <w:jc w:val="left"/>
        <w:rPr/>
      </w:pPr>
      <w:r>
        <w:rPr/>
      </w:r>
    </w:p>
    <w:p>
      <w:pPr>
        <w:pStyle w:val="TextBody"/>
        <w:bidi w:val="0"/>
        <w:spacing w:lineRule="auto" w:line="333"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Uniti Group Inc. and subsidiaries' (the Company) internal control over financial reporting as of December 31, 2023, based on criteria established in Internal Control – Integrated Framework (2013)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2023, based on criteria established in Internal Control – Integrated Framework (2013) issued by the Committee of Sponsoring Organizations of the Treadway Commission. </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(loss) income, comprehensive (loss) income, shareholders’ deficit, and cash flows for each of the years in the three-year period ended December 31, 2023, and the related notes and financial statement schedules I to III (collectively, the consolidated financial statements), and our report dated February 29, 2024 expressed an unqualified opinion on those consolidated financial statements.</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an insufficient complement of personnel with appropriate technical expertise to perform effective risk assessment related to determining the income tax impact of goodwill impairments has been identified and included in management’s assessment. The material weakness was considered in determining the nature, timing, and extent of audit tests applied in our audit of the 2023 consolidated financial statements, and this report does not affect our report on those consolidated financial statements.</w:t>
      </w:r>
    </w:p>
    <w:p>
      <w:pPr>
        <w:pStyle w:val="TextBody"/>
        <w:bidi w:val="0"/>
        <w:spacing w:lineRule="auto" w:line="333"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333"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br/>
        <w:t>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529"/>
        <w:gridCol w:w="2132"/>
        <w:gridCol w:w="2140"/>
        <w:gridCol w:w="109"/>
        <w:gridCol w:w="109"/>
        <w:gridCol w:w="109"/>
        <w:gridCol w:w="225"/>
        <w:gridCol w:w="1001"/>
        <w:gridCol w:w="125"/>
        <w:gridCol w:w="109"/>
        <w:gridCol w:w="109"/>
        <w:gridCol w:w="109"/>
        <w:gridCol w:w="224"/>
        <w:gridCol w:w="996"/>
        <w:gridCol w:w="179"/>
      </w:tblGrid>
      <w:tr>
        <w:trPr/>
        <w:tc>
          <w:tcPr>
            <w:tcW w:w="252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3,982,069 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3,754,547 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Straight-line revenue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5,025,129 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4,851,229 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payable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1,273,661 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1,190,041 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other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5,523,579 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5,188,815 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7,509,250 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7,122,435 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50,000 shares authorized, no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500,000 shares authorized, issued and outstanding: 236,559 shares at December 31, 2023 and 235,829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1,210,033 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in excess of accumulated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(3,708,240)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(3,483,634)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Uniti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(2,486,392)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(2,273,577)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Cumulative non-voting convertible preferred stock, $0.01 par value, 6 shares authorized, 3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(2,484,121)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(2,271,206)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5,025,129 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4,851,229 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(Loss) Income</w:t>
      </w:r>
    </w:p>
    <w:tbl>
      <w:tblPr>
        <w:tblW w:w="10205" w:type="dxa"/>
        <w:jc w:val="center"/>
        <w:tblInd w:w="0" w:type="dxa"/>
        <w:tblLayout w:type="fixed"/>
        <w:tblCellMar>
          <w:top w:w="28" w:type="dxa"/>
          <w:left w:w="28" w:type="dxa"/>
          <w:bottom w:w="28" w:type="dxa"/>
          <w:right w:w="28" w:type="dxa"/>
        </w:tblCellMar>
      </w:tblPr>
      <w:tblGrid>
        <w:gridCol w:w="2205"/>
        <w:gridCol w:w="1766"/>
        <w:gridCol w:w="176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20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accretion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 of real estate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 of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income before income taxes and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earnings per common share (Note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264,077 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 Income</w:t>
      </w:r>
    </w:p>
    <w:tbl>
      <w:tblPr>
        <w:tblW w:w="9938" w:type="dxa"/>
        <w:jc w:val="center"/>
        <w:tblInd w:w="0" w:type="dxa"/>
        <w:tblLayout w:type="fixed"/>
        <w:tblCellMar>
          <w:top w:w="28" w:type="dxa"/>
          <w:left w:w="28" w:type="dxa"/>
          <w:bottom w:w="28" w:type="dxa"/>
          <w:right w:w="28" w:type="dxa"/>
        </w:tblCellMar>
      </w:tblPr>
      <w:tblGrid>
        <w:gridCol w:w="2040"/>
        <w:gridCol w:w="1794"/>
        <w:gridCol w:w="1805"/>
        <w:gridCol w:w="109"/>
        <w:gridCol w:w="109"/>
        <w:gridCol w:w="109"/>
        <w:gridCol w:w="211"/>
        <w:gridCol w:w="796"/>
        <w:gridCol w:w="109"/>
        <w:gridCol w:w="109"/>
        <w:gridCol w:w="109"/>
        <w:gridCol w:w="109"/>
        <w:gridCol w:w="211"/>
        <w:gridCol w:w="691"/>
        <w:gridCol w:w="109"/>
        <w:gridCol w:w="109"/>
        <w:gridCol w:w="109"/>
        <w:gridCol w:w="109"/>
        <w:gridCol w:w="211"/>
        <w:gridCol w:w="826"/>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Deficit</w:t>
      </w:r>
    </w:p>
    <w:tbl>
      <w:tblPr>
        <w:tblW w:w="13273" w:type="dxa"/>
        <w:jc w:val="center"/>
        <w:tblInd w:w="0" w:type="dxa"/>
        <w:tblLayout w:type="fixed"/>
        <w:tblCellMar>
          <w:top w:w="28" w:type="dxa"/>
          <w:left w:w="28" w:type="dxa"/>
          <w:bottom w:w="28" w:type="dxa"/>
          <w:right w:w="28" w:type="dxa"/>
        </w:tblCellMar>
      </w:tblPr>
      <w:tblGrid>
        <w:gridCol w:w="479"/>
        <w:gridCol w:w="263"/>
        <w:gridCol w:w="264"/>
        <w:gridCol w:w="109"/>
        <w:gridCol w:w="109"/>
        <w:gridCol w:w="109"/>
        <w:gridCol w:w="203"/>
        <w:gridCol w:w="203"/>
        <w:gridCol w:w="161"/>
        <w:gridCol w:w="109"/>
        <w:gridCol w:w="109"/>
        <w:gridCol w:w="109"/>
        <w:gridCol w:w="181"/>
        <w:gridCol w:w="406"/>
        <w:gridCol w:w="109"/>
        <w:gridCol w:w="109"/>
        <w:gridCol w:w="109"/>
        <w:gridCol w:w="109"/>
        <w:gridCol w:w="435"/>
        <w:gridCol w:w="436"/>
        <w:gridCol w:w="161"/>
        <w:gridCol w:w="109"/>
        <w:gridCol w:w="109"/>
        <w:gridCol w:w="109"/>
        <w:gridCol w:w="181"/>
        <w:gridCol w:w="28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219"/>
        <w:gridCol w:w="654"/>
        <w:gridCol w:w="133"/>
        <w:gridCol w:w="109"/>
        <w:gridCol w:w="109"/>
        <w:gridCol w:w="109"/>
        <w:gridCol w:w="279"/>
        <w:gridCol w:w="557"/>
        <w:gridCol w:w="170"/>
        <w:gridCol w:w="109"/>
        <w:gridCol w:w="109"/>
        <w:gridCol w:w="109"/>
        <w:gridCol w:w="181"/>
        <w:gridCol w:w="73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Distributions</w:t>
              <w:br/>
              <w:t>in Excess of</w:t>
              <w:br/>
              <w:t>Accumulated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Noncontrolling</w:t>
              <w:br/>
              <w:t>Interest - OP</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Noncontrolling</w:t>
              <w:br/>
              <w:t>Interest - Non-</w:t>
              <w:br/>
              <w:t>voting</w:t>
              <w:br/>
              <w:t>Preferred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br/>
              <w:t>Shareholders'</w:t>
              <w:br/>
              <w:t>Deficit</w:t>
            </w:r>
          </w:p>
        </w:tc>
      </w:tr>
      <w:tr>
        <w:trPr/>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231,261,958 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(3,330,455)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(2,072,376)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2021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effect adjustment for adoption of new accounting 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dividends declared ($0.60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2,768,199 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(55,178)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674,140 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234,779,247 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1,214,830 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(9,164)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(3,333,481)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(2,113,774)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2022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dividends declared ($0.60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non-voting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244,682 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(11,877)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735,702 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69,854 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to settle capped call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13273" w:type="dxa"/>
        <w:jc w:val="center"/>
        <w:tblInd w:w="0" w:type="dxa"/>
        <w:tblLayout w:type="fixed"/>
        <w:tblCellMar>
          <w:top w:w="28" w:type="dxa"/>
          <w:left w:w="28" w:type="dxa"/>
          <w:bottom w:w="28" w:type="dxa"/>
          <w:right w:w="28" w:type="dxa"/>
        </w:tblCellMar>
      </w:tblPr>
      <w:tblGrid>
        <w:gridCol w:w="479"/>
        <w:gridCol w:w="263"/>
        <w:gridCol w:w="264"/>
        <w:gridCol w:w="109"/>
        <w:gridCol w:w="109"/>
        <w:gridCol w:w="109"/>
        <w:gridCol w:w="203"/>
        <w:gridCol w:w="203"/>
        <w:gridCol w:w="161"/>
        <w:gridCol w:w="109"/>
        <w:gridCol w:w="109"/>
        <w:gridCol w:w="109"/>
        <w:gridCol w:w="181"/>
        <w:gridCol w:w="406"/>
        <w:gridCol w:w="109"/>
        <w:gridCol w:w="109"/>
        <w:gridCol w:w="109"/>
        <w:gridCol w:w="109"/>
        <w:gridCol w:w="435"/>
        <w:gridCol w:w="436"/>
        <w:gridCol w:w="161"/>
        <w:gridCol w:w="109"/>
        <w:gridCol w:w="109"/>
        <w:gridCol w:w="109"/>
        <w:gridCol w:w="181"/>
        <w:gridCol w:w="286"/>
        <w:gridCol w:w="109"/>
        <w:gridCol w:w="109"/>
        <w:gridCol w:w="109"/>
        <w:gridCol w:w="109"/>
        <w:gridCol w:w="181"/>
        <w:gridCol w:w="721"/>
        <w:gridCol w:w="109"/>
        <w:gridCol w:w="109"/>
        <w:gridCol w:w="109"/>
        <w:gridCol w:w="109"/>
        <w:gridCol w:w="261"/>
        <w:gridCol w:w="586"/>
        <w:gridCol w:w="159"/>
        <w:gridCol w:w="109"/>
        <w:gridCol w:w="109"/>
        <w:gridCol w:w="109"/>
        <w:gridCol w:w="181"/>
        <w:gridCol w:w="736"/>
        <w:gridCol w:w="109"/>
        <w:gridCol w:w="109"/>
        <w:gridCol w:w="109"/>
        <w:gridCol w:w="109"/>
        <w:gridCol w:w="240"/>
        <w:gridCol w:w="620"/>
        <w:gridCol w:w="146"/>
        <w:gridCol w:w="109"/>
        <w:gridCol w:w="109"/>
        <w:gridCol w:w="109"/>
        <w:gridCol w:w="279"/>
        <w:gridCol w:w="557"/>
        <w:gridCol w:w="170"/>
        <w:gridCol w:w="109"/>
        <w:gridCol w:w="109"/>
        <w:gridCol w:w="109"/>
        <w:gridCol w:w="181"/>
        <w:gridCol w:w="73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Distributions</w:t>
              <w:br/>
              <w:t>in Excess of</w:t>
              <w:br/>
              <w:t>Accumulated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Noncontrolling</w:t>
              <w:br/>
              <w:t>Interest - OP</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Noncontrolling</w:t>
              <w:br/>
              <w:t>Interest - Non-</w:t>
              <w:br/>
              <w:t>voting</w:t>
              <w:br/>
              <w:t>Preferred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w:t>
              <w:br/>
              <w:t>Shareholders'</w:t>
              <w:br/>
              <w:t>Deficit</w:t>
            </w:r>
          </w:p>
        </w:tc>
      </w:tr>
      <w:tr>
        <w:trPr/>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235,829,485 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1,210,033 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(3,483,634)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(2,271,206)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2023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dividends declared ($0.60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556,475 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settlement of common stock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Termination of bond hedge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236,558,601 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1,221,824 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(3,708,240)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(2,484,121)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8798" w:type="dxa"/>
        <w:jc w:val="center"/>
        <w:tblInd w:w="0" w:type="dxa"/>
        <w:tblLayout w:type="fixed"/>
        <w:tblCellMar>
          <w:top w:w="28" w:type="dxa"/>
          <w:left w:w="28" w:type="dxa"/>
          <w:bottom w:w="28" w:type="dxa"/>
          <w:right w:w="28" w:type="dxa"/>
        </w:tblCellMar>
      </w:tblPr>
      <w:tblGrid>
        <w:gridCol w:w="1867"/>
        <w:gridCol w:w="1639"/>
        <w:gridCol w:w="1653"/>
        <w:gridCol w:w="109"/>
        <w:gridCol w:w="109"/>
        <w:gridCol w:w="109"/>
        <w:gridCol w:w="181"/>
        <w:gridCol w:w="601"/>
        <w:gridCol w:w="109"/>
        <w:gridCol w:w="109"/>
        <w:gridCol w:w="109"/>
        <w:gridCol w:w="109"/>
        <w:gridCol w:w="181"/>
        <w:gridCol w:w="526"/>
        <w:gridCol w:w="109"/>
        <w:gridCol w:w="109"/>
        <w:gridCol w:w="109"/>
        <w:gridCol w:w="109"/>
        <w:gridCol w:w="181"/>
        <w:gridCol w:w="616"/>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swap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in earnings of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of cumulative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 rate swap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Straight-line rental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 impairment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prepayment of settlement payable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Loss on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Accretion of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assets and liabilities, net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353,129 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499,157 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other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operations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real estate, net of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(385,855)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(321,221)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(2,263,662)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of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Finance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capped call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Costs related to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6714" w:type="dxa"/>
        <w:jc w:val="center"/>
        <w:tblInd w:w="0" w:type="dxa"/>
        <w:tblLayout w:type="fixed"/>
        <w:tblCellMar>
          <w:top w:w="28" w:type="dxa"/>
          <w:left w:w="28" w:type="dxa"/>
          <w:bottom w:w="28" w:type="dxa"/>
          <w:right w:w="28" w:type="dxa"/>
        </w:tblCellMar>
      </w:tblPr>
      <w:tblGrid>
        <w:gridCol w:w="1075"/>
        <w:gridCol w:w="944"/>
        <w:gridCol w:w="951"/>
        <w:gridCol w:w="109"/>
        <w:gridCol w:w="109"/>
        <w:gridCol w:w="109"/>
        <w:gridCol w:w="181"/>
        <w:gridCol w:w="616"/>
        <w:gridCol w:w="109"/>
        <w:gridCol w:w="109"/>
        <w:gridCol w:w="109"/>
        <w:gridCol w:w="109"/>
        <w:gridCol w:w="181"/>
        <w:gridCol w:w="616"/>
        <w:gridCol w:w="109"/>
        <w:gridCol w:w="109"/>
        <w:gridCol w:w="109"/>
        <w:gridCol w:w="109"/>
        <w:gridCol w:w="181"/>
        <w:gridCol w:w="61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Property and equipment acquired but not yet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Tenant capital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December 31, 2023, we are the sole general partner of the Operating Partnership and own approximately 99.96% of the partnership interests in the Operating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Basis of Presentation and Consolidation</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Consolidated Financial Statements include all accounts of the Company and, its wholly-owned and/or controlled subsidiaries, including the Operating Partnership. Under the Accounting Standards Codification 810,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(“ASC 810”), the Operating Partnership is considered a variable interest entity and is consolidated in the Consolidated Financial Statements of Uniti Group Inc. because the Company is the primary beneficiary. All material intercompany balances and transactions have been eliminated.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Immaterial Error Correction of Previously Issued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certain adjustments to previously reported amounts for correcting immaterial errors related to the income tax benefits associated with the goodwill impairment in our unaudited condensed consolidated financial statements as of September 30, 2023 and for the three and nine months then ended, as summarized in the table below. The Company's management has determined that their related impact was not material to those financial statements. The adjustments had no impact on Adjusted EBITDA (see Note 16), which is the performance measure management uses to evaluate the performance of our reportable segments or our operating cash flows. The Company will correct previously reported financial information for these immaterial errors in our future filings, as applicable.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Unaudited Interim Financial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adjustments to our prior period unaudited condensed consolidated balance sheet, condensed consolidated statement of loss, condensed consolidated statement of comprehensive loss, and condensed consolidated statement of cash flows is presented below:</w:t>
      </w:r>
    </w:p>
    <w:tbl>
      <w:tblPr>
        <w:tblW w:w="8900" w:type="dxa"/>
        <w:jc w:val="left"/>
        <w:tblInd w:w="0" w:type="dxa"/>
        <w:tblLayout w:type="fixed"/>
        <w:tblCellMar>
          <w:top w:w="28" w:type="dxa"/>
          <w:left w:w="28" w:type="dxa"/>
          <w:bottom w:w="28" w:type="dxa"/>
          <w:right w:w="28" w:type="dxa"/>
        </w:tblCellMar>
      </w:tblPr>
      <w:tblGrid>
        <w:gridCol w:w="1443"/>
        <w:gridCol w:w="1270"/>
        <w:gridCol w:w="1277"/>
        <w:gridCol w:w="109"/>
        <w:gridCol w:w="109"/>
        <w:gridCol w:w="109"/>
        <w:gridCol w:w="211"/>
        <w:gridCol w:w="1051"/>
        <w:gridCol w:w="109"/>
        <w:gridCol w:w="109"/>
        <w:gridCol w:w="109"/>
        <w:gridCol w:w="109"/>
        <w:gridCol w:w="227"/>
        <w:gridCol w:w="796"/>
        <w:gridCol w:w="119"/>
        <w:gridCol w:w="109"/>
        <w:gridCol w:w="109"/>
        <w:gridCol w:w="109"/>
        <w:gridCol w:w="211"/>
        <w:gridCol w:w="1051"/>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3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in excess of accumulated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(2,484,676)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059"/>
        <w:gridCol w:w="1774"/>
        <w:gridCol w:w="1779"/>
        <w:gridCol w:w="109"/>
        <w:gridCol w:w="109"/>
        <w:gridCol w:w="109"/>
        <w:gridCol w:w="211"/>
        <w:gridCol w:w="891"/>
        <w:gridCol w:w="109"/>
        <w:gridCol w:w="109"/>
        <w:gridCol w:w="109"/>
        <w:gridCol w:w="109"/>
        <w:gridCol w:w="227"/>
        <w:gridCol w:w="795"/>
        <w:gridCol w:w="119"/>
        <w:gridCol w:w="109"/>
        <w:gridCol w:w="109"/>
        <w:gridCol w:w="109"/>
        <w:gridCol w:w="211"/>
        <w:gridCol w:w="891"/>
        <w:gridCol w:w="158"/>
      </w:tblGrid>
      <w:tr>
        <w:trPr/>
        <w:tc>
          <w:tcPr>
            <w:tcW w:w="205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5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5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2059"/>
        <w:gridCol w:w="1774"/>
        <w:gridCol w:w="1779"/>
        <w:gridCol w:w="109"/>
        <w:gridCol w:w="109"/>
        <w:gridCol w:w="109"/>
        <w:gridCol w:w="211"/>
        <w:gridCol w:w="891"/>
        <w:gridCol w:w="109"/>
        <w:gridCol w:w="109"/>
        <w:gridCol w:w="109"/>
        <w:gridCol w:w="109"/>
        <w:gridCol w:w="227"/>
        <w:gridCol w:w="795"/>
        <w:gridCol w:w="119"/>
        <w:gridCol w:w="109"/>
        <w:gridCol w:w="109"/>
        <w:gridCol w:w="109"/>
        <w:gridCol w:w="211"/>
        <w:gridCol w:w="891"/>
        <w:gridCol w:w="158"/>
      </w:tblGrid>
      <w:tr>
        <w:trPr/>
        <w:tc>
          <w:tcPr>
            <w:tcW w:w="205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5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5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1"/>
        <w:gridCol w:w="1803"/>
        <w:gridCol w:w="1813"/>
        <w:gridCol w:w="109"/>
        <w:gridCol w:w="109"/>
        <w:gridCol w:w="109"/>
        <w:gridCol w:w="211"/>
        <w:gridCol w:w="826"/>
        <w:gridCol w:w="109"/>
        <w:gridCol w:w="109"/>
        <w:gridCol w:w="109"/>
        <w:gridCol w:w="109"/>
        <w:gridCol w:w="227"/>
        <w:gridCol w:w="795"/>
        <w:gridCol w:w="119"/>
        <w:gridCol w:w="109"/>
        <w:gridCol w:w="109"/>
        <w:gridCol w:w="109"/>
        <w:gridCol w:w="211"/>
        <w:gridCol w:w="892"/>
        <w:gridCol w:w="157"/>
      </w:tblGrid>
      <w:tr>
        <w:trPr/>
        <w:tc>
          <w:tcPr>
            <w:tcW w:w="2061"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5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5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Summary of Significant Accounting Policies</w:t>
      </w:r>
    </w:p>
    <w:p>
      <w:pPr>
        <w:pStyle w:val="TextBody"/>
        <w:bidi w:val="0"/>
        <w:spacing w:lineRule="auto" w:line="288" w:before="240" w:after="283"/>
        <w:jc w:val="left"/>
        <w:rPr/>
      </w:pPr>
      <w:r>
        <w:rPr>
          <w:rFonts w:ascii="Times New Roman;sans-serif" w:hAnsi="Times New Roman;sans-serif"/>
          <w:b w:val="false"/>
          <w:color w:val="000000"/>
          <w:sz w:val="20"/>
          <w:u w:val="single"/>
        </w:rPr>
        <w:t>Use of Estimates</w:t>
      </w:r>
      <w:r>
        <w:rPr>
          <w:color w:val="000000"/>
        </w:rPr>
        <w:t>—</w:t>
      </w:r>
      <w:r>
        <w:rPr>
          <w:rFonts w:ascii="Times New Roman;sans-serif" w:hAnsi="Times New Roman;sans-serif"/>
          <w:b w:val="false"/>
          <w:color w:val="000000"/>
          <w:sz w:val="20"/>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pStyle w:val="TextBody"/>
        <w:bidi w:val="0"/>
        <w:spacing w:lineRule="auto" w:line="288" w:before="240" w:after="283"/>
        <w:jc w:val="left"/>
        <w:rPr/>
      </w:pPr>
      <w:r>
        <w:rPr>
          <w:rFonts w:ascii="Times New Roman;sans-serif" w:hAnsi="Times New Roman;sans-serif"/>
          <w:b w:val="false"/>
          <w:color w:val="000000"/>
          <w:sz w:val="20"/>
          <w:u w:val="single"/>
        </w:rPr>
        <w:t>Liquidity</w:t>
      </w:r>
      <w:r>
        <w:rPr>
          <w:color w:val="000000"/>
        </w:rPr>
        <w:t>—</w:t>
      </w:r>
      <w:r>
        <w:rPr>
          <w:rFonts w:ascii="Times New Roman;sans-serif" w:hAnsi="Times New Roman;sans-serif"/>
          <w:b w:val="false"/>
          <w:color w:val="000000"/>
          <w:sz w:val="20"/>
        </w:rPr>
        <w:t>We anticipate continuing to invest in our network infrastructure across our Uniti Leasing and Uniti Fiber portfolios. We also anticipate declaring dividends for the 2024 tax year to comply with our REIT distribution requirements. We anticipate these expenditures will be met, as well as operating expenses (including our debt service obligations), in the near term from our cash on hand, borrowings under our Revolving Credit Facility and the new $350 million ABS Loan Facility we entered into in February 2024 and cash flows provided by operating activities. Our 2023 capital expenditures of $417.0 million and dividend payments of $107.4 million exceeded our 2023 cash flow from operating activities of $353.1 million, which led us to seek additional external sources of capital. We will closely monitor the equity and debt markets and may seek to access those markets when we deem conditions are appropriate. The amount, nature and timing of any capital markets transactions will depend on our operating performance, capital requirements, and the availability of those capital markets, all of which are subject to uncertainties.</w:t>
      </w:r>
    </w:p>
    <w:p>
      <w:pPr>
        <w:pStyle w:val="TextBody"/>
        <w:bidi w:val="0"/>
        <w:spacing w:lineRule="auto" w:line="288" w:before="240" w:after="283"/>
        <w:jc w:val="left"/>
        <w:rPr/>
      </w:pPr>
      <w:r>
        <w:rPr>
          <w:rFonts w:ascii="Times New Roman;sans-serif" w:hAnsi="Times New Roman;sans-serif"/>
          <w:b w:val="false"/>
          <w:color w:val="000000"/>
          <w:sz w:val="20"/>
          <w:u w:val="single"/>
        </w:rPr>
        <w:t>Property, Plant and Equipment</w:t>
      </w:r>
      <w:r>
        <w:rPr>
          <w:color w:val="000000"/>
        </w:rPr>
        <w:t>—</w:t>
      </w:r>
      <w:r>
        <w:rPr>
          <w:rFonts w:ascii="Times New Roman;sans-serif" w:hAnsi="Times New Roman;sans-serif"/>
          <w:b w:val="false"/>
          <w:color w:val="000000"/>
          <w:sz w:val="20"/>
        </w:rPr>
        <w:t xml:space="preserve">Property, </w:t>
      </w:r>
      <w:r>
        <w:rPr>
          <w:rFonts w:ascii="Times New Roman;sans-serif" w:hAnsi="Times New Roman;sans-serif"/>
          <w:b w:val="false"/>
          <w:color w:val="000000"/>
          <w:sz w:val="20"/>
          <w:shd w:fill="FFFFFF" w:val="clear"/>
        </w:rPr>
        <w:t>plant and equipment is stated</w:t>
      </w:r>
      <w:r>
        <w:rPr>
          <w:color w:val="000000"/>
        </w:rPr>
        <w:t xml:space="preserve"> </w:t>
      </w:r>
      <w:r>
        <w:rPr>
          <w:rFonts w:ascii="Times New Roman;sans-serif" w:hAnsi="Times New Roman;sans-serif"/>
          <w:b w:val="false"/>
          <w:color w:val="000000"/>
          <w:sz w:val="20"/>
        </w:rPr>
        <w:t xml:space="preserve">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capitalizes a portion of the interest costs it incurs for assets that require a period of time to get them ready for their intended use. The amount of interest that is capitalized is based on the average accumulated expenditures made during the period involved in bringing the assets comprising a network to an operational state at the Company’s weighted average interest rate during the respective accounting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enters into leasing arrangements providing for the long</w:t>
        <w:noBreakHyphen/>
        <w:t xml:space="preserve">term use of constructed fiber that is then integrated into the Company’s network infrastructure. For each lease that qualifies as a finance lease, the present value of the lease payments, which may include both periodic lease payments over the term of the lease as well as upfront payments to the lessor, is capitalized at the inception of the lease and included in property and equipment. As of December 31, 2023 and 2022, the accumulated amortization of our finance lease assets was $20.4 million and $22.2 million, respectively.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to Uniti. Certain property, plant and equipment acquired as part of our Spin-Off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finance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begins once the construction period has ceased and the related asset is placed into service, and the asset will be depreciated over its useful life.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of maintenance and repairs to property, plant and equipment subject to triple-net leasing arrangements are the responsibility of our tenant. Costs of maintenance and repairs to property, plant and equipment not subject to triple-net leasing arrangements are expensed as incurred.</w:t>
      </w:r>
    </w:p>
    <w:p>
      <w:pPr>
        <w:pStyle w:val="TextBody"/>
        <w:bidi w:val="0"/>
        <w:spacing w:lineRule="auto" w:line="288" w:before="240" w:after="283"/>
        <w:jc w:val="left"/>
        <w:rPr/>
      </w:pPr>
      <w:r>
        <w:rPr>
          <w:rFonts w:ascii="Times New Roman;sans-serif" w:hAnsi="Times New Roman;sans-serif"/>
          <w:b w:val="false"/>
          <w:color w:val="000000"/>
          <w:sz w:val="20"/>
          <w:u w:val="single"/>
        </w:rPr>
        <w:t>Tenant Capital Improvements</w:t>
      </w:r>
      <w:r>
        <w:rPr>
          <w:color w:val="000000"/>
        </w:rPr>
        <w:t>—</w:t>
      </w:r>
      <w:r>
        <w:rPr>
          <w:rFonts w:ascii="Times New Roman;sans-serif" w:hAnsi="Times New Roman;sans-serif"/>
          <w:b w:val="false"/>
          <w:color w:val="000000"/>
          <w:sz w:val="20"/>
        </w:rPr>
        <w:t>The leases with Windstream (as discussed below) provide that tenant funded capital improvements (“TCIs”), defined as maintenance, repair, overbuild, upgrade or replacements to the leased network, including, without limitation, the replacement of copper distribution systems with fiber distribution systems, automatically become property of Uniti upon their construction by Windstream. We receive non-monetary consideration related to the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At December 31, 2023 and 2022, the net book value of TCIs recorded as a component of property, plant and equipment on our Consolidated Balance Sheets was $970.1 million and $884.4 million, respectively. For the years ended December 31, 2023, 2022 and 2021, we recognized $47.0 million, $43.2 million, and $39.0 million of revenue and depreciation expense related to TCIs, respectively.</w:t>
      </w:r>
    </w:p>
    <w:p>
      <w:pPr>
        <w:pStyle w:val="TextBody"/>
        <w:bidi w:val="0"/>
        <w:spacing w:lineRule="auto" w:line="288" w:before="240" w:after="283"/>
        <w:jc w:val="left"/>
        <w:rPr/>
      </w:pPr>
      <w:r>
        <w:rPr>
          <w:rFonts w:ascii="Times New Roman;sans-serif" w:hAnsi="Times New Roman;sans-serif"/>
          <w:b w:val="false"/>
          <w:color w:val="000000"/>
          <w:sz w:val="20"/>
          <w:u w:val="single"/>
        </w:rPr>
        <w:t>Impairment of Long-Lived Assets</w:t>
      </w:r>
      <w:r>
        <w:rPr>
          <w:color w:val="000000"/>
        </w:rPr>
        <w:t>—</w:t>
      </w:r>
      <w:r>
        <w:rPr>
          <w:rFonts w:ascii="Times New Roman;sans-serif" w:hAnsi="Times New Roman;sans-serif"/>
          <w:b w:val="false"/>
          <w:color w:val="000000"/>
          <w:sz w:val="20"/>
        </w:rPr>
        <w:t>We review long-lived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 Assets held for sale, if any, are reported at the lower of the carrying amount or fair value less cost to sell. Assets held for sale are no longer depreciated once held for sale criteria are met. During the years ended December 31, 2023, 2022 and 2021, there were no events or changes in circumstances indicating that the carrying amount of any of our assets groups was not recoverable from future undiscounted net cash flows we expect the asset groups to generate, and no impairment losses were recognized.</w:t>
      </w:r>
    </w:p>
    <w:p>
      <w:pPr>
        <w:pStyle w:val="TextBody"/>
        <w:bidi w:val="0"/>
        <w:spacing w:lineRule="auto" w:line="288" w:before="240" w:after="283"/>
        <w:jc w:val="left"/>
        <w:rPr/>
      </w:pPr>
      <w:r>
        <w:rPr>
          <w:rFonts w:ascii="Times New Roman;sans-serif" w:hAnsi="Times New Roman;sans-serif"/>
          <w:b w:val="false"/>
          <w:color w:val="000000"/>
          <w:sz w:val="20"/>
          <w:u w:val="single"/>
        </w:rPr>
        <w:t>Asset Retirement Obligations</w:t>
      </w:r>
      <w:r>
        <w:rPr>
          <w:color w:val="000000"/>
        </w:rPr>
        <w:t>—</w:t>
      </w:r>
      <w:r>
        <w:rPr>
          <w:rFonts w:ascii="Times New Roman;sans-serif" w:hAnsi="Times New Roman;sans-serif"/>
          <w:b w:val="false"/>
          <w:color w:val="000000"/>
          <w:sz w:val="20"/>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(Loss) Income. The associated asset retirement costs are capitalized as an additional carrying amount of the related long</w:t>
        <w:noBreakHyphen/>
        <w:t xml:space="preserve">lived asset and depreciated on a straight-line basis over the asset’s useful life. As of December 31, 2023 and 2022, our aggregate carrying amount of asset retirement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totaled $16.8 million and $13.3 million, respectively. During the year ended December 31, 2023, we incurred $6.5 million in liabilities related to asset retirement obligations and in the year ended December 31, 2022, we incurred no liabilities related to asset retirement obligations. During the years ended December 31, 2023, 2022, and 2021, we recognized $2.8 million, $1.7 million, and $1.5 million of accretion expense related to asset retirement obligations, respectively, included in depreciation and amortization expense in our Consolidated Statements of (Loss) Income.</w:t>
      </w:r>
    </w:p>
    <w:p>
      <w:pPr>
        <w:pStyle w:val="TextBody"/>
        <w:bidi w:val="0"/>
        <w:spacing w:lineRule="auto" w:line="288" w:before="240" w:after="283"/>
        <w:jc w:val="left"/>
        <w:rPr/>
      </w:pPr>
      <w:r>
        <w:rPr>
          <w:rFonts w:ascii="Times New Roman;sans-serif" w:hAnsi="Times New Roman;sans-serif"/>
          <w:b w:val="false"/>
          <w:color w:val="000000"/>
          <w:sz w:val="20"/>
          <w:u w:val="single"/>
        </w:rPr>
        <w:t>Cash and Cash Equivalents</w:t>
      </w:r>
      <w:r>
        <w:rPr>
          <w:color w:val="000000"/>
        </w:rPr>
        <w:t>—</w:t>
      </w:r>
      <w:r>
        <w:rPr>
          <w:rFonts w:ascii="Times New Roman;sans-serif" w:hAnsi="Times New Roman;sans-serif"/>
          <w:b w:val="false"/>
          <w:color w:val="000000"/>
          <w:sz w:val="20"/>
        </w:rPr>
        <w:t>Cash and cash equivalents include all non-restricted cash held at financial institutions and other non-restricted highly liquid short-term investments with original maturities of three months or less.</w:t>
      </w:r>
    </w:p>
    <w:p>
      <w:pPr>
        <w:pStyle w:val="TextBody"/>
        <w:bidi w:val="0"/>
        <w:spacing w:lineRule="auto" w:line="288" w:before="240" w:after="283"/>
        <w:jc w:val="left"/>
        <w:rPr/>
      </w:pPr>
      <w:r>
        <w:rPr>
          <w:rFonts w:ascii="Times New Roman;sans-serif" w:hAnsi="Times New Roman;sans-serif"/>
          <w:b w:val="false"/>
          <w:color w:val="000000"/>
          <w:sz w:val="20"/>
          <w:u w:val="single"/>
        </w:rPr>
        <w:t>Derivative Instruments and Hedging Activities</w:t>
      </w:r>
      <w:r>
        <w:rPr>
          <w:color w:val="000000"/>
        </w:rPr>
        <w:t>—</w:t>
      </w:r>
      <w:r>
        <w:rPr>
          <w:rFonts w:ascii="Times New Roman;sans-serif" w:hAnsi="Times New Roman;sans-serif"/>
          <w:b w:val="false"/>
          <w:color w:val="000000"/>
          <w:sz w:val="20"/>
        </w:rPr>
        <w:t xml:space="preserve">We account for our derivatives in accordance with FASB ASC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("ASC 815"), in which we reflect all derivative instruments at fair value as either assets or liabilities on our Consolidated Balance Sheets. For derivative instruments that are designated and qualify as hedging 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 </w:t>
      </w:r>
    </w:p>
    <w:p>
      <w:pPr>
        <w:pStyle w:val="TextBody"/>
        <w:bidi w:val="0"/>
        <w:spacing w:lineRule="auto" w:line="288" w:before="240" w:after="283"/>
        <w:jc w:val="left"/>
        <w:rPr/>
      </w:pPr>
      <w:r>
        <w:rPr>
          <w:rFonts w:ascii="Times New Roman;sans-serif" w:hAnsi="Times New Roman;sans-serif"/>
          <w:b w:val="false"/>
          <w:color w:val="000000"/>
          <w:sz w:val="20"/>
          <w:u w:val="single"/>
        </w:rPr>
        <w:t>Exchangeable Notes and Related Transactions</w:t>
      </w:r>
      <w:r>
        <w:rPr>
          <w:color w:val="000000"/>
        </w:rPr>
        <w:t>—</w:t>
      </w:r>
      <w:r>
        <w:rPr>
          <w:rFonts w:ascii="Times New Roman;sans-serif" w:hAnsi="Times New Roman;sans-serif"/>
          <w:b w:val="false"/>
          <w:color w:val="000000"/>
          <w:sz w:val="20"/>
        </w:rPr>
        <w:t xml:space="preserve">On June 28, 2019, Uniti Fiber Holdings Inc., a subsidiary of the Company, issued $345 million aggregate principal amount of 4.00% Exchangeable Senior Notes due June 15, 2024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Holdings Inc.’s election. In accordance with ASC 470-20, </w:t>
      </w:r>
      <w:r>
        <w:rPr>
          <w:rFonts w:ascii="Times New Roman;sans-serif" w:hAnsi="Times New Roman;sans-serif"/>
          <w:b w:val="false"/>
          <w:i/>
          <w:color w:val="000000"/>
          <w:sz w:val="20"/>
        </w:rPr>
        <w:t xml:space="preserve">Debt – Debt with Conversion and Other Options </w:t>
      </w:r>
      <w:r>
        <w:rPr>
          <w:rFonts w:ascii="Times New Roman;sans-serif" w:hAnsi="Times New Roman;sans-serif"/>
          <w:b w:val="false"/>
          <w:color w:val="000000"/>
          <w:sz w:val="20"/>
        </w:rPr>
        <w:t xml:space="preserve">("ASC 470"), because the conversion feature in the Exchangeable Notes is not bifurcated pursuant to ASC 815 and because the conversion can be settled in cash, shares, or a combination thereof, the Exchangeable Notes were separated into a liability component and an equity component in a manner that reflects Uniti Fiber Holdings Inc.’s non-convertible debt borrowing rate. The carrying amount of the liability component was calculated by measuring the fair value of a similar liability that does not have an associated conversion feature. See </w:t>
      </w:r>
      <w:hyperlink w:anchor="i374575ee8ecb4d8c9aaa6bdb34828ed2_139">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rPr>
        <w:t xml:space="preserve">. The Company adopted ASU No. 2020-06, </w:t>
      </w:r>
      <w:r>
        <w:rPr>
          <w:rFonts w:ascii="Times New Roman;sans-serif" w:hAnsi="Times New Roman;sans-serif"/>
          <w:b w:val="false"/>
          <w:i/>
          <w:color w:val="000000"/>
          <w:sz w:val="20"/>
        </w:rPr>
        <w:t>Debt - Debt with Conversion and Other Options (Subtopic 470- 20) and Derivatives and Hedging - Contracts in Entity’s Own Equity (Subtopic 815-40): Accounting for Convertible Instruments and Contracts in an Entity’s Own Equity</w:t>
      </w:r>
      <w:r>
        <w:rPr>
          <w:color w:val="000000"/>
        </w:rPr>
        <w:t xml:space="preserve"> </w:t>
      </w:r>
      <w:r>
        <w:rPr>
          <w:rFonts w:ascii="Times New Roman;sans-serif" w:hAnsi="Times New Roman;sans-serif"/>
          <w:b w:val="false"/>
          <w:color w:val="000000"/>
          <w:sz w:val="20"/>
        </w:rPr>
        <w:t xml:space="preserve">(“ASU 2020-06”) on January 1, 2021. ASU 2020-06 (1) simplifies the accounting for convertible debt instruments and convertible preferred stock by removing the existing guidance in ASC 470-20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xml:space="preserve">, to require entities to calculate diluted earnings per share (“EPS”) for convertible instruments by using the if-converted method. In addition, entities must presume share settlement for purposes of calculating diluted EPS when an instrument may be settled in cash or shares. The adoption of ASU 2020-06 resulted in the re-combination of the liability and equity components of these notes into a single liability instrument. </w:t>
      </w:r>
    </w:p>
    <w:p>
      <w:pPr>
        <w:pStyle w:val="TextBody"/>
        <w:bidi w:val="0"/>
        <w:spacing w:lineRule="auto" w:line="288" w:before="240" w:after="283"/>
        <w:jc w:val="left"/>
        <w:rPr/>
      </w:pPr>
      <w:r>
        <w:rPr>
          <w:rFonts w:ascii="Times New Roman;sans-serif" w:hAnsi="Times New Roman;sans-serif"/>
          <w:b w:val="false"/>
          <w:color w:val="000000"/>
          <w:sz w:val="20"/>
        </w:rPr>
        <w:t>In connection with the offering of the Exchangeable Notes, Uniti Fiber Holdings Inc. entered into exchangeable note hedge transactions with respect to the Company’s common stock (the “Note Hedge Transactions”) with certain of the initial purchasers or their respective affiliates (collectively, the “Counterparties”). In addition, the Company entered into warrant transactions to sell to the Counterparties warrants (the “Warrants”) to acquire, subject to anti-dilution adjustments, up to approximately 27.8 million shares of the Company’s common stock in the aggregate at an exercise price of $16.42 per share. The warrant transactions may have a dilutive effect with respect to the Company’s common stock to the extent the market price per share of the Company’s common stock exceeds the strike price of the Warrants. While the Note Hedge Transactions and the Warrants each meet the definition of a derivative in ASC 815-10-15-83, they each meet the equity scope exception specified in ASC 815-10-15-74(a); as such, the Warrants and the Note Hedge Transactions are not accounted for as derivatives that must be remeasured each reporting period and instead, are recorded in stockholders’ deficit. S</w:t>
      </w:r>
      <w:hyperlink w:anchor="i374575ee8ecb4d8c9aaa6bdb34828ed2_139">
        <w:r>
          <w:rPr>
            <w:rStyle w:val="InternetLink"/>
            <w:rFonts w:ascii="Times New Roman;sans-serif" w:hAnsi="Times New Roman;sans-serif"/>
            <w:b w:val="false"/>
            <w:color w:val="0000FF"/>
            <w:sz w:val="20"/>
            <w:u w:val="single"/>
          </w:rPr>
          <w:t>ee Note 13</w:t>
        </w:r>
      </w:hyperlink>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On December 12, 2022, in connection with the issuance of the Convertible 2027 Notes (S</w:t>
      </w:r>
      <w:hyperlink w:anchor="i374575ee8ecb4d8c9aaa6bdb34828ed2_139">
        <w:r>
          <w:rPr>
            <w:rStyle w:val="InternetLink"/>
            <w:rFonts w:ascii="Times New Roman;sans-serif" w:hAnsi="Times New Roman;sans-serif"/>
            <w:b w:val="false"/>
            <w:color w:val="0000FF"/>
            <w:sz w:val="20"/>
            <w:u w:val="single"/>
          </w:rPr>
          <w:t>ee Note 13</w:t>
        </w:r>
      </w:hyperlink>
      <w:r>
        <w:rPr>
          <w:rFonts w:ascii="Times New Roman;sans-serif" w:hAnsi="Times New Roman;sans-serif"/>
          <w:b w:val="false"/>
          <w:color w:val="000000"/>
          <w:sz w:val="20"/>
        </w:rPr>
        <w:t xml:space="preserve">), approximately $207.1 million aggregate principal amount of the Exchangeable Notes was repurchased for $194.0 million. Additionally, on March 21, 2023, the Company repurchased approximately $15.0 million of the Exchangeable Notes for total cash consideration of $13.7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On December 7, 2022, in connection with the Company’s repurchase of the Exchangeable Notes, the Company entered into partial unwind agreements (the “Unwind Agreements”) with the Counterparties to unwind a portion of the Note Hedge Transactions and the Warrants described above (collectively, the “Unwind Transactions”). In connection with the Unwind Transactions, the Company received cash as a termination payment for of the portion of the Note Hedge Transactions that were unwound, and the Company delivered cash as a termination payment in respect of the portion of the Warrants that were unwound. The amount of cash that was received, which was approximately $1.2 million, and the amount of cash that was delivered to the Counterparties, which was approximately $0.5 million, were based generally on the termination values of the unwound portions of such instruments. See </w:t>
      </w:r>
      <w:hyperlink w:anchor="i374575ee8ecb4d8c9aaa6bdb34828ed2_133">
        <w:r>
          <w:rPr>
            <w:rStyle w:val="InternetLink"/>
            <w:rFonts w:ascii="Times New Roman;sans-serif" w:hAnsi="Times New Roman;sans-serif"/>
            <w:b w:val="false"/>
            <w:color w:val="000080"/>
            <w:sz w:val="20"/>
            <w:u w:val="single"/>
          </w:rPr>
          <w:t>N</w:t>
        </w:r>
      </w:hyperlink>
      <w:hyperlink w:anchor="i374575ee8ecb4d8c9aaa6bdb34828ed2_133">
        <w:r>
          <w:rPr>
            <w:rStyle w:val="InternetLink"/>
            <w:rFonts w:ascii="Times New Roman;sans-serif" w:hAnsi="Times New Roman;sans-serif"/>
            <w:b w:val="false"/>
            <w:color w:val="000080"/>
            <w:sz w:val="20"/>
            <w:u w:val="single"/>
          </w:rPr>
          <w:t>o</w:t>
        </w:r>
      </w:hyperlink>
      <w:hyperlink w:anchor="i374575ee8ecb4d8c9aaa6bdb34828ed2_133">
        <w:r>
          <w:rPr>
            <w:rStyle w:val="InternetLink"/>
            <w:rFonts w:ascii="Times New Roman;sans-serif" w:hAnsi="Times New Roman;sans-serif"/>
            <w:b w:val="false"/>
            <w:color w:val="000080"/>
            <w:sz w:val="20"/>
            <w:u w:val="single"/>
          </w:rPr>
          <w:t>t</w:t>
        </w:r>
      </w:hyperlink>
      <w:hyperlink w:anchor="i374575ee8ecb4d8c9aaa6bdb34828ed2_133">
        <w:r>
          <w:rPr>
            <w:rStyle w:val="InternetLink"/>
            <w:rFonts w:ascii="Times New Roman;sans-serif" w:hAnsi="Times New Roman;sans-serif"/>
            <w:b w:val="false"/>
            <w:color w:val="000080"/>
            <w:sz w:val="20"/>
            <w:u w:val="single"/>
          </w:rPr>
          <w:t>e</w:t>
        </w:r>
      </w:hyperlink>
      <w:hyperlink w:anchor="i374575ee8ecb4d8c9aaa6bdb34828ed2_133">
        <w:r>
          <w:rPr>
            <w:rStyle w:val="InternetLink"/>
            <w:rFonts w:ascii="Times New Roman;sans-serif" w:hAnsi="Times New Roman;sans-serif"/>
            <w:b w:val="false"/>
            <w:color w:val="000080"/>
            <w:sz w:val="20"/>
            <w:u w:val="single"/>
          </w:rPr>
          <w:t xml:space="preserve"> </w:t>
        </w:r>
      </w:hyperlink>
      <w:hyperlink w:anchor="i374575ee8ecb4d8c9aaa6bdb34828ed2_133">
        <w:r>
          <w:rPr>
            <w:rStyle w:val="InternetLink"/>
            <w:rFonts w:ascii="Times New Roman;sans-serif" w:hAnsi="Times New Roman;sans-serif"/>
            <w:b w:val="false"/>
            <w:color w:val="000080"/>
            <w:sz w:val="20"/>
            <w:u w:val="single"/>
          </w:rPr>
          <w:t>1</w:t>
        </w:r>
      </w:hyperlink>
      <w:hyperlink w:anchor="i374575ee8ecb4d8c9aaa6bdb34828ed2_133">
        <w:r>
          <w:rPr>
            <w:rStyle w:val="InternetLink"/>
            <w:rFonts w:ascii="Times New Roman;sans-serif" w:hAnsi="Times New Roman;sans-serif"/>
            <w:b w:val="false"/>
            <w:color w:val="000080"/>
            <w:sz w:val="20"/>
            <w:u w:val="single"/>
          </w:rPr>
          <w:t>1</w:t>
        </w:r>
      </w:hyperlink>
      <w:r>
        <w:rPr>
          <w:color w:val="000000"/>
        </w:rPr>
        <w:t xml:space="preserve"> </w:t>
      </w:r>
      <w:r>
        <w:rPr>
          <w:rFonts w:ascii="Times New Roman;sans-serif" w:hAnsi="Times New Roman;sans-serif"/>
          <w:b w:val="false"/>
          <w:color w:val="000000"/>
          <w:sz w:val="20"/>
        </w:rPr>
        <w:t xml:space="preserve">and </w:t>
      </w:r>
      <w:hyperlink w:anchor="i374575ee8ecb4d8c9aaa6bdb34828ed2_139">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u w:val="single"/>
        </w:rPr>
        <w:t>Intangible Assets</w:t>
      </w:r>
      <w:r>
        <w:rPr>
          <w:color w:val="000000"/>
        </w:rPr>
        <w:t>—</w:t>
      </w:r>
      <w:r>
        <w:rPr>
          <w:rFonts w:ascii="Times New Roman;sans-serif" w:hAnsi="Times New Roman;sans-serif"/>
          <w:b w:val="false"/>
          <w:color w:val="000000"/>
          <w:sz w:val="20"/>
        </w:rPr>
        <w:t>Intangible assets are presented in the financial statements at cost less accumulated amortization and are amortized using the straight-line method over their estimated useful lives.</w:t>
      </w:r>
    </w:p>
    <w:p>
      <w:pPr>
        <w:pStyle w:val="TextBody"/>
        <w:bidi w:val="0"/>
        <w:spacing w:lineRule="auto" w:line="288" w:before="240" w:after="283"/>
        <w:jc w:val="left"/>
        <w:rPr/>
      </w:pPr>
      <w:r>
        <w:rPr>
          <w:rFonts w:ascii="Times New Roman;sans-serif" w:hAnsi="Times New Roman;sans-serif"/>
          <w:b w:val="false"/>
          <w:color w:val="000000"/>
          <w:sz w:val="20"/>
          <w:u w:val="single"/>
        </w:rPr>
        <w:t>Transaction Related and Other Costs</w:t>
      </w:r>
      <w:r>
        <w:rPr>
          <w:color w:val="000000"/>
        </w:rPr>
        <w:t>—</w:t>
      </w:r>
      <w:r>
        <w:rPr>
          <w:rFonts w:ascii="Times New Roman;sans-serif" w:hAnsi="Times New Roman;sans-serif"/>
          <w:b w:val="false"/>
          <w:color w:val="000000"/>
          <w:sz w:val="20"/>
        </w:rPr>
        <w:t xml:space="preserve">The Company expenses non-capitalizable transaction related and other costs in the period in which they are incurred and services are received. Transaction related costs include acquisition pursuit, transaction and integration costs, including unsuccessful acquisition pursuit costs. Pursuit and transaction costs include professional services (legal, accounting, advisory, regulatory, etc.), finder’s fees, travel expenses, and other direct expenses associated with a business acquisition. Integration costs include direct costs necessary to integrate an acquired business, including professional services, systems and data conversion, severance and retention bonuses payable to employees of an acquired business. In addition, other costs, such as costs incurred as a result of Windstream’s bankruptcy filing, costs associated with Windstream’s claims against us (see </w:t>
      </w:r>
      <w:hyperlink w:anchor="i374575ee8ecb4d8c9aaa6bdb34828ed2_154">
        <w:r>
          <w:rPr>
            <w:rStyle w:val="InternetLink"/>
            <w:rFonts w:ascii="Times New Roman;sans-serif" w:hAnsi="Times New Roman;sans-serif"/>
            <w:b w:val="false"/>
            <w:color w:val="0000FF"/>
            <w:sz w:val="20"/>
            <w:u w:val="single"/>
          </w:rPr>
          <w:t>Note 17</w:t>
        </w:r>
      </w:hyperlink>
      <w:r>
        <w:rPr>
          <w:rFonts w:ascii="Times New Roman;sans-serif" w:hAnsi="Times New Roman;sans-serif"/>
          <w:b w:val="false"/>
          <w:color w:val="000000"/>
          <w:sz w:val="20"/>
        </w:rPr>
        <w:t>), and costs associated with the implementation of our enterprise resource planning system are included within this line item on the Consolidated Statements of (Loss) Income.</w:t>
      </w:r>
    </w:p>
    <w:p>
      <w:pPr>
        <w:pStyle w:val="TextBody"/>
        <w:bidi w:val="0"/>
        <w:spacing w:lineRule="auto" w:line="288" w:before="240" w:after="283"/>
        <w:jc w:val="left"/>
        <w:rPr/>
      </w:pPr>
      <w:r>
        <w:rPr>
          <w:rFonts w:ascii="Times New Roman;sans-serif" w:hAnsi="Times New Roman;sans-serif"/>
          <w:b w:val="false"/>
          <w:color w:val="000000"/>
          <w:sz w:val="20"/>
          <w:u w:val="single"/>
        </w:rPr>
        <w:t>Settlement Payable</w:t>
      </w:r>
      <w:r>
        <w:rPr>
          <w:color w:val="000000"/>
        </w:rPr>
        <w:t>—</w:t>
      </w:r>
      <w:r>
        <w:rPr>
          <w:rFonts w:ascii="Times New Roman;sans-serif" w:hAnsi="Times New Roman;sans-serif"/>
          <w:b w:val="false"/>
          <w:color w:val="000000"/>
          <w:sz w:val="20"/>
        </w:rPr>
        <w:t xml:space="preserve">On July 25, 2019, in connection with Windstream’s bankruptcy, Windstream filed a complaint with the Bankruptcy Court against Uniti and certain of its affiliates, alleging, among other things, that the Master Lease (as defined in </w:t>
      </w:r>
      <w:hyperlink w:anchor="i374575ee8ecb4d8c9aaa6bdb34828ed2_115">
        <w:r>
          <w:rPr>
            <w:rStyle w:val="InternetLink"/>
            <w:rFonts w:ascii="Times New Roman;sans-serif" w:hAnsi="Times New Roman;sans-serif"/>
            <w:b w:val="false"/>
            <w:color w:val="0000FF"/>
            <w:sz w:val="20"/>
            <w:u w:val="single"/>
          </w:rPr>
          <w:t>Note 5</w:t>
        </w:r>
      </w:hyperlink>
      <w:r>
        <w:rPr>
          <w:rFonts w:ascii="Times New Roman;sans-serif" w:hAnsi="Times New Roman;sans-serif"/>
          <w:b w:val="false"/>
          <w:color w:val="000000"/>
          <w:sz w:val="20"/>
        </w:rPr>
        <w:t xml:space="preserve">)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 On March 2, 2020, Uniti and Windstream jointly announced that they agreed to the Settlement (as defined below)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w:t>
      </w:r>
    </w:p>
    <w:p>
      <w:pPr>
        <w:pStyle w:val="TextBody"/>
        <w:bidi w:val="0"/>
        <w:spacing w:lineRule="auto" w:line="268" w:before="240" w:after="283"/>
        <w:jc w:val="left"/>
        <w:rPr/>
      </w:pPr>
      <w:r>
        <w:rPr>
          <w:rFonts w:ascii="Times New Roman;sans-serif" w:hAnsi="Times New Roman;sans-serif"/>
          <w:b w:val="false"/>
          <w:color w:val="000000"/>
          <w:sz w:val="20"/>
        </w:rPr>
        <w:t xml:space="preserve">In connection with Windstream’s emergence from bankruptcy on September 21, 2020, Uniti entered into several agreements and consummated several transactions, including a stock transaction closed on September 18, 2020 in which we issued 38,633,470 shares of Uniti common stock to certain first lien creditors of Windstream and transferred the proceeds to Windstream and an asset transaction closed on September 18, 2020, in which we paid to Windstream approximately $284.6 million in exchange for certain fiber assets and </w:t>
      </w:r>
      <w:r>
        <w:rPr>
          <w:rFonts w:ascii="Times New Roman;sans-serif" w:hAnsi="Times New Roman;sans-serif"/>
          <w:b w:val="false"/>
          <w:color w:val="000000"/>
          <w:sz w:val="20"/>
          <w:shd w:fill="FFFFFF" w:val="clear"/>
        </w:rPr>
        <w:t xml:space="preserve">dark fiber dark fiber indefeasible rights of use related thereto, </w:t>
      </w:r>
      <w:r>
        <w:rPr>
          <w:rFonts w:ascii="Times New Roman;sans-serif" w:hAnsi="Times New Roman;sans-serif"/>
          <w:b w:val="false"/>
          <w:color w:val="000000"/>
          <w:sz w:val="20"/>
        </w:rPr>
        <w:t>to implement its settlement (the “Settlement”) with Windstream pursuant to the settlement agreement dated as of May 12, 2020 between Uniti and Windstream. Pursuant to the Settlement, Uniti and Windstream agreed to mutual releases with respect to any and all liability related to any claims and causes of action between them, including those brought by Windstream and certain of its creditors relating to Windstream’s Chapter 11 proceedings and the Master Lease. On January 8, 2021, Windstream filed in the bankruptcy court a stipulation and order dismissing the adversary proceeding against Uniti with prejudice subject to the terms set forth in the settlement agreement. The stipulation and order was entered by the bankruptcy court on January 25, 2021.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Settlement, we also have a number of ongoing obligations including the following:</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i.we are obligated to make $490.1 million of cash payments to Windstream in equal installments over 20 consecutive quarters beginning in October 2020, and we may prepay any installments due on or after the first anniversary of the settlement agreement (discounted at a 9% rate). As of December 31, 2023, the Company has made payments totaling $313.4 million; and</w:t>
      </w:r>
    </w:p>
    <w:p>
      <w:pPr>
        <w:pStyle w:val="TextBody"/>
        <w:bidi w:val="0"/>
        <w:spacing w:lineRule="auto" w:line="288" w:before="240" w:after="283"/>
        <w:ind w:left="0" w:right="0" w:hanging="1080"/>
        <w:jc w:val="left"/>
        <w:rPr/>
      </w:pPr>
      <w:r>
        <w:rPr>
          <w:rFonts w:ascii="Times New Roman;sans-serif" w:hAnsi="Times New Roman;sans-serif"/>
          <w:b w:val="false"/>
          <w:color w:val="000000"/>
          <w:sz w:val="20"/>
        </w:rPr>
        <w:t xml:space="preserve">ii.we are obligated to reimburse Windstream for Growth Capital Improvements as described in </w:t>
      </w:r>
      <w:hyperlink w:anchor="i374575ee8ecb4d8c9aaa6bdb34828ed2_115">
        <w:r>
          <w:rPr>
            <w:rStyle w:val="InternetLink"/>
            <w:rFonts w:ascii="Times New Roman;sans-serif" w:hAnsi="Times New Roman;sans-serif"/>
            <w:b w:val="false"/>
            <w:strike w:val="false"/>
            <w:dstrike w:val="false"/>
            <w:color w:val="000000"/>
            <w:sz w:val="20"/>
            <w:u w:val="none"/>
            <w:effect w:val="none"/>
          </w:rPr>
          <w:t>Note 5</w:t>
        </w:r>
      </w:hyperlink>
      <w:r>
        <w:rPr>
          <w:rFonts w:ascii="Times New Roman;sans-serif" w:hAnsi="Times New Roman;sans-serif"/>
          <w:b w:val="false"/>
          <w:color w:val="000000"/>
          <w:sz w:val="20"/>
        </w:rPr>
        <w:t xml:space="preserve">. </w:t>
      </w:r>
    </w:p>
    <w:p>
      <w:pPr>
        <w:pStyle w:val="TextBody"/>
        <w:bidi w:val="0"/>
        <w:spacing w:lineRule="auto" w:line="288" w:before="240" w:after="283"/>
        <w:jc w:val="left"/>
        <w:rPr/>
      </w:pPr>
      <w:r>
        <w:rPr>
          <w:rFonts w:ascii="Times New Roman;sans-serif" w:hAnsi="Times New Roman;sans-serif"/>
          <w:b w:val="false"/>
          <w:color w:val="000000"/>
          <w:sz w:val="20"/>
          <w:u w:val="single"/>
        </w:rPr>
        <w:t>Debt Issuance Costs</w:t>
      </w:r>
      <w:r>
        <w:rPr>
          <w:color w:val="000000"/>
        </w:rPr>
        <w:t>—</w:t>
      </w:r>
      <w:r>
        <w:rPr>
          <w:rFonts w:ascii="Times New Roman;sans-serif" w:hAnsi="Times New Roman;sans-serif"/>
          <w:b w:val="false"/>
          <w:color w:val="000000"/>
          <w:sz w:val="20"/>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val="false"/>
          <w:color w:val="000000"/>
          <w:sz w:val="20"/>
          <w:u w:val="single"/>
        </w:rPr>
        <w:t>Revenue Recognition</w:t>
      </w:r>
      <w:r>
        <w:rPr>
          <w:color w:val="000000"/>
        </w:rPr>
        <w:t xml:space="preserve">— </w:t>
      </w:r>
      <w:r>
        <w:rPr>
          <w:rFonts w:ascii="Times New Roman;sans-serif" w:hAnsi="Times New Roman;sans-serif"/>
          <w:b w:val="false"/>
          <w:color w:val="000000"/>
          <w:sz w:val="20"/>
        </w:rPr>
        <w:t xml:space="preserve">The following is a description of principal activities, separated by reportable segments (see </w:t>
      </w:r>
      <w:hyperlink w:anchor="i374575ee8ecb4d8c9aaa6bdb34828ed2_151">
        <w:r>
          <w:rPr>
            <w:rStyle w:val="InternetLink"/>
            <w:rFonts w:ascii="Times New Roman;sans-serif" w:hAnsi="Times New Roman;sans-serif"/>
            <w:b w:val="false"/>
            <w:color w:val="0000FF"/>
            <w:sz w:val="20"/>
            <w:u w:val="single"/>
          </w:rPr>
          <w:t>Note 16</w:t>
        </w:r>
      </w:hyperlink>
      <w:r>
        <w:rPr>
          <w:rFonts w:ascii="Times New Roman;sans-serif" w:hAnsi="Times New Roman;sans-serif"/>
          <w:b w:val="false"/>
          <w:color w:val="000000"/>
          <w:sz w:val="20"/>
        </w:rPr>
        <w:t>), from which the Company generates its revenues. We exclude from the transaction price any amounts collected from customers for sales taxes and therefore, they are not included in revenue.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Uniti Leasing </w:t>
      </w:r>
    </w:p>
    <w:p>
      <w:pPr>
        <w:pStyle w:val="TextBody"/>
        <w:bidi w:val="0"/>
        <w:spacing w:lineRule="auto" w:line="288" w:before="240" w:after="283"/>
        <w:jc w:val="left"/>
        <w:rPr/>
      </w:pPr>
      <w:r>
        <w:rPr>
          <w:rFonts w:ascii="Times New Roman;sans-serif" w:hAnsi="Times New Roman;sans-serif"/>
          <w:b w:val="false"/>
          <w:color w:val="000000"/>
          <w:sz w:val="20"/>
        </w:rPr>
        <w:t xml:space="preserve">Uniti Leasing revenue represents the results from our Uniti Leasing segment, which is engaged in the acquisition and construction of mission-critical communications assets and leasing them to anchor customers on either an exclusive or shared-tenant basis. See discussion in “Leases” in this </w:t>
      </w:r>
      <w:hyperlink w:anchor="i374575ee8ecb4d8c9aaa6bdb34828ed2_109">
        <w:r>
          <w:rPr>
            <w:rStyle w:val="InternetLink"/>
            <w:rFonts w:ascii="Times New Roman;sans-serif" w:hAnsi="Times New Roman;sans-serif"/>
            <w:b w:val="false"/>
            <w:color w:val="0000FF"/>
            <w:sz w:val="20"/>
            <w:u w:val="single"/>
          </w:rPr>
          <w:t>Note 3</w:t>
        </w:r>
      </w:hyperlink>
      <w:r>
        <w:rPr>
          <w:color w:val="000000"/>
        </w:rPr>
        <w:t xml:space="preserve"> </w:t>
      </w:r>
      <w:r>
        <w:rPr>
          <w:rFonts w:ascii="Times New Roman;sans-serif" w:hAnsi="Times New Roman;sans-serif"/>
          <w:b w:val="false"/>
          <w:color w:val="000000"/>
          <w:sz w:val="20"/>
        </w:rPr>
        <w:t xml:space="preserve">and </w:t>
      </w:r>
      <w:hyperlink w:anchor="i374575ee8ecb4d8c9aaa6bdb34828ed2_115">
        <w:r>
          <w:rPr>
            <w:rStyle w:val="InternetLink"/>
            <w:rFonts w:ascii="Times New Roman;sans-serif" w:hAnsi="Times New Roman;sans-serif"/>
            <w:b w:val="false"/>
            <w:color w:val="0000FF"/>
            <w:sz w:val="20"/>
            <w:u w:val="single"/>
          </w:rPr>
          <w:t>Note 5</w:t>
        </w:r>
      </w:hyperlink>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The Windstream Leases (as defined in </w:t>
      </w:r>
      <w:hyperlink w:anchor="i374575ee8ecb4d8c9aaa6bdb34828ed2_115">
        <w:r>
          <w:rPr>
            <w:rStyle w:val="InternetLink"/>
            <w:rFonts w:ascii="Times New Roman;sans-serif" w:hAnsi="Times New Roman;sans-serif"/>
            <w:b w:val="false"/>
            <w:color w:val="0000FF"/>
            <w:sz w:val="20"/>
            <w:u w:val="single"/>
          </w:rPr>
          <w:t>Note 5</w:t>
        </w:r>
      </w:hyperlink>
      <w:r>
        <w:rPr>
          <w:rFonts w:ascii="Times New Roman;sans-serif" w:hAnsi="Times New Roman;sans-serif"/>
          <w:b w:val="false"/>
          <w:color w:val="000000"/>
          <w:sz w:val="20"/>
        </w:rPr>
        <w:t xml:space="preserve">) are long-term exclusive triple-net leases, whereby Windstream is responsible for the costs related to operating the Distribution Systems, including property taxes, insurance and maintenance and repair costs. As a result, we do not record an obligation related to the payment of property taxes or insurance, as Windstream makes direct payments to the taxing authorities and insurance carriers,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Uniti Fiber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Uniti Fiber segment represents the operations of our fiber business, Uniti Fiber, which provides: </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i.Consumer, enterprise, wholesale, and backhaul lit fiber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ii.E-Rate contracts involve providing lit fiber services to schools and libraries, and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iii.Construction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iv.Dark fiber and small cell arrangements represent operating leases and revenue is recognized under the leasing guidance.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v.The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pStyle w:val="TextBody"/>
        <w:bidi w:val="0"/>
        <w:spacing w:lineRule="auto" w:line="288" w:before="240" w:after="283"/>
        <w:jc w:val="left"/>
        <w:rPr/>
      </w:pPr>
      <w:r>
        <w:rPr>
          <w:rFonts w:ascii="Times New Roman;sans-serif" w:hAnsi="Times New Roman;sans-serif"/>
          <w:b w:val="false"/>
          <w:color w:val="000000"/>
          <w:sz w:val="20"/>
        </w:rPr>
        <w:t xml:space="preserve">Commissions – Under Topic 606 and Topic 340, </w:t>
      </w:r>
      <w:r>
        <w:rPr>
          <w:rFonts w:ascii="Times New Roman;sans-serif" w:hAnsi="Times New Roman;sans-serif"/>
          <w:b w:val="false"/>
          <w:i/>
          <w:color w:val="000000"/>
          <w:sz w:val="20"/>
        </w:rPr>
        <w:t>Other Assets and Deferred Costs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we capitalize commission fees as costs of obtaining a contract when those commissions are incremental and expected to be recovered from the revenue contract and we amortize those capitalized costs consistent with the pattern of transfer of the product or service to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relate. The amortization of these costs are included in general and administrative expense on the Consolidated Statements of (Loss)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losses primarily through our trade receivables. We assess ability to pay for certain customers by considering a variety of factors, such as the customer’s established credit rating, if available, and our assessment of creditworthiness. We determine the allowance for credit losses on accounts receivable using a combination of specific reserves for accounts that are deemed to exhibit credit loss indicators and general reserves that are determined using loss rates based on historical experience and economic expectations. We update our estimate of credit loss reserves quarterly, considering recent write-offs, collections information and underlying economic expectations. The allowance for credit losses is recorded in accounts receivable, net on our Consolidated Balance Sheets. At December 31, 2023 and 2022, our allowance for credit losses was $3.2 million and $2.9 million, respectively. Credit losses for the years ended December 31, 2023, 2022 and 2021 were $1.2 million, $0.6 million and $1.5 million, respectively.</w:t>
      </w:r>
    </w:p>
    <w:p>
      <w:pPr>
        <w:pStyle w:val="TextBody"/>
        <w:bidi w:val="0"/>
        <w:spacing w:lineRule="auto" w:line="288" w:before="240" w:after="283"/>
        <w:jc w:val="left"/>
        <w:rPr/>
      </w:pPr>
      <w:r>
        <w:rPr>
          <w:rFonts w:ascii="Times New Roman;sans-serif" w:hAnsi="Times New Roman;sans-serif"/>
          <w:b w:val="false"/>
          <w:color w:val="000000"/>
          <w:sz w:val="20"/>
          <w:u w:val="single"/>
        </w:rPr>
        <w:t>Straight-Line Revenue Receivable</w:t>
      </w:r>
      <w:r>
        <w:rPr>
          <w:color w:val="000000"/>
        </w:rPr>
        <w:t>—</w:t>
      </w:r>
      <w:r>
        <w:rPr>
          <w:rFonts w:ascii="Times New Roman;sans-serif" w:hAnsi="Times New Roman;sans-serif"/>
          <w:b w:val="false"/>
          <w:color w:val="000000"/>
          <w:sz w:val="20"/>
        </w:rPr>
        <w:t xml:space="preserve">We evaluate the collectability of our straight-line revenue receivables in accordance with the provisions of ASC 842, where if the collectability of lease payments is not probable at the commencement date, or at any time during the lease term, then we limit the lease revenue to the lesser of the revenue recognized on a straight-line basis or cash basis. If our assessment of collectability changes after the commencement date, we record the difference between the lease revenue that would have been recognized on a straight-line basis and cash basis as a current period adjustment to lease revenue. </w:t>
      </w:r>
    </w:p>
    <w:p>
      <w:pPr>
        <w:pStyle w:val="TextBody"/>
        <w:bidi w:val="0"/>
        <w:spacing w:lineRule="auto" w:line="288" w:before="240" w:after="283"/>
        <w:jc w:val="left"/>
        <w:rPr/>
      </w:pPr>
      <w:r>
        <w:rPr>
          <w:rFonts w:ascii="Times New Roman;sans-serif" w:hAnsi="Times New Roman;sans-serif"/>
          <w:b w:val="false"/>
          <w:color w:val="000000"/>
          <w:sz w:val="20"/>
          <w:u w:val="single"/>
        </w:rPr>
        <w:t>Leases</w:t>
      </w:r>
      <w:r>
        <w:rPr>
          <w:color w:val="000000"/>
        </w:rPr>
        <w:t>—</w:t>
      </w:r>
      <w:r>
        <w:rPr>
          <w:rFonts w:ascii="Times New Roman;sans-serif" w:hAnsi="Times New Roman;sans-serif"/>
          <w:b w:val="false"/>
          <w:color w:val="000000"/>
          <w:sz w:val="20"/>
        </w:rPr>
        <w:t>We determine if an arrangement is a lease at contract inception. A lease exists when a contract conveys the right to control the use of identified property, plant, or equipment for a period of time in exchange for consideration.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lessee, we enter into lease contracts including ground, tower, equipment, building, automobile, colocation and fiber lease arrangements, and service contracts that may include embedded leases.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are the lessee, we classify leases as either finance or operating leases based on the principle of whether or not the lease is effectively a financed purchase. This classification will determine whether lease expense is comprised of amortization on the right-of-use (“ROU”) asset and interest expense recognized based on an effective interest method (a finance lease) or as a single lease cost recognized on a straight-line basis over the term of the lease (an operating lease). We recognize an ROU asset and a lease liability for all leases with a term of greater than 12 months regardless of classification. We recognize the lease payments associated with our short-term leases, which have lease terms less than 12 months, as an expense on a straight-line basis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and lease liabilities related to operating leases where we are the lessee are separately stated on our Consolidated Balance Sheets. The ROU asset is initially measured as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The lease liabilities are initially and subsequently measured at the present value of the unpaid lease payments. Lease expense for lease payments is recognized on a straight-line basis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and lease liabilities related to finance leases where we are the lessee are included in property, plant and equipment, net and finance lease obligations, respectively, on our Consolidated Balance Sheets. The ROU asset is initially measured as the initial amount of the lease liability adjusted for lease payments made at or before the lease commencement date, plus any initial direct costs incurred less, any lease incentives received.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The lease liabilities are initially measured in the same manner as operating leases and are subsequently measured at amortized cost using the effective interest method. Amortization of the finance lease assets is recognized and presented separately from interest expense on the lease liability, as part of depreciation and amortization expense on the Consolidated Statements of (Loss)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lease agreements which include lease and nonlease components. For leases where we are a lessee, we have elected to combine lease and nonlease components for all lease contracts. For leases where we are the lessor, we combine the lease and non-lease components when the components qualify to be combined and we account for the combined arrangement based on whether the lease or non-lease component is predominant. Maintenance services are the primary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nonlease components and the combined components typically are treated as leases for revenue recognition purposes. We have elected to exclude sales taxes from lease payments in arrangements where we are a lessor.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where we are the lessor are included in Uniti Leasing and Unit Fiber revenues on our Consolidated Statements of (Loss) Income.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not probable, we limit the lease revenue to the lesser of the revenue recognized on a straight-line basis or cash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enter into sales-type lease arrangements as a lessor that may include (i) a lessee obligation to purchase the leased equipment at the end of the lease term, (ii) a bargain purchase option, (iii) a lease term having a duration that is for the major part of the remaining economic life of the leased equipment or (iv) provides for minimum lease payments with a present value amounting to substantially all of the fair value of the leased asset at the date of lease commencement.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payments associated with our leases are recognized when the event, activity, or circumstance in the lease agreement on which those payments are assessed occurs. Variable lease payments are presented within Uniti Leasing and Unit Fiber revenues and general and administrative expense and operating expense in our Consolidated Statements of (Loss)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general and administrative and operating expense in our Consolidated Statements of (Loss) Income.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lease estimates and judgments include how we determined (i) the discount rate we use to discount the unpaid lease payments to present value, (ii) lease term and (iii) lease payments.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i.ASC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ii.The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iii.Lease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pStyle w:val="TextBody"/>
        <w:bidi w:val="0"/>
        <w:spacing w:lineRule="auto" w:line="288" w:before="240" w:after="283"/>
        <w:jc w:val="left"/>
        <w:rPr/>
      </w:pPr>
      <w:r>
        <w:rPr>
          <w:rFonts w:ascii="Times New Roman;sans-serif" w:hAnsi="Times New Roman;sans-serif"/>
          <w:b w:val="false"/>
          <w:color w:val="000000"/>
          <w:sz w:val="20"/>
          <w:u w:val="single"/>
        </w:rPr>
        <w:t>Stock-Based Compensation</w:t>
      </w:r>
      <w:r>
        <w:rPr>
          <w:color w:val="000000"/>
        </w:rPr>
        <w:t>—</w:t>
      </w:r>
      <w:r>
        <w:rPr>
          <w:rFonts w:ascii="Times New Roman;sans-serif" w:hAnsi="Times New Roman;sans-serif"/>
          <w:b w:val="false"/>
          <w:color w:val="000000"/>
          <w:sz w:val="20"/>
        </w:rPr>
        <w:t xml:space="preserve">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 value of restricted stock-based payments is based on the market value of our common stock on the date of grant. The fair value of performance-based awards, which have performance conditions, is based on a Monte Carlo simulation. The fair value of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stock-based compensation is recognized over the period during which an employee is required to provide services in exchange for the award. See </w:t>
      </w:r>
      <w:hyperlink w:anchor="i374575ee8ecb4d8c9aaa6bdb34828ed2_145">
        <w:r>
          <w:rPr>
            <w:rStyle w:val="InternetLink"/>
            <w:rFonts w:ascii="Times New Roman;sans-serif" w:hAnsi="Times New Roman;sans-serif"/>
            <w:b w:val="false"/>
            <w:color w:val="0000FF"/>
            <w:sz w:val="20"/>
            <w:u w:val="single"/>
          </w:rPr>
          <w:t>Note 14</w:t>
        </w:r>
      </w:hyperlink>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u w:val="single"/>
        </w:rPr>
        <w:t>Income Taxes</w:t>
      </w:r>
      <w:r>
        <w:rPr>
          <w:color w:val="000000"/>
        </w:rPr>
        <w:t>—</w:t>
      </w: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 xml:space="preserve">elected on our initial U.S. federal income tax return to be treated as a REIT under the Internal Revenue Code of 1986, as amended (the “Code”). To qualify as a REIT, we must distribute at least 90% of our annual REIT taxable income, </w:t>
      </w:r>
      <w:r>
        <w:rPr>
          <w:rFonts w:ascii="Times New Roman;sans-serif" w:hAnsi="Times New Roman;sans-serif"/>
          <w:b w:val="false"/>
          <w:color w:val="000000"/>
          <w:sz w:val="20"/>
        </w:rPr>
        <w:t>determined without regard to the dividends paid deduction and excluding any capital gains,</w:t>
      </w:r>
      <w:r>
        <w:rPr>
          <w:color w:val="000000"/>
          <w:shd w:fill="FFFFFF" w:val="clear"/>
        </w:rPr>
        <w:t xml:space="preserve"> </w:t>
      </w:r>
      <w:r>
        <w:rPr>
          <w:rFonts w:ascii="Times New Roman;sans-serif" w:hAnsi="Times New Roman;sans-serif"/>
          <w:b w:val="false"/>
          <w:color w:val="000000"/>
          <w:sz w:val="20"/>
          <w:shd w:fill="FFFFFF" w:val="clear"/>
        </w:rPr>
        <w:t>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elected to treat the subsidiaries through which we operate Uniti Fiber and certain subsidiaries of Uniti Leasing as taxable REIT subsidiaries (“TRSs”). TRSs enable us to engage in activities that result in income that does not constitute qualifying income for a REIT. Our TRSs are subject to U.S. federal, state and local corporate income taxes</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Deferred </w:t>
      </w:r>
      <w:r>
        <w:rPr>
          <w:rFonts w:ascii="Times New Roman;sans-serif" w:hAnsi="Times New Roman;sans-serif"/>
          <w:b w:val="false"/>
          <w:color w:val="000000"/>
          <w:sz w:val="20"/>
          <w:shd w:fill="FFFFFF" w:val="clear"/>
        </w:rPr>
        <w:t>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unrecognized tax benefits of $1.7 million recorded in deferred income taxes on our Consolidated Balance Sheet.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may be subject to state corporate level tax in a certain limited number of states on any built-in gain recognized from a sale of assets occurring within a ten-year recognition period after the Spin-Off. The five-year recognition period applicable for federal corporate level tax on any built-in gain recognized from a sale of assets occurring within five years after the Spin-Off expired in 2020</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u w:val="single"/>
        </w:rPr>
        <w:t>Business Combinations and Asset Acquisitions</w:t>
      </w:r>
      <w:r>
        <w:rPr>
          <w:color w:val="000000"/>
        </w:rPr>
        <w:t>—</w:t>
      </w:r>
      <w:r>
        <w:rPr>
          <w:rFonts w:ascii="Times New Roman;sans-serif" w:hAnsi="Times New Roman;sans-serif"/>
          <w:b w:val="false"/>
          <w:color w:val="000000"/>
          <w:sz w:val="20"/>
        </w:rPr>
        <w:t xml:space="preserve">In accordance with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Impacts of these assumptions or estimates include customer retention, execution of our business plans, which impact growth, cost escalation impacting margin, the level of capital expenditures required to sustain our growth and market factors, including interest rate and stock price fluctuations, impacting our cost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acquisitions meeting the definition of a business combination, any excess of the purchase price paid by the Company over the amounts recognized for assets acquired and liabilities assumed is recorded as goodwill.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pStyle w:val="TextBody"/>
        <w:bidi w:val="0"/>
        <w:spacing w:lineRule="auto" w:line="288" w:before="240" w:after="283"/>
        <w:jc w:val="left"/>
        <w:rPr/>
      </w:pPr>
      <w:r>
        <w:rPr>
          <w:rFonts w:ascii="Times New Roman;sans-serif" w:hAnsi="Times New Roman;sans-serif"/>
          <w:b w:val="false"/>
          <w:color w:val="000000"/>
          <w:sz w:val="20"/>
        </w:rPr>
        <w:t xml:space="preserve">For </w:t>
      </w:r>
      <w:r>
        <w:rPr>
          <w:rFonts w:ascii="Times New Roman;sans-serif" w:hAnsi="Times New Roman;sans-serif"/>
          <w:b w:val="false"/>
          <w:color w:val="000000"/>
          <w:sz w:val="20"/>
          <w:shd w:fill="FFFFFF" w:val="clear"/>
        </w:rPr>
        <w:t>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u w:val="single"/>
          <w:shd w:fill="FFFFFF" w:val="clear"/>
        </w:rPr>
        <w:t>Noncontrolling Interest</w:t>
      </w:r>
      <w:r>
        <w:rPr>
          <w:color w:val="000000"/>
          <w:shd w:fill="FFFFFF" w:val="clear"/>
        </w:rPr>
        <w:t>—</w:t>
      </w:r>
      <w:r>
        <w:rPr>
          <w:rFonts w:ascii="Times New Roman;sans-serif" w:hAnsi="Times New Roman;sans-serif"/>
          <w:b w:val="false"/>
          <w:color w:val="000000"/>
          <w:sz w:val="20"/>
          <w:shd w:fill="FFFFFF" w:val="clear"/>
        </w:rPr>
        <w:t>The limited partner equity interests in our operating partnership are exchangeable on a one-for-one basis for shares of our common stock or, at our election, cash of equivalent value. All of the limited partner equity interests in our operating partnership not held by the Company are reflected as noncontrolling interests. In the Consolidated Statements of (Loss) Income, we allocate net income (loss) attributable to noncontrolling interests to arrive at net (loss) income attributable to shareholders based on their proportionate share.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transactions that result in changes to the Company's ownership interest in our operating partnership, the carrying amount of noncontrolling interests is adjusted to reflect such changes. The difference between the fair value of the consideration received or paid and the amount by which the noncontrolling interest is adjusted is reflected as an adjustment to additional paid-in capital on the Consolidated Balance Sheets.</w:t>
      </w:r>
    </w:p>
    <w:p>
      <w:pPr>
        <w:pStyle w:val="TextBody"/>
        <w:bidi w:val="0"/>
        <w:spacing w:lineRule="auto" w:line="288" w:before="240" w:after="283"/>
        <w:jc w:val="left"/>
        <w:rPr/>
      </w:pPr>
      <w:r>
        <w:rPr>
          <w:rFonts w:ascii="Times New Roman;sans-serif" w:hAnsi="Times New Roman;sans-serif"/>
          <w:b w:val="false"/>
          <w:color w:val="000000"/>
          <w:sz w:val="20"/>
          <w:u w:val="single"/>
          <w:shd w:fill="FFFFFF" w:val="clear"/>
        </w:rPr>
        <w:t>Investments in Unconsolidated Entities</w:t>
      </w:r>
      <w:r>
        <w:rPr>
          <w:color w:val="000000"/>
          <w:shd w:fill="FFFFFF" w:val="clear"/>
        </w:rPr>
        <w:t>—</w:t>
      </w:r>
      <w:r>
        <w:rPr>
          <w:rFonts w:ascii="Times New Roman;sans-serif" w:hAnsi="Times New Roman;sans-serif"/>
          <w:b w:val="false"/>
          <w:color w:val="000000"/>
          <w:sz w:val="20"/>
          <w:shd w:fill="FFFFFF" w:val="clear"/>
        </w:rPr>
        <w:t xml:space="preserve">We report </w:t>
      </w:r>
      <w:r>
        <w:rPr>
          <w:rFonts w:ascii="Times New Roman;sans-serif" w:hAnsi="Times New Roman;sans-serif"/>
          <w:b w:val="false"/>
          <w:color w:val="212529"/>
          <w:sz w:val="20"/>
          <w:shd w:fill="FFFFFF" w:val="clear"/>
        </w:rPr>
        <w:t xml:space="preserve">our investments in unconsolidated entities under the equity method of accounting. We adjust our investments in unconsolidated entities for additional contributions made, distributions received as well as our share of the investees’ earnings or losses, which are reported on a 30-day lag for the investment in BB Fiber Holdings LLC (“Fiber Holdings”) and on a 90-day lag for the investment in Harmoni Towers LP (“Harmoni”), and are </w:t>
      </w:r>
      <w:r>
        <w:rPr>
          <w:rFonts w:ascii="Times New Roman;sans-serif" w:hAnsi="Times New Roman;sans-serif"/>
          <w:b w:val="false"/>
          <w:color w:val="000000"/>
          <w:sz w:val="20"/>
          <w:shd w:fill="FFFFFF" w:val="clear"/>
        </w:rPr>
        <w:t xml:space="preserve">included in equity in earnings from unconsolidated entities in our Consolidated Statements of (Loss) Income. See </w:t>
      </w:r>
      <w:hyperlink w:anchor="i374575ee8ecb4d8c9aaa6bdb34828ed2_124">
        <w:r>
          <w:rPr>
            <w:rStyle w:val="InternetLink"/>
            <w:rFonts w:ascii="Times New Roman;sans-serif" w:hAnsi="Times New Roman;sans-serif"/>
            <w:b w:val="false"/>
            <w:strike w:val="false"/>
            <w:dstrike w:val="false"/>
            <w:color w:val="000000"/>
            <w:sz w:val="20"/>
            <w:u w:val="none"/>
            <w:effect w:val="none"/>
            <w:shd w:fill="FFFFFF" w:val="clear"/>
          </w:rPr>
          <w:t>Note 8</w:t>
        </w:r>
      </w:hyperlink>
      <w:r>
        <w:rPr>
          <w:rFonts w:ascii="Times New Roman;sans-serif" w:hAnsi="Times New Roman;sans-serif"/>
          <w:b w:val="false"/>
          <w:color w:val="000000"/>
          <w:sz w:val="20"/>
          <w:shd w:fill="FFFFFF" w:val="clear"/>
        </w:rPr>
        <w:t>.</w:t>
      </w:r>
    </w:p>
    <w:p>
      <w:pPr>
        <w:pStyle w:val="TextBody"/>
        <w:bidi w:val="0"/>
        <w:spacing w:lineRule="auto" w:line="288" w:before="240" w:after="283"/>
        <w:jc w:val="left"/>
        <w:rPr/>
      </w:pPr>
      <w:r>
        <w:rPr>
          <w:rFonts w:ascii="Times New Roman;sans-serif" w:hAnsi="Times New Roman;sans-serif"/>
          <w:b w:val="false"/>
          <w:color w:val="000000"/>
          <w:sz w:val="20"/>
          <w:u w:val="single"/>
        </w:rPr>
        <w:t>Goodwill</w:t>
      </w:r>
      <w:r>
        <w:rPr>
          <w:color w:val="000000"/>
        </w:rPr>
        <w:t>—</w:t>
      </w:r>
      <w:r>
        <w:rPr>
          <w:rFonts w:ascii="Times New Roman;sans-serif" w:hAnsi="Times New Roman;sans-serif"/>
          <w:b w:val="false"/>
          <w:color w:val="212529"/>
          <w:sz w:val="20"/>
          <w:shd w:fill="FFFFFF" w:val="clear"/>
        </w:rPr>
        <w:t xml:space="preserve">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212529"/>
          <w:sz w:val="20"/>
          <w:shd w:fill="FFFFFF" w:val="clear"/>
        </w:rPr>
        <w:t xml:space="preserve">, and 2022, all of our goodwill is included in our Uniti Fiber segment. Goodwill is recognized for the excess of purchase price over the fair value of net assets of businesses acquired. Goodwill is reviewed for impairment on an annual basis. Our annual impairment test is performed with a valuation date of October 1. In accordance with ASC 350-20, </w:t>
      </w:r>
      <w:r>
        <w:rPr>
          <w:rFonts w:ascii="Times New Roman;sans-serif" w:hAnsi="Times New Roman;sans-serif"/>
          <w:b w:val="false"/>
          <w:i/>
          <w:color w:val="212529"/>
          <w:sz w:val="20"/>
          <w:shd w:fill="FFFFFF" w:val="clear"/>
        </w:rPr>
        <w:t xml:space="preserve">Intangibles-Goodwill and Other </w:t>
      </w:r>
      <w:r>
        <w:rPr>
          <w:rFonts w:ascii="Times New Roman;sans-serif" w:hAnsi="Times New Roman;sans-serif"/>
          <w:b w:val="false"/>
          <w:color w:val="212529"/>
          <w:sz w:val="20"/>
          <w:shd w:fill="FFFFFF" w:val="clear"/>
        </w:rPr>
        <w:t>("ASC 350-20"), we evaluate goodwill for impairment between annual impairment tests if an event occurs or circumstances change that would more likely than not reduce the fair value of a reporting unit below its carrying amount (a “Triggering Event”). On the occurrence of a Triggering Event, an entity has the option to first assess qualitative factors to determine whether a quantitative impairment test is necessary. If it is more likely than not that goodwill is impaired, the fair value of the reporting unit must be compared with its carrying value.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assignment of goodwill to reporting units; and the estimation of the fair value of a reporting unit.</w:t>
      </w:r>
    </w:p>
    <w:p>
      <w:pPr>
        <w:pStyle w:val="TextBody"/>
        <w:bidi w:val="0"/>
        <w:spacing w:lineRule="auto" w:line="288" w:before="240" w:after="283"/>
        <w:jc w:val="left"/>
        <w:rPr>
          <w:rFonts w:ascii="Times New Roman;sans-serif" w:hAnsi="Times New Roman;sans-serif"/>
          <w:b w:val="false"/>
          <w:color w:val="212529"/>
          <w:sz w:val="20"/>
          <w:shd w:fill="FFFFFF" w:val="clear"/>
        </w:rPr>
      </w:pPr>
      <w:r>
        <w:rPr>
          <w:rFonts w:ascii="Times New Roman;sans-serif" w:hAnsi="Times New Roman;sans-serif"/>
          <w:b w:val="false"/>
          <w:color w:val="212529"/>
          <w:sz w:val="20"/>
          <w:shd w:fill="FFFFFF" w:val="clear"/>
        </w:rPr>
        <w:t>During the third quarter of 2023, the Company identified a Triggering Event under ASC 350-20 and, therefore, performed a qualitative and quantitative goodwill impairment test with a valuation date of September 30, 2023. The Triggering Event was a result of macroeconomic and financial market factors, specifically increased interest rates impacting our discount rate. As a result, we concluded that the fair value of the Uniti Fiber reporting unit, estimated using a combination of the income approach and market approach, was less than its carrying amount. Accordingly, we recorded a $204.0 million goodwill impairment charge in the Uniti Fiber reporting unit.</w:t>
      </w:r>
    </w:p>
    <w:p>
      <w:pPr>
        <w:pStyle w:val="TextBody"/>
        <w:bidi w:val="0"/>
        <w:spacing w:lineRule="auto" w:line="288" w:before="240" w:after="283"/>
        <w:jc w:val="left"/>
        <w:rPr>
          <w:rFonts w:ascii="Times New Roman;sans-serif" w:hAnsi="Times New Roman;sans-serif"/>
          <w:b w:val="false"/>
          <w:color w:val="212529"/>
          <w:sz w:val="20"/>
          <w:shd w:fill="FFFFFF" w:val="clear"/>
        </w:rPr>
      </w:pPr>
      <w:r>
        <w:rPr>
          <w:rFonts w:ascii="Times New Roman;sans-serif" w:hAnsi="Times New Roman;sans-serif"/>
          <w:b w:val="false"/>
          <w:color w:val="212529"/>
          <w:sz w:val="20"/>
          <w:shd w:fill="FFFFFF" w:val="clear"/>
        </w:rPr>
        <w:t xml:space="preserve">During the third quarter of 2022, the Company identified a Triggering Event under ASC 350-20 and, therefore, performed a qualitative and quantitative goodwill impairment test with a valuation date of September 30, 2022. The Triggering Event was a result of macroeconomic and financial market factors, specifically increased interest rates impacting our discount rate. As a result, we concluded that the fair value of the Uniti Fiber reporting unit, estimated using a combination of the income approach and market approach, was less than its carrying amount. Accordingly, we recorded a $216.0 million goodwill impairment charge in the Uniti Fiber reporting unit. During the fourth quarter of 2022, we performed an additional quantitative and qualitative impairment test, and concluded that as a result of the continuing macroeconomic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val="false"/>
          <w:color w:val="212529"/>
          <w:sz w:val="20"/>
          <w:shd w:fill="FFFFFF" w:val="clear"/>
        </w:rPr>
        <w:t xml:space="preserve">financial market factors, specifically increased interest rates impacting our discount rate, the fair value of the Uniti Fiber reporting unit was less than its carrying amount. As a result, we recorded an additional </w:t>
      </w:r>
      <w:r>
        <w:rPr>
          <w:rFonts w:ascii="Times New Roman;sans-serif" w:hAnsi="Times New Roman;sans-serif"/>
          <w:b w:val="false"/>
          <w:color w:val="000000"/>
          <w:sz w:val="20"/>
          <w:shd w:fill="FFFFFF" w:val="clear"/>
        </w:rPr>
        <w:t>$24.5 million goodwill impairment charge in the Uniti Fiber reporting unit.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During the year ended December 31, 2021, no impairment losses were recognized.</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(Loss) Income not to exceed the carrying amount of goodwill.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pStyle w:val="TextBody"/>
        <w:bidi w:val="0"/>
        <w:spacing w:lineRule="auto" w:line="288" w:before="240" w:after="283"/>
        <w:jc w:val="left"/>
        <w:rPr/>
      </w:pPr>
      <w:r>
        <w:rPr>
          <w:rFonts w:ascii="Times New Roman;sans-serif" w:hAnsi="Times New Roman;sans-serif"/>
          <w:b w:val="false"/>
          <w:color w:val="000000"/>
          <w:sz w:val="20"/>
          <w:u w:val="single"/>
        </w:rPr>
        <w:t>Earnings per Share</w:t>
      </w:r>
      <w:r>
        <w:rPr>
          <w:color w:val="000000"/>
        </w:rPr>
        <w:t>—</w:t>
      </w:r>
      <w:r>
        <w:rPr>
          <w:rFonts w:ascii="Times New Roman;sans-serif" w:hAnsi="Times New Roman;sans-serif"/>
          <w:b w:val="false"/>
          <w:color w:val="000000"/>
          <w:sz w:val="20"/>
        </w:rPr>
        <w:t>Outstanding restricted stock awards that contain rights to non-forfeitable dividends are deemed to be participating securities, requiring the application of the two-class method of computing basic and dilutive earnings per share.</w:t>
      </w:r>
    </w:p>
    <w:p>
      <w:pPr>
        <w:pStyle w:val="TextBody"/>
        <w:bidi w:val="0"/>
        <w:spacing w:lineRule="auto" w:line="288" w:before="240" w:after="283"/>
        <w:jc w:val="left"/>
        <w:rPr/>
      </w:pPr>
      <w:r>
        <w:rPr>
          <w:rFonts w:ascii="Times New Roman;sans-serif" w:hAnsi="Times New Roman;sans-serif"/>
          <w:b w:val="false"/>
          <w:color w:val="000000"/>
          <w:sz w:val="20"/>
        </w:rPr>
        <w:t>Basic earnings per share includes only the weighted average number of common shares outstanding during the period. Dilutive earnings per share includes the weighted average number of common shares and the dilutive effect of restricted stock, performance-based awards outstanding during the period, the Convertible 2027 Notes and the Exchangeable Notes, when such awards are dilutive. See</w:t>
      </w:r>
      <w:hyperlink w:anchor="i374575ee8ecb4d8c9aaa6bdb34828ed2_148">
        <w:r>
          <w:rPr>
            <w:rStyle w:val="InternetLink"/>
            <w:color w:val="0000FF"/>
            <w:u w:val="single"/>
          </w:rPr>
          <w:t xml:space="preserve"> </w:t>
        </w:r>
      </w:hyperlink>
      <w:hyperlink w:anchor="i374575ee8ecb4d8c9aaa6bdb34828ed2_148">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u w:val="single"/>
          <w:shd w:fill="FFFFFF" w:val="clear"/>
        </w:rPr>
        <w:t>Concentration of Credit Risks</w:t>
      </w:r>
      <w:r>
        <w:rPr>
          <w:color w:val="000000"/>
          <w:shd w:fill="FFFFFF" w:val="clear"/>
        </w:rPr>
        <w:t>—</w:t>
      </w:r>
      <w:r>
        <w:rPr>
          <w:rFonts w:ascii="Times New Roman;sans-serif" w:hAnsi="Times New Roman;sans-serif"/>
          <w:b w:val="false"/>
          <w:color w:val="000000"/>
          <w:sz w:val="20"/>
          <w:shd w:fill="FFFFFF" w:val="clear"/>
        </w:rPr>
        <w:t>Revenue under the Windstream Leases provided 67.3% of our revenue for the year ended December 31, 2023, 66.5% of our revenue for the year ended December 31, 2022, and 66.4% of our revenue for the year ended December 31, 2021.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its emergence from bankruptcy on September 21, 2020, Windstream was a publicly traded company subject to the periodic filing requirements of the Securities Exchange Act of 1934, as amended (the “Exchange Act”). Windstream historic filings through their quarter ended June 30, 2020 can be found at www.sec.gov. On September 22, 2020, Windstream filed a Form 15 to terminate all filing obligations under Sections 12(g) and 15(d) under the Exchange Act. Windstream’s filings are not incorporated by reference in this Annual Report on Form 10-K.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this Annual Report on Form 10-K,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These ratings were both upgrades from Windstream’s pre-bankruptcy ratings. Both ratings remain current as of the date of this filing.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pPr>
      <w:r>
        <w:rPr>
          <w:rFonts w:ascii="Times New Roman;sans-serif" w:hAnsi="Times New Roman;sans-serif"/>
          <w:b w:val="false"/>
          <w:color w:val="000000"/>
          <w:sz w:val="20"/>
          <w:u w:val="single"/>
        </w:rPr>
        <w:t>Reclassificatio</w:t>
      </w:r>
      <w:r>
        <w:rPr>
          <w:rFonts w:ascii="Times New Roman;sans-serif" w:hAnsi="Times New Roman;sans-serif"/>
          <w:b w:val="false"/>
          <w:color w:val="000000"/>
          <w:sz w:val="20"/>
          <w:u w:val="single"/>
          <w:shd w:fill="FFFFFF" w:val="clear"/>
        </w:rPr>
        <w:t>ns</w:t>
      </w:r>
      <w:r>
        <w:rPr>
          <w:color w:val="000000"/>
          <w:shd w:fill="FFFFFF" w:val="clear"/>
        </w:rPr>
        <w:t>—</w:t>
      </w:r>
      <w:r>
        <w:rPr>
          <w:rFonts w:ascii="Times New Roman;sans-serif" w:hAnsi="Times New Roman;sans-serif"/>
          <w:b w:val="false"/>
          <w:color w:val="000000"/>
          <w:sz w:val="20"/>
          <w:shd w:fill="FFFFFF" w:val="clear"/>
        </w:rPr>
        <w:t>Certain prior year asset and liability categories and related amounts have been reclassified to conform with current year presentation. Operating lease right of use assets, net and operating lease liabilities are now presented separately on our Consolidated Balance Sheets.</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Recently Adopted Accounting Pronouncements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FASB issued Accounting Standards Update ("ASU") 2022-02, Financial Instruments—Credit Losses (Topic 326): Troubled Debt Restructurings and Vintage Disclosures ("ASU 2022-02"), which eliminates the accounting guidance for troubled debt restructurings and requires the disclosure of current-period gross write-offs of financing receivables and net investment in leases by year of origination. The Company adopted ASU 2022-02 on January 1, 2023, and the adoption had no impact on the Company's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the FASB issued ASU 2022-06, Reference Rate Reform (Topic 848): Deferral of the Sunset Date of Topic 848 ("ASU 2022-06"), which provides additional relief for contract modifications completed after the December 31, 2022 LIBOR sunset date. The amendment allows for a deferral until December 31, 2024. The Company adopted ASU 2022-06 at issuance, and the adoption had no impact on the Company's consolidated financial statements.</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Recently Issued Accounting Pronouncements Not Yet Adopted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Reporting—Improvements to Reportable Segment Disclosures ("ASU 2023-07"), which requires incremental disclosures related to reportable segments. Specifically, the ASU requires disclosure of significant segment expense categories and amounts for each reportable segment. The ASU is effective for fiscal years beginning after December 15, 2023, and interim periods in fiscal years beginning after December 15, 2024, with early adoption permitted. The Company is currently evaluating this guidance to determine the impact it will have on our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color w:val="000000"/>
          <w:sz w:val="20"/>
        </w:rPr>
        <w:t>Note 4. Revenues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Disaggregation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revenues disaggregated by revenue stream.</w:t>
      </w:r>
    </w:p>
    <w:tbl>
      <w:tblPr>
        <w:tblW w:w="9249"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 by revenue stream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accounted for under leasing guidance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accounted for under leasing guidance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lease receivables were $22.0 million and $26.2 million, respectively, and receivables from contracts with customers were $18.8 million and $16.1 million, respectively.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Assets (Unbilled Revenue) and Liabilities (Deferred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consist of unbilled construction revenue where we are utilizing our costs incurred as the measure of progress of satisfying our performance obligation. Contract assets are reported within accounts receivables, net on our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years ended December 31, 2023, 2022, and 2021, we recognized revenues of $4.1 million, $6.4 million, and $13.2 million, respectively that was included in the December 31, 2022, December 31, 2021, and December 31, 2020 contract liabilities balance,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accounted for under Topic 606.</w:t>
      </w:r>
    </w:p>
    <w:tbl>
      <w:tblPr>
        <w:tblW w:w="6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377"/>
        <w:gridCol w:w="835"/>
        <w:gridCol w:w="197"/>
        <w:gridCol w:w="109"/>
        <w:gridCol w:w="109"/>
        <w:gridCol w:w="109"/>
        <w:gridCol w:w="352"/>
        <w:gridCol w:w="1205"/>
        <w:gridCol w:w="257"/>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Liabilities</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Price Allocated to Remaining Performance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obligations within contracts to stand ready to provide services are typically satisfied over time or as those services are provided. Contract liabilities primarily relate to deferred revenue from upfront customer payments.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is recognized, and the liability reduced, over the contract term as the Company completes the performance obligation. As of December 31, 2023, our future revenues (i.e. transaction price related to remaining performance obligations) under contracts accounted for under ASC 606 totaled $645.0 million, of which $589.0 million is related to contracts that are currently being invoiced and have an average remaining contract term of 3.3 years, while $56.0 million represents our backlog for sales bookings which have yet to be installed and have an average remaining contract term of 5.2 years. We do not disclose the value of unsatisfied performance obligations for contracts that have an original expected duration of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Leases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lease communications towers, ground, colocation, other communication equipment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for the years ended December 31, 2023 and 2022 are as follows:</w:t>
      </w:r>
    </w:p>
    <w:tbl>
      <w:tblPr>
        <w:tblW w:w="6381" w:type="dxa"/>
        <w:jc w:val="center"/>
        <w:tblInd w:w="0" w:type="dxa"/>
        <w:tblLayout w:type="fixed"/>
        <w:tblCellMar>
          <w:top w:w="28" w:type="dxa"/>
          <w:left w:w="28" w:type="dxa"/>
          <w:bottom w:w="28" w:type="dxa"/>
          <w:right w:w="28" w:type="dxa"/>
        </w:tblCellMar>
      </w:tblPr>
      <w:tblGrid>
        <w:gridCol w:w="971"/>
        <w:gridCol w:w="851"/>
        <w:gridCol w:w="862"/>
        <w:gridCol w:w="109"/>
        <w:gridCol w:w="109"/>
        <w:gridCol w:w="109"/>
        <w:gridCol w:w="276"/>
        <w:gridCol w:w="1081"/>
        <w:gridCol w:w="142"/>
        <w:gridCol w:w="109"/>
        <w:gridCol w:w="109"/>
        <w:gridCol w:w="109"/>
        <w:gridCol w:w="273"/>
        <w:gridCol w:w="1072"/>
        <w:gridCol w:w="199"/>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2022</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income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892,414 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to be received under non-cancellable operating leases where we are the lessor for the remainder of the lease terms as of December 31, 2023 are as follows:</w:t>
      </w:r>
    </w:p>
    <w:tbl>
      <w:tblPr>
        <w:tblW w:w="9130" w:type="dxa"/>
        <w:jc w:val="center"/>
        <w:tblInd w:w="0" w:type="dxa"/>
        <w:tblLayout w:type="fixed"/>
        <w:tblCellMar>
          <w:top w:w="28" w:type="dxa"/>
          <w:left w:w="28" w:type="dxa"/>
          <w:bottom w:w="28" w:type="dxa"/>
          <w:right w:w="28" w:type="dxa"/>
        </w:tblCellMar>
      </w:tblPr>
      <w:tblGrid>
        <w:gridCol w:w="1666"/>
        <w:gridCol w:w="1402"/>
        <w:gridCol w:w="1415"/>
        <w:gridCol w:w="248"/>
        <w:gridCol w:w="248"/>
        <w:gridCol w:w="248"/>
        <w:gridCol w:w="614"/>
        <w:gridCol w:w="2842"/>
        <w:gridCol w:w="447"/>
      </w:tblGrid>
      <w:tr>
        <w:trPr/>
        <w:tc>
          <w:tcPr>
            <w:tcW w:w="166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4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December 31, 2023 </w:t>
            </w:r>
            <w:r>
              <w:rPr>
                <w:rFonts w:ascii="Times New Roman;sans-serif" w:hAnsi="Times New Roman;sans-serif"/>
                <w:b/>
                <w:color w:val="000000"/>
                <w:sz w:val="10"/>
              </w:rPr>
              <w:t>(1)</w:t>
            </w:r>
          </w:p>
        </w:tc>
      </w:tr>
      <w:tr>
        <w:trPr/>
        <w:tc>
          <w:tcPr>
            <w:tcW w:w="4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806,483 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816,771 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818,196 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819,134 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819,813 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1,556,217 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receivables</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5,636,614 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3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future minimum lease payments to be received include $4.7 billion relating to the Windstream Leases.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underlying assets under operating leases where we are the lessor as of December 31, 2023 and 2022 are summarized as follows:</w:t>
      </w:r>
    </w:p>
    <w:tbl>
      <w:tblPr>
        <w:tblW w:w="7464" w:type="dxa"/>
        <w:jc w:val="left"/>
        <w:tblInd w:w="0" w:type="dxa"/>
        <w:tblLayout w:type="fixed"/>
        <w:tblCellMar>
          <w:top w:w="28" w:type="dxa"/>
          <w:left w:w="28" w:type="dxa"/>
          <w:bottom w:w="28" w:type="dxa"/>
          <w:right w:w="28" w:type="dxa"/>
        </w:tblCellMar>
      </w:tblPr>
      <w:tblGrid>
        <w:gridCol w:w="1361"/>
        <w:gridCol w:w="1195"/>
        <w:gridCol w:w="1209"/>
        <w:gridCol w:w="109"/>
        <w:gridCol w:w="109"/>
        <w:gridCol w:w="109"/>
        <w:gridCol w:w="244"/>
        <w:gridCol w:w="1130"/>
        <w:gridCol w:w="126"/>
        <w:gridCol w:w="109"/>
        <w:gridCol w:w="109"/>
        <w:gridCol w:w="109"/>
        <w:gridCol w:w="243"/>
        <w:gridCol w:w="1125"/>
        <w:gridCol w:w="177"/>
      </w:tblGrid>
      <w:tr>
        <w:trPr/>
        <w:tc>
          <w:tcPr>
            <w:tcW w:w="136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3,862,635 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3,529,835 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3,964,439 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8,628,671 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8,294,214 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(5,690,066)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(5,542,726)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assets under operating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2,938,605 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2,751,488 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underlying assets under operating leases where we are the lessor for the years ended December 31, 2023 and 2022 is summarized as follows:</w:t>
      </w:r>
    </w:p>
    <w:tbl>
      <w:tblPr>
        <w:tblW w:w="9156" w:type="dxa"/>
        <w:jc w:val="center"/>
        <w:tblInd w:w="0" w:type="dxa"/>
        <w:tblLayout w:type="fixed"/>
        <w:tblCellMar>
          <w:top w:w="28" w:type="dxa"/>
          <w:left w:w="28" w:type="dxa"/>
          <w:bottom w:w="28" w:type="dxa"/>
          <w:right w:w="28" w:type="dxa"/>
        </w:tblCellMar>
      </w:tblPr>
      <w:tblGrid>
        <w:gridCol w:w="1972"/>
        <w:gridCol w:w="1734"/>
        <w:gridCol w:w="1753"/>
        <w:gridCol w:w="109"/>
        <w:gridCol w:w="109"/>
        <w:gridCol w:w="109"/>
        <w:gridCol w:w="276"/>
        <w:gridCol w:w="1081"/>
        <w:gridCol w:w="142"/>
        <w:gridCol w:w="109"/>
        <w:gridCol w:w="109"/>
        <w:gridCol w:w="109"/>
        <w:gridCol w:w="273"/>
        <w:gridCol w:w="1072"/>
        <w:gridCol w:w="199"/>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2022</w:t>
            </w:r>
          </w:p>
        </w:tc>
      </w:tr>
      <w:tr>
        <w:trPr/>
        <w:tc>
          <w:tcPr>
            <w:tcW w:w="5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underlying assets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176,160 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commitments under operating leases for communications towers, ground, colocation, other communication equipment, dark fiber lease arrangements and buildings. We also have finance leases for automobiles and dark fiber lease arrangements. Our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short term lease commitments amounting to approximately $3.5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are presented within general and administrative expense and operating expense, while sublease income is presented within revenues in our Consolidated Statements of (Loss) Income for the years ended December 31, 2023 and 2022 are as follows:</w:t>
      </w:r>
    </w:p>
    <w:tbl>
      <w:tblPr>
        <w:tblW w:w="6068" w:type="dxa"/>
        <w:jc w:val="center"/>
        <w:tblInd w:w="0" w:type="dxa"/>
        <w:tblLayout w:type="fixed"/>
        <w:tblCellMar>
          <w:top w:w="28" w:type="dxa"/>
          <w:left w:w="28" w:type="dxa"/>
          <w:bottom w:w="28" w:type="dxa"/>
          <w:right w:w="28" w:type="dxa"/>
        </w:tblCellMar>
      </w:tblPr>
      <w:tblGrid>
        <w:gridCol w:w="857"/>
        <w:gridCol w:w="754"/>
        <w:gridCol w:w="758"/>
        <w:gridCol w:w="109"/>
        <w:gridCol w:w="109"/>
        <w:gridCol w:w="109"/>
        <w:gridCol w:w="304"/>
        <w:gridCol w:w="1039"/>
        <w:gridCol w:w="157"/>
        <w:gridCol w:w="109"/>
        <w:gridCol w:w="109"/>
        <w:gridCol w:w="109"/>
        <w:gridCol w:w="300"/>
        <w:gridCol w:w="1026"/>
        <w:gridCol w:w="219"/>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2022</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reported in the Consolidated Balance Sheets for leases where we are the lessee as of December 31, 2023 and 2022 were as follows:</w:t>
      </w:r>
    </w:p>
    <w:tbl>
      <w:tblPr>
        <w:tblW w:w="10205" w:type="dxa"/>
        <w:jc w:val="left"/>
        <w:tblInd w:w="0" w:type="dxa"/>
        <w:tblLayout w:type="fixed"/>
        <w:tblCellMar>
          <w:top w:w="28" w:type="dxa"/>
          <w:left w:w="28" w:type="dxa"/>
          <w:bottom w:w="28" w:type="dxa"/>
          <w:right w:w="28" w:type="dxa"/>
        </w:tblCellMar>
      </w:tblPr>
      <w:tblGrid>
        <w:gridCol w:w="1195"/>
        <w:gridCol w:w="1018"/>
        <w:gridCol w:w="998"/>
        <w:gridCol w:w="109"/>
        <w:gridCol w:w="109"/>
        <w:gridCol w:w="109"/>
        <w:gridCol w:w="1002"/>
        <w:gridCol w:w="1002"/>
        <w:gridCol w:w="1005"/>
        <w:gridCol w:w="109"/>
        <w:gridCol w:w="109"/>
        <w:gridCol w:w="109"/>
        <w:gridCol w:w="239"/>
        <w:gridCol w:w="935"/>
        <w:gridCol w:w="306"/>
        <w:gridCol w:w="109"/>
        <w:gridCol w:w="109"/>
        <w:gridCol w:w="109"/>
        <w:gridCol w:w="256"/>
        <w:gridCol w:w="877"/>
        <w:gridCol w:w="391"/>
      </w:tblGrid>
      <w:tr>
        <w:trPr/>
        <w:tc>
          <w:tcPr>
            <w:tcW w:w="119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on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125,105 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years</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years</w:t>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as of December 31, 2023 and 2022 are as follows:</w:t>
      </w:r>
    </w:p>
    <w:tbl>
      <w:tblPr>
        <w:tblW w:w="9504" w:type="dxa"/>
        <w:jc w:val="center"/>
        <w:tblInd w:w="0" w:type="dxa"/>
        <w:tblLayout w:type="fixed"/>
        <w:tblCellMar>
          <w:top w:w="28" w:type="dxa"/>
          <w:left w:w="28" w:type="dxa"/>
          <w:bottom w:w="28" w:type="dxa"/>
          <w:right w:w="28" w:type="dxa"/>
        </w:tblCellMar>
      </w:tblPr>
      <w:tblGrid>
        <w:gridCol w:w="2100"/>
        <w:gridCol w:w="1845"/>
        <w:gridCol w:w="1860"/>
        <w:gridCol w:w="109"/>
        <w:gridCol w:w="109"/>
        <w:gridCol w:w="109"/>
        <w:gridCol w:w="304"/>
        <w:gridCol w:w="1039"/>
        <w:gridCol w:w="157"/>
        <w:gridCol w:w="109"/>
        <w:gridCol w:w="109"/>
        <w:gridCol w:w="109"/>
        <w:gridCol w:w="300"/>
        <w:gridCol w:w="1026"/>
        <w:gridCol w:w="219"/>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December 31, 2022</w:t>
            </w:r>
          </w:p>
        </w:tc>
      </w:tr>
      <w:tr>
        <w:trPr/>
        <w:tc>
          <w:tcPr>
            <w:tcW w:w="5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operating leases and remeasurements,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lease payments under non-cancellable leases as of December 31, 2023 are as follows:</w:t>
      </w:r>
    </w:p>
    <w:tbl>
      <w:tblPr>
        <w:tblW w:w="6322" w:type="dxa"/>
        <w:jc w:val="center"/>
        <w:tblInd w:w="0" w:type="dxa"/>
        <w:tblLayout w:type="fixed"/>
        <w:tblCellMar>
          <w:top w:w="28" w:type="dxa"/>
          <w:left w:w="28" w:type="dxa"/>
          <w:bottom w:w="28" w:type="dxa"/>
          <w:right w:w="28" w:type="dxa"/>
        </w:tblCellMar>
      </w:tblPr>
      <w:tblGrid>
        <w:gridCol w:w="1110"/>
        <w:gridCol w:w="933"/>
        <w:gridCol w:w="941"/>
        <w:gridCol w:w="109"/>
        <w:gridCol w:w="109"/>
        <w:gridCol w:w="109"/>
        <w:gridCol w:w="259"/>
        <w:gridCol w:w="1017"/>
        <w:gridCol w:w="134"/>
        <w:gridCol w:w="109"/>
        <w:gridCol w:w="109"/>
        <w:gridCol w:w="109"/>
        <w:gridCol w:w="247"/>
        <w:gridCol w:w="847"/>
        <w:gridCol w:w="180"/>
      </w:tblGrid>
      <w:tr>
        <w:trPr/>
        <w:tc>
          <w:tcPr>
            <w:tcW w:w="11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Leases </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sublease rentals as of December 31, 2023 are as follows:</w:t>
      </w:r>
    </w:p>
    <w:tbl>
      <w:tblPr>
        <w:tblW w:w="2666" w:type="dxa"/>
        <w:jc w:val="center"/>
        <w:tblInd w:w="0" w:type="dxa"/>
        <w:tblLayout w:type="fixed"/>
        <w:tblCellMar>
          <w:top w:w="28" w:type="dxa"/>
          <w:left w:w="28" w:type="dxa"/>
          <w:bottom w:w="28" w:type="dxa"/>
          <w:right w:w="28" w:type="dxa"/>
        </w:tblCellMar>
      </w:tblPr>
      <w:tblGrid>
        <w:gridCol w:w="358"/>
        <w:gridCol w:w="315"/>
        <w:gridCol w:w="317"/>
        <w:gridCol w:w="109"/>
        <w:gridCol w:w="109"/>
        <w:gridCol w:w="109"/>
        <w:gridCol w:w="239"/>
        <w:gridCol w:w="936"/>
        <w:gridCol w:w="17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Sublease Rentals</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Windstream Leases</w:t>
      </w:r>
    </w:p>
    <w:p>
      <w:pPr>
        <w:pStyle w:val="TextBody"/>
        <w:bidi w:val="0"/>
        <w:spacing w:lineRule="auto" w:line="288" w:before="240" w:after="283"/>
        <w:jc w:val="left"/>
        <w:rPr/>
      </w:pPr>
      <w:r>
        <w:rPr>
          <w:rFonts w:ascii="Times New Roman;sans-serif" w:hAnsi="Times New Roman;sans-serif"/>
          <w:b w:val="false"/>
          <w:color w:val="000000"/>
          <w:sz w:val="20"/>
        </w:rPr>
        <w:t>Pursuant to the Spin-Off, Uniti entered into a long-term exclusive triple-net lease (the “Master Lease”) with Windstream, pursua</w:t>
      </w:r>
      <w:r>
        <w:rPr>
          <w:rFonts w:ascii="Times New Roman;sans-serif" w:hAnsi="Times New Roman;sans-serif"/>
          <w:b w:val="false"/>
          <w:color w:val="000000"/>
          <w:sz w:val="20"/>
          <w:shd w:fill="FFFFFF" w:val="clear"/>
        </w:rPr>
        <w:t xml:space="preserve">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that each expire on April 30, 2030 (collectively, the “Windstream Leases”), which Windstream Leases amended and restated the Master Lease in its entirety. The Windstream Leases consist of two leases: (a) a master lease (the “ILEC MLA”) that governs Uniti owned assets used for Windstream’s incumbent local exchange carrier (“ILEC”) operations and (b) a master lease (the “CLEC MLA”) that governs Uniti owned assets used for Windstream’s competitive local exchange carrier (“CLEC”) operations. The aggregate initial annual rent under the Windstream Leases is $663.0 million. The tenants under the ILEC MLA are Windstream Holdings II, LLC (“Windstream Holdings II,” successor in interest to Windstream Holdings, Inc.), Windstream Services II, LLC (“Windstream Services II,” successor in interest to Windstream Services LLC), and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subsidiaries and/or newly formed affiliated entities operating the ILECs, and the landlords under the ILEC MLA are the Uniti entities that own the applicable ILEC assets. Similarly, the tenants under the CLEC MLA are Windstream Holdings II, Windstream Services II, and certain subsidiaries and/or newly formed affiliated entities operating CLECs, and the landlords under the CLEC MLA are the Uniti entities that own the CLEC assets.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Windstream Leases impose certain financial restrictions on Windstream if Windstream fails to maintain certain financial covenants. Windstream covenants not to incur certain indebtedness (other than certain refinancing in a principal amount that does not exceed the sum of the principal amount of the indebtedness refinanced, the accrued and unpaid interest on such indebtedness refinanced and any other amounts owing thereon and any customary costs incurred in connection with such refinancing or drawings under its third party syndicated revolving credit facility, in an amount not to exceed $750 million) if its total leverage ratio, pro forma for the incurrence of such indebtedness, would exceed 3.00:1.00. Further, Windstream covenants not to incur certain additional indebtedness, pay dividends, repurchase stock or prepay unsecured debt, or enter into a transaction with an entity controlled by a member of the board without Uniti’s consent if Windstream’s total leverage ratio exceeds 3.50:1.00. Notwithstanding the foregoing, the financial covenants described herein shall not apply at any time in which Windstream maintains a corporate family rating of not less than “B2” by Moody’s and either “B” by Standard &amp; Poor’s or “B” by Fitch Ratings.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per year in 2021, 2022 and 2023 and are limited to $225 million in 2024; $175 million per year in 2025 and 2026; and $125 million per year in 2027 through 2029. </w:t>
      </w:r>
    </w:p>
    <w:p>
      <w:pPr>
        <w:pStyle w:val="TextBody"/>
        <w:bidi w:val="0"/>
        <w:spacing w:lineRule="auto" w:line="288" w:before="240" w:after="283"/>
        <w:jc w:val="left"/>
        <w:rPr/>
      </w:pPr>
      <w:r>
        <w:rPr>
          <w:rFonts w:ascii="Times New Roman;sans-serif" w:hAnsi="Times New Roman;sans-serif"/>
          <w:b w:val="false"/>
          <w:color w:val="000000"/>
          <w:sz w:val="20"/>
        </w:rPr>
        <w:t xml:space="preserve">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w:t>
      </w:r>
      <w:r>
        <w:rPr>
          <w:rFonts w:ascii="Times New Roman;sans-serif" w:hAnsi="Times New Roman;sans-serif"/>
          <w:b w:val="false"/>
          <w:color w:val="000000"/>
          <w:sz w:val="20"/>
          <w:shd w:fill="FFFFFF" w:val="clear"/>
        </w:rPr>
        <w:t xml:space="preserve">If Uniti fails to </w:t>
      </w:r>
      <w:r>
        <w:rPr>
          <w:rFonts w:ascii="Times New Roman;sans-serif" w:hAnsi="Times New Roman;sans-serif"/>
          <w:b w:val="false"/>
          <w:color w:val="000000"/>
          <w:sz w:val="20"/>
        </w:rPr>
        <w:t>reimburse</w:t>
      </w:r>
      <w:r>
        <w:rPr>
          <w:color w:val="000000"/>
          <w:shd w:fill="FFFFFF" w:val="clear"/>
        </w:rPr>
        <w:t xml:space="preserve"> </w:t>
      </w:r>
      <w:r>
        <w:rPr>
          <w:rFonts w:ascii="Times New Roman;sans-serif" w:hAnsi="Times New Roman;sans-serif"/>
          <w:b w:val="false"/>
          <w:color w:val="000000"/>
          <w:sz w:val="20"/>
          <w:shd w:fill="FFFFFF" w:val="clear"/>
        </w:rPr>
        <w:t xml:space="preserve">any Growth Capital Improvement payment or equipment loan funding request as and when it is required to do so under the terms of the </w:t>
      </w:r>
      <w:r>
        <w:rPr>
          <w:rFonts w:ascii="Times New Roman;sans-serif" w:hAnsi="Times New Roman;sans-serif"/>
          <w:b w:val="false"/>
          <w:color w:val="000000"/>
          <w:sz w:val="20"/>
        </w:rPr>
        <w:t>Windstream</w:t>
      </w:r>
      <w:r>
        <w:rPr>
          <w:color w:val="000000"/>
          <w:shd w:fill="FFFFFF" w:val="clear"/>
        </w:rPr>
        <w:t xml:space="preserve"> </w:t>
      </w:r>
      <w:r>
        <w:rPr>
          <w:rFonts w:ascii="Times New Roman;sans-serif" w:hAnsi="Times New Roman;sans-serif"/>
          <w:b w:val="false"/>
          <w:color w:val="000000"/>
          <w:sz w:val="20"/>
          <w:shd w:fill="FFFFFF" w:val="clear"/>
        </w:rPr>
        <w:t>Leases, and such failure continues for thirty (30) days, then such un</w:t>
      </w:r>
      <w:r>
        <w:rPr>
          <w:rFonts w:ascii="Times New Roman;sans-serif" w:hAnsi="Times New Roman;sans-serif"/>
          <w:b w:val="false"/>
          <w:color w:val="000000"/>
          <w:sz w:val="20"/>
        </w:rPr>
        <w:t>reimbursed</w:t>
      </w:r>
      <w:r>
        <w:rPr>
          <w:color w:val="000000"/>
          <w:shd w:fill="FFFFFF" w:val="clear"/>
        </w:rPr>
        <w:t xml:space="preserve"> </w:t>
      </w:r>
      <w:r>
        <w:rPr>
          <w:rFonts w:ascii="Times New Roman;sans-serif" w:hAnsi="Times New Roman;sans-serif"/>
          <w:b w:val="false"/>
          <w:color w:val="000000"/>
          <w:sz w:val="20"/>
          <w:shd w:fill="FFFFFF" w:val="clear"/>
        </w:rPr>
        <w:t xml:space="preserve">amounts may be applied as an offset against the rent owed by Windstream under the </w:t>
      </w:r>
      <w:r>
        <w:rPr>
          <w:rFonts w:ascii="Times New Roman;sans-serif" w:hAnsi="Times New Roman;sans-serif"/>
          <w:b w:val="false"/>
          <w:color w:val="000000"/>
          <w:sz w:val="20"/>
        </w:rPr>
        <w:t>Windstream</w:t>
      </w:r>
      <w:r>
        <w:rPr>
          <w:color w:val="000000"/>
          <w:shd w:fill="FFFFFF" w:val="clear"/>
        </w:rPr>
        <w:t xml:space="preserve"> </w:t>
      </w:r>
      <w:r>
        <w:rPr>
          <w:rFonts w:ascii="Times New Roman;sans-serif" w:hAnsi="Times New Roman;sans-serif"/>
          <w:b w:val="false"/>
          <w:color w:val="000000"/>
          <w:sz w:val="20"/>
          <w:shd w:fill="FFFFFF" w:val="clear"/>
        </w:rPr>
        <w:t xml:space="preserve">Leases (and such amounts will thereafter be treated as if Uniti had </w:t>
      </w:r>
      <w:r>
        <w:rPr>
          <w:rFonts w:ascii="Times New Roman;sans-serif" w:hAnsi="Times New Roman;sans-serif"/>
          <w:b w:val="false"/>
          <w:color w:val="000000"/>
          <w:sz w:val="20"/>
        </w:rPr>
        <w:t>reimburs</w:t>
      </w:r>
      <w:r>
        <w:rPr>
          <w:rFonts w:ascii="Times New Roman;sans-serif" w:hAnsi="Times New Roman;sans-serif"/>
          <w:b w:val="false"/>
          <w:color w:val="000000"/>
          <w:sz w:val="20"/>
          <w:shd w:fill="FFFFFF" w:val="clear"/>
        </w:rPr>
        <w:t>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Uniti and Windstream have entered into separate ILEC and CLEC Equipment Loan and Security Agreements (collectively “Equipment Loan Agreement”) in which Uniti will provide up to $125 million (limited to $25 million in any calendar year) of the $1.75 billion of Growth Capital Improvement commitments discussed above in the form of loans for Windstream to purchase equipment related to network upgrades or to be used in connection with the Windstream Leases. Interest on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will accrue at 8% from the date of the borrowing. All equipment financed through the Equipment Loan Agreement is the sole property of Windstream; however, Uniti will receive a first-lien security interest in the equipment purchased with the loans. No such loans have been made to Windstream as of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Windstream Leases provide that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Uniti reimbursed $250.0 million of Growth Capital Improvements, of which $35.1 million, as allowed for under the Settlement, represented the reimbursement of capital improvements completed in 2022 that were previously classified as TCIs. Subsequent to December 31, 2023, Windstream requested and we reimbursed $79.6 million of qualifying Growth Capital Improvements that were reported as TCIs as of December 31, 2023. As of the date of this Annual Report on Form 10-K, we have reimbursed a total of $873.8 million of Growth Capital Improvements.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Business Combinations, Asset Acquisitions and Dispositions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2021 Transactions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Everstream OpCo-PropCo Transaction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28, 2021, the Company completed its previously announced strategic transaction with Everstream Solutions LLC (“Everstream”). As part of the transaction, Uniti entered into two 20-year dark fiber indefeasible rights of use (“IRU”) lease agreements with Everstream on Uniti owned fiber. Concurrently, Uniti sold its Uniti Fiber Northeast operations and certain dark fiber IRU contracts acquired as part of the Windstream settlement to Everstream. Total cash consideration, including upfront IRU payments, was approximately $135 million. In addition to the upfront proceeds, Uniti will receive fees of approximately $3 million annually from Everstream over the initial 20-year term of the IRU lease agreements, subject to an annual escalator of 2%. During the quarter ended June 30, 2021, we recorded a gain of $28.1 million related to this transaction, which is included in gain on sale of operations in our Consolidated Statements of (Loss) Income.</w:t>
      </w:r>
    </w:p>
    <w:tbl>
      <w:tblPr>
        <w:tblW w:w="4787" w:type="dxa"/>
        <w:jc w:val="center"/>
        <w:tblInd w:w="0" w:type="dxa"/>
        <w:tblLayout w:type="fixed"/>
        <w:tblCellMar>
          <w:top w:w="28" w:type="dxa"/>
          <w:left w:w="28" w:type="dxa"/>
          <w:bottom w:w="28" w:type="dxa"/>
          <w:right w:w="28" w:type="dxa"/>
        </w:tblCellMar>
      </w:tblPr>
      <w:tblGrid>
        <w:gridCol w:w="1220"/>
        <w:gridCol w:w="1074"/>
        <w:gridCol w:w="1080"/>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assets and liabilities sold,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Assets and Liabilities Held for Sale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2018, we acquired certain fiber assets from CableSouth Media, LLC (“CableSouth”) and leased back certain of those acquired assets to CableSouth pursuant to a triple-net lease.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 million (the "Transaction"). The Transaction closed on January 31, 2024. </w:t>
      </w:r>
      <w:hyperlink w:anchor="i374575ee8ecb4d8c9aaa6bdb34828ed2_175">
        <w:r>
          <w:rPr>
            <w:rStyle w:val="InternetLink"/>
          </w:rPr>
          <w:t>See</w:t>
        </w:r>
      </w:hyperlink>
      <w:hyperlink w:anchor="i374575ee8ecb4d8c9aaa6bdb34828ed2_175">
        <w:r>
          <w:rPr>
            <w:rStyle w:val="InternetLink"/>
          </w:rPr>
          <w:t xml:space="preserve"> Note 24</w:t>
        </w:r>
      </w:hyperlink>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assets and liabilities, associated with the Transaction, which were classified as held for sale as of December 31, 2023:</w:t>
      </w:r>
    </w:p>
    <w:tbl>
      <w:tblPr>
        <w:tblW w:w="6926" w:type="dxa"/>
        <w:jc w:val="left"/>
        <w:tblInd w:w="0" w:type="dxa"/>
        <w:tblLayout w:type="fixed"/>
        <w:tblCellMar>
          <w:top w:w="28" w:type="dxa"/>
          <w:left w:w="28" w:type="dxa"/>
          <w:bottom w:w="28" w:type="dxa"/>
          <w:right w:w="28" w:type="dxa"/>
        </w:tblCellMar>
      </w:tblPr>
      <w:tblGrid>
        <w:gridCol w:w="1830"/>
        <w:gridCol w:w="1605"/>
        <w:gridCol w:w="1619"/>
        <w:gridCol w:w="109"/>
        <w:gridCol w:w="109"/>
        <w:gridCol w:w="109"/>
        <w:gridCol w:w="300"/>
        <w:gridCol w:w="1026"/>
        <w:gridCol w:w="219"/>
      </w:tblGrid>
      <w:tr>
        <w:trPr/>
        <w:tc>
          <w:tcPr>
            <w:tcW w:w="183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Straight-line revenue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associated with the Transaction are included in the results of the Uniti Leasing segment. The sale does not represent a strategic shift that will have a major effect on operations and financial results and, therefore, did not qualify for presentation as a discontinued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Investment in Unconsolidated Entities</w:t>
      </w:r>
    </w:p>
    <w:p>
      <w:pPr>
        <w:pStyle w:val="TextBody"/>
        <w:bidi w:val="0"/>
        <w:spacing w:lineRule="auto" w:line="288" w:before="240" w:after="283"/>
        <w:jc w:val="left"/>
        <w:rPr/>
      </w:pPr>
      <w:r>
        <w:rPr>
          <w:rFonts w:ascii="Times New Roman;sans-serif" w:hAnsi="Times New Roman;sans-serif"/>
          <w:b w:val="false"/>
          <w:i/>
          <w:color w:val="212529"/>
          <w:sz w:val="20"/>
        </w:rPr>
        <w:t>Fiber Holdings</w:t>
        <w:br/>
        <w:br/>
      </w:r>
      <w:r>
        <w:rPr>
          <w:rFonts w:ascii="Times New Roman;sans-serif" w:hAnsi="Times New Roman;sans-serif"/>
          <w:b w:val="false"/>
          <w:color w:val="212529"/>
          <w:sz w:val="20"/>
        </w:rPr>
        <w:t xml:space="preserve">On December 21, 2023, the Company completed the sale of its investment in BB Fiber Holdings LLC to MIP IV MidWest Fiber Parent LLC, our partner in the investment, for total cash consideration of $40.0 million, which was received in January of 2024. The receivable was included within Other Assets on the Consolidated Balance Sheet as of December 31, 2023. As a result of the transaction, during the fourth quarter of 2023 we recorded a pre-tax gain of $2.6 million within other expense (income), net and $0.2 million of income tax expense within our Consolidated Statements of (Loss) Income. </w:t>
      </w:r>
    </w:p>
    <w:p>
      <w:pPr>
        <w:pStyle w:val="TextBody"/>
        <w:bidi w:val="0"/>
        <w:spacing w:lineRule="auto" w:line="288" w:before="240" w:after="283"/>
        <w:jc w:val="left"/>
        <w:rPr>
          <w:rFonts w:ascii="Times New Roman;sans-serif" w:hAnsi="Times New Roman;sans-serif"/>
          <w:b w:val="false"/>
          <w:i/>
          <w:color w:val="212529"/>
          <w:sz w:val="20"/>
        </w:rPr>
      </w:pPr>
      <w:r>
        <w:rPr>
          <w:rFonts w:ascii="Times New Roman;sans-serif" w:hAnsi="Times New Roman;sans-serif"/>
          <w:b w:val="false"/>
          <w:i/>
          <w:color w:val="212529"/>
          <w:sz w:val="20"/>
        </w:rPr>
        <w:t>Harmoni</w:t>
      </w:r>
    </w:p>
    <w:p>
      <w:pPr>
        <w:pStyle w:val="TextBody"/>
        <w:bidi w:val="0"/>
        <w:spacing w:lineRule="auto" w:line="288" w:before="240" w:after="283"/>
        <w:jc w:val="left"/>
        <w:rPr/>
      </w:pPr>
      <w:r>
        <w:rPr>
          <w:rFonts w:ascii="Times New Roman;sans-serif" w:hAnsi="Times New Roman;sans-serif"/>
          <w:b w:val="false"/>
          <w:color w:val="000000"/>
          <w:sz w:val="20"/>
        </w:rPr>
        <w:t>On June 21, 2022, the Company completed the sale of its investment in Harmoni Towers L</w:t>
      </w:r>
      <w:r>
        <w:rPr>
          <w:rFonts w:ascii="Times New Roman;sans-serif" w:hAnsi="Times New Roman;sans-serif"/>
          <w:b w:val="false"/>
          <w:color w:val="000000"/>
          <w:sz w:val="20"/>
          <w:shd w:fill="FFFFFF" w:val="clear"/>
        </w:rPr>
        <w:t xml:space="preserve">P </w:t>
      </w:r>
      <w:r>
        <w:rPr>
          <w:rFonts w:ascii="Times New Roman;sans-serif" w:hAnsi="Times New Roman;sans-serif"/>
          <w:b w:val="false"/>
          <w:color w:val="000000"/>
          <w:sz w:val="20"/>
        </w:rPr>
        <w:t xml:space="preserve">to Palistar Communications Infrastructure GP LLC, our partner in the investment, for total cash consideration of $32.5 million. As a result of the transaction, during the second quarter of 2022 we recorded a pre-tax gain of $7.9 million within other expense (income), net and $6.7 million of income tax expense within our Consolidated Statements of (Loss)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Fair Value of Financial Instruments</w:t>
      </w:r>
    </w:p>
    <w:p>
      <w:pPr>
        <w:pStyle w:val="TextBody"/>
        <w:bidi w:val="0"/>
        <w:spacing w:lineRule="auto" w:line="288" w:before="240" w:after="283"/>
        <w:jc w:val="left"/>
        <w:rPr/>
      </w:pPr>
      <w:r>
        <w:rPr>
          <w:rFonts w:ascii="Times New Roman;sans-serif" w:hAnsi="Times New Roman;sans-serif"/>
          <w:b w:val="false"/>
          <w:color w:val="000000"/>
          <w:sz w:val="20"/>
        </w:rPr>
        <w:t xml:space="preserve">FASB ASC 820, </w:t>
      </w:r>
      <w:r>
        <w:rPr>
          <w:rFonts w:ascii="Times New Roman;sans-serif" w:hAnsi="Times New Roman;sans-serif"/>
          <w:b w:val="false"/>
          <w:i/>
          <w:color w:val="000000"/>
          <w:sz w:val="20"/>
        </w:rPr>
        <w:t>Fair Value</w:t>
      </w:r>
      <w:r>
        <w:rPr>
          <w:color w:val="000000"/>
        </w:rPr>
        <w:t xml:space="preserve"> </w:t>
      </w:r>
      <w:r>
        <w:rPr>
          <w:rFonts w:ascii="Times New Roman;sans-serif" w:hAnsi="Times New Roman;sans-serif"/>
          <w:b w:val="false"/>
          <w:i/>
          <w:color w:val="000000"/>
          <w:sz w:val="20"/>
        </w:rPr>
        <w:t>Measurements</w:t>
      </w:r>
      <w:r>
        <w:rPr>
          <w:rFonts w:ascii="Times New Roman;sans-serif" w:hAnsi="Times New Roman;sans-serif"/>
          <w:b w:val="false"/>
          <w:color w:val="000000"/>
          <w:sz w:val="20"/>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pStyle w:val="TextBody"/>
        <w:bidi w:val="0"/>
        <w:spacing w:lineRule="auto" w:line="288" w:before="240" w:after="283"/>
        <w:jc w:val="left"/>
        <w:rPr/>
      </w:pPr>
      <w:r>
        <w:rPr>
          <w:rFonts w:ascii="Times New Roman;sans-serif" w:hAnsi="Times New Roman;sans-serif"/>
          <w:b/>
          <w:i/>
          <w:color w:val="000000"/>
          <w:sz w:val="20"/>
        </w:rPr>
        <w:t>Level 1</w:t>
      </w:r>
      <w:r>
        <w:rPr>
          <w:color w:val="000000"/>
        </w:rPr>
        <w:t xml:space="preserve"> – </w:t>
      </w:r>
      <w:r>
        <w:rPr>
          <w:rFonts w:ascii="Times New Roman;sans-serif" w:hAnsi="Times New Roman;sans-serif"/>
          <w:b w:val="false"/>
          <w:color w:val="000000"/>
          <w:sz w:val="20"/>
        </w:rPr>
        <w:t>Quoted prices (unadjusted) in active markets for identical assets or liabilities that the reporting entity can access at the assessment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i/>
          <w:color w:val="000000"/>
          <w:sz w:val="20"/>
        </w:rPr>
        <w:t>Level 2</w:t>
      </w:r>
      <w:r>
        <w:rPr>
          <w:color w:val="000000"/>
        </w:rPr>
        <w:t xml:space="preserve"> – </w:t>
      </w:r>
      <w:r>
        <w:rPr>
          <w:rFonts w:ascii="Times New Roman;sans-serif" w:hAnsi="Times New Roman;sans-serif"/>
          <w:b w:val="false"/>
          <w:color w:val="000000"/>
          <w:sz w:val="20"/>
        </w:rPr>
        <w:t>Inputs other than quoted prices included within Level 1 that are observable for the asset or liability, either directly or indirectly; and</w:t>
      </w:r>
    </w:p>
    <w:p>
      <w:pPr>
        <w:pStyle w:val="TextBody"/>
        <w:bidi w:val="0"/>
        <w:spacing w:lineRule="auto" w:line="288" w:before="240" w:after="283"/>
        <w:jc w:val="left"/>
        <w:rPr/>
      </w:pPr>
      <w:r>
        <w:rPr>
          <w:rFonts w:ascii="Times New Roman;sans-serif" w:hAnsi="Times New Roman;sans-serif"/>
          <w:b/>
          <w:i/>
          <w:color w:val="000000"/>
          <w:sz w:val="20"/>
        </w:rPr>
        <w:t>Level 3</w:t>
      </w:r>
      <w:r>
        <w:rPr>
          <w:color w:val="000000"/>
        </w:rPr>
        <w:t xml:space="preserve"> – </w:t>
      </w:r>
      <w:r>
        <w:rPr>
          <w:rFonts w:ascii="Times New Roman;sans-serif" w:hAnsi="Times New Roman;sans-serif"/>
          <w:b w:val="false"/>
          <w:color w:val="000000"/>
          <w:sz w:val="20"/>
        </w:rPr>
        <w:t>Unobservable inputs for the asset or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accounts and other receivables, derivative instruments, contingent consideration, our outstanding notes and other debt, settlement payable, contingent consideration and accounts, interest and dividends payable.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our financial instruments at December 31, 2023 and 2022:</w:t>
      </w:r>
    </w:p>
    <w:tbl>
      <w:tblPr>
        <w:tblW w:w="10205" w:type="dxa"/>
        <w:jc w:val="center"/>
        <w:tblInd w:w="0" w:type="dxa"/>
        <w:tblLayout w:type="fixed"/>
        <w:tblCellMar>
          <w:top w:w="28" w:type="dxa"/>
          <w:left w:w="28" w:type="dxa"/>
          <w:bottom w:w="28" w:type="dxa"/>
          <w:right w:w="28" w:type="dxa"/>
        </w:tblCellMar>
      </w:tblPr>
      <w:tblGrid>
        <w:gridCol w:w="1167"/>
        <w:gridCol w:w="877"/>
        <w:gridCol w:w="881"/>
        <w:gridCol w:w="109"/>
        <w:gridCol w:w="109"/>
        <w:gridCol w:w="109"/>
        <w:gridCol w:w="211"/>
        <w:gridCol w:w="976"/>
        <w:gridCol w:w="109"/>
        <w:gridCol w:w="109"/>
        <w:gridCol w:w="109"/>
        <w:gridCol w:w="109"/>
        <w:gridCol w:w="378"/>
        <w:gridCol w:w="727"/>
        <w:gridCol w:w="195"/>
        <w:gridCol w:w="109"/>
        <w:gridCol w:w="109"/>
        <w:gridCol w:w="109"/>
        <w:gridCol w:w="289"/>
        <w:gridCol w:w="1337"/>
        <w:gridCol w:w="149"/>
        <w:gridCol w:w="109"/>
        <w:gridCol w:w="109"/>
        <w:gridCol w:w="109"/>
        <w:gridCol w:w="436"/>
        <w:gridCol w:w="840"/>
        <w:gridCol w:w="325"/>
      </w:tblGrid>
      <w:tr>
        <w:trPr/>
        <w:tc>
          <w:tcPr>
            <w:tcW w:w="11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Prices with Unobservable Inputs </w:t>
              <w:br/>
              <w:t>(Level 3)</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- 10.50%, due 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unsecured notes - 4.00%, due June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September 24,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5,188,025 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14"/>
        <w:gridCol w:w="864"/>
        <w:gridCol w:w="868"/>
        <w:gridCol w:w="109"/>
        <w:gridCol w:w="109"/>
        <w:gridCol w:w="109"/>
        <w:gridCol w:w="211"/>
        <w:gridCol w:w="976"/>
        <w:gridCol w:w="109"/>
        <w:gridCol w:w="109"/>
        <w:gridCol w:w="109"/>
        <w:gridCol w:w="109"/>
        <w:gridCol w:w="375"/>
        <w:gridCol w:w="723"/>
        <w:gridCol w:w="193"/>
        <w:gridCol w:w="109"/>
        <w:gridCol w:w="109"/>
        <w:gridCol w:w="109"/>
        <w:gridCol w:w="288"/>
        <w:gridCol w:w="1332"/>
        <w:gridCol w:w="148"/>
        <w:gridCol w:w="109"/>
        <w:gridCol w:w="109"/>
        <w:gridCol w:w="109"/>
        <w:gridCol w:w="435"/>
        <w:gridCol w:w="836"/>
        <w:gridCol w:w="325"/>
      </w:tblGrid>
      <w:tr>
        <w:trPr/>
        <w:tc>
          <w:tcPr>
            <w:tcW w:w="12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Prices with Unobservable Inputs </w:t>
              <w:br/>
              <w:t>(Level 3)</w:t>
            </w:r>
          </w:p>
        </w:tc>
      </w:tr>
      <w:tr>
        <w:trPr/>
        <w:tc>
          <w:tcPr>
            <w:tcW w:w="2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- 7.875%, due 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467,401 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unsecured notes - 4.00%, due June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December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4,750,497 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605" cy="14605"/>
                <wp:effectExtent l="0" t="0" r="0" b="0"/>
                <wp:wrapNone/>
                <wp:docPr id="83" name="Frame8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cash and cash equivalents, accounts and other receivables, and accounts, interest and dividends payable approximate fair values due to the short-term nature of these financial instruments.</w:t>
      </w:r>
    </w:p>
    <w:p>
      <w:pPr>
        <w:pStyle w:val="TextBody"/>
        <w:bidi w:val="0"/>
        <w:spacing w:lineRule="auto" w:line="288" w:before="240" w:after="283"/>
        <w:jc w:val="left"/>
        <w:rPr/>
      </w:pPr>
      <w:r>
        <w:rPr>
          <w:rFonts w:ascii="Times New Roman;sans-serif" w:hAnsi="Times New Roman;sans-serif"/>
          <w:b w:val="false"/>
          <w:color w:val="000000"/>
          <w:sz w:val="20"/>
        </w:rPr>
        <w:t xml:space="preserve">The total principal balance of our Notes and other debt was $5.62 billion at December 31, 2023, with a fair value of $5.03 billion. The estimated fair value of the Notes and other debt was based on available external pricing data and current market rates for similar debt instruments, among other factors, which are classified as Level 2 inputs within the fair value hierarchy. Derivative instruments are carried at fair value. See </w:t>
      </w:r>
      <w:hyperlink w:anchor="i374575ee8ecb4d8c9aaa6bdb34828ed2_133">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Given the limited trade activity of the Exchangeable Notes, the fair value of the Exchangeable Notes (see </w:t>
      </w:r>
      <w:hyperlink w:anchor="i374575ee8ecb4d8c9aaa6bdb34828ed2_139">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rPr>
        <w:t xml:space="preserve">)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 </w:t>
      </w:r>
    </w:p>
    <w:p>
      <w:pPr>
        <w:pStyle w:val="TextBody"/>
        <w:bidi w:val="0"/>
        <w:spacing w:lineRule="auto" w:line="288" w:before="240" w:after="283"/>
        <w:jc w:val="left"/>
        <w:rPr/>
      </w:pPr>
      <w:r>
        <w:rPr>
          <w:rFonts w:ascii="Times New Roman;sans-serif" w:hAnsi="Times New Roman;sans-serif"/>
          <w:b w:val="false"/>
          <w:color w:val="000000"/>
          <w:sz w:val="20"/>
        </w:rPr>
        <w:t xml:space="preserve">Uniti is required to make $490.1 million of cash payments to Windstream in equal installments over 20 consecutive quarters beginning October 2020 (the “Settlement Payable”) (see </w:t>
      </w:r>
      <w:hyperlink w:anchor="i374575ee8ecb4d8c9aaa6bdb34828ed2_109">
        <w:r>
          <w:rPr>
            <w:rStyle w:val="InternetLink"/>
            <w:rFonts w:ascii="Times New Roman;sans-serif" w:hAnsi="Times New Roman;sans-serif"/>
            <w:b w:val="false"/>
            <w:color w:val="0000FF"/>
            <w:sz w:val="20"/>
            <w:u w:val="single"/>
          </w:rPr>
          <w:t>Note 3</w:t>
        </w:r>
      </w:hyperlink>
      <w:r>
        <w:rPr>
          <w:rFonts w:ascii="Times New Roman;sans-serif" w:hAnsi="Times New Roman;sans-serif"/>
          <w:b w:val="false"/>
          <w:color w:val="000000"/>
          <w:sz w:val="20"/>
        </w:rPr>
        <w:t>). The Settlement Payable was recorded at fair value, using the present value of future cash flows. The future cash flows are discounted using discount rate input based on observable market data. Accordingly, we classify inputs used as Level 2 in the fair value hierarchy. The remaining Settlement Payable is $163.6 million and is reported as settlement payable on our Consolidated Balance Sheets at December 31, 2023. There have been no changes in the valuation methodologies used since the initial recording.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Property, Plant and Equipment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property, plant and equipment is as follows:</w:t>
      </w:r>
    </w:p>
    <w:tbl>
      <w:tblPr>
        <w:tblW w:w="8450" w:type="dxa"/>
        <w:jc w:val="center"/>
        <w:tblInd w:w="0" w:type="dxa"/>
        <w:tblLayout w:type="fixed"/>
        <w:tblCellMar>
          <w:top w:w="28" w:type="dxa"/>
          <w:left w:w="28" w:type="dxa"/>
          <w:bottom w:w="28" w:type="dxa"/>
          <w:right w:w="28" w:type="dxa"/>
        </w:tblCellMar>
      </w:tblPr>
      <w:tblGrid>
        <w:gridCol w:w="1057"/>
        <w:gridCol w:w="928"/>
        <w:gridCol w:w="940"/>
        <w:gridCol w:w="109"/>
        <w:gridCol w:w="109"/>
        <w:gridCol w:w="109"/>
        <w:gridCol w:w="499"/>
        <w:gridCol w:w="499"/>
        <w:gridCol w:w="501"/>
        <w:gridCol w:w="109"/>
        <w:gridCol w:w="109"/>
        <w:gridCol w:w="109"/>
        <w:gridCol w:w="244"/>
        <w:gridCol w:w="1130"/>
        <w:gridCol w:w="126"/>
        <w:gridCol w:w="109"/>
        <w:gridCol w:w="109"/>
        <w:gridCol w:w="109"/>
        <w:gridCol w:w="243"/>
        <w:gridCol w:w="1125"/>
        <w:gridCol w:w="177"/>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Depreciable Lives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4,835,623 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4,434,506 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3,964,439 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See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15 - 20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10,201,409 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9,728,177 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(6,219,340)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(5,973,630)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3,982,069 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3,754,547 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Certain property acquired from Windstream is depreciated using Windstream's estimated useful lives. Specifically, certain Fiber assets are depreciated using an average 20 year life.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 above predominantly represent fiber leases, where we have the exclusive, unrestricted, and indefeasible right to use one, a pair, or more strands of fiber of a fiber cable.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years ended December 31, 2023, 2022, and 2021 was $280.8 million, $263.0 million and $261.2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Derivative Instruments and Hedging Activities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Exchangeable Notes Hedge Transactions</w:t>
      </w:r>
    </w:p>
    <w:p>
      <w:pPr>
        <w:pStyle w:val="TextBody"/>
        <w:bidi w:val="0"/>
        <w:spacing w:lineRule="auto" w:line="288" w:before="240" w:after="283"/>
        <w:jc w:val="left"/>
        <w:rPr/>
      </w:pPr>
      <w:r>
        <w:rPr>
          <w:rFonts w:ascii="Times New Roman;sans-serif" w:hAnsi="Times New Roman;sans-serif"/>
          <w:b w:val="false"/>
          <w:color w:val="000000"/>
          <w:sz w:val="20"/>
        </w:rPr>
        <w:t xml:space="preserve">On June 25, 2019, concurrently with the pricing of the 4.00% Exchangeable Notes due June 15, 2024 (the "Exchangeable Notes"), and on June 27, 2019, concurrently with the exercise by the </w:t>
      </w:r>
      <w:r>
        <w:rPr>
          <w:rFonts w:ascii="Times New Roman;sans-serif" w:hAnsi="Times New Roman;sans-serif"/>
          <w:b w:val="false"/>
          <w:color w:val="000000"/>
          <w:sz w:val="20"/>
          <w:shd w:fill="FFFFFF" w:val="clear"/>
        </w:rPr>
        <w:t>initial purchasers involved in the offering of the Exchangeable Notes (the “Initial Purchasers”)</w:t>
      </w:r>
      <w:r>
        <w:rPr>
          <w:color w:val="000000"/>
        </w:rPr>
        <w:t xml:space="preserve"> </w:t>
      </w:r>
      <w:r>
        <w:rPr>
          <w:rFonts w:ascii="Times New Roman;sans-serif" w:hAnsi="Times New Roman;sans-serif"/>
          <w:b w:val="false"/>
          <w:color w:val="000000"/>
          <w:sz w:val="20"/>
        </w:rPr>
        <w:t xml:space="preserve">of their option to purchase additional Exchangeable Notes, Uniti Fiber Holdings Inc., the issuer of the Exchangeable Notes, entered into </w:t>
      </w:r>
      <w:r>
        <w:rPr>
          <w:rFonts w:ascii="Times New Roman;sans-serif" w:hAnsi="Times New Roman;sans-serif"/>
          <w:b w:val="false"/>
          <w:color w:val="000000"/>
          <w:sz w:val="20"/>
          <w:shd w:fill="FFFFFF" w:val="clear"/>
        </w:rPr>
        <w:t>exchangeable note hedge transactions with respect to the Company’s common stock (</w:t>
      </w:r>
      <w:r>
        <w:rPr>
          <w:rFonts w:ascii="Times New Roman;sans-serif" w:hAnsi="Times New Roman;sans-serif"/>
          <w:b w:val="false"/>
          <w:color w:val="000000"/>
          <w:sz w:val="20"/>
        </w:rPr>
        <w:t xml:space="preserve">the “Note Hedge Transactions”) with certain </w:t>
      </w:r>
      <w:r>
        <w:rPr>
          <w:rFonts w:ascii="Times New Roman;sans-serif" w:hAnsi="Times New Roman;sans-serif"/>
          <w:b w:val="false"/>
          <w:color w:val="000000"/>
          <w:sz w:val="20"/>
          <w:shd w:fill="FFFFFF" w:val="clear"/>
        </w:rPr>
        <w:t>of the Initial Purchasers or their respective affiliates (collectively, the “Counterparties”)</w:t>
      </w:r>
      <w:r>
        <w:rPr>
          <w:rFonts w:ascii="Times New Roman;sans-serif" w:hAnsi="Times New Roman;sans-serif"/>
          <w:b w:val="false"/>
          <w:color w:val="000000"/>
          <w:sz w:val="20"/>
        </w:rPr>
        <w:t>.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Holdings Inc.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Hedge Transactions are separate transactions, entered into by Uniti Fiber Holdings Inc.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Consolidated Balance Sheets and are not accounted for as derivatives that are remeasured each reporting period. </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Warrant Transactions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Consolidated Balance Sheets and are not accounted for as derivatives that are remeasured each reporting period.</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Capped Call Transactions</w:t>
      </w:r>
    </w:p>
    <w:p>
      <w:pPr>
        <w:pStyle w:val="TextBody"/>
        <w:bidi w:val="0"/>
        <w:spacing w:lineRule="auto" w:line="288" w:before="240" w:after="283"/>
        <w:jc w:val="left"/>
        <w:rPr/>
      </w:pPr>
      <w:r>
        <w:rPr>
          <w:rFonts w:ascii="Times New Roman;sans-serif" w:hAnsi="Times New Roman;sans-serif"/>
          <w:b w:val="false"/>
          <w:color w:val="000000"/>
          <w:sz w:val="20"/>
        </w:rPr>
        <w:t>On December 7, 2022, in connection with the pricing of the Convertible 2027 Notes (</w:t>
      </w:r>
      <w:hyperlink w:anchor="i374575ee8ecb4d8c9aaa6bdb34828ed2_139">
        <w:r>
          <w:rPr>
            <w:rStyle w:val="InternetLink"/>
            <w:rFonts w:ascii="Times New Roman;sans-serif" w:hAnsi="Times New Roman;sans-serif"/>
            <w:b w:val="false"/>
            <w:color w:val="000080"/>
            <w:sz w:val="20"/>
            <w:u w:val="single"/>
          </w:rPr>
          <w:t>see Note 1</w:t>
        </w:r>
      </w:hyperlink>
      <w:hyperlink w:anchor="i374575ee8ecb4d8c9aaa6bdb34828ed2_139">
        <w:r>
          <w:rPr>
            <w:rStyle w:val="InternetLink"/>
            <w:rFonts w:ascii="Times New Roman;sans-serif" w:hAnsi="Times New Roman;sans-serif"/>
            <w:b w:val="false"/>
            <w:color w:val="000080"/>
            <w:sz w:val="20"/>
            <w:u w:val="single"/>
          </w:rPr>
          <w:t>3</w:t>
        </w:r>
      </w:hyperlink>
      <w:r>
        <w:rPr>
          <w:rFonts w:ascii="Times New Roman;sans-serif" w:hAnsi="Times New Roman;sans-serif"/>
          <w:b w:val="false"/>
          <w:color w:val="000000"/>
          <w:sz w:val="20"/>
        </w:rPr>
        <w:t xml:space="preserve">), the Company entered into privately negotiated capped call transactions (the “Capped Calls”) with certain financial institutions at a cost of $21.1 million. The Capped Calls cover the same number of shares of the Company’s common stock that initially underlie the Convertible 2027 Notes in the aggregate. By entering into the Capped Calls, the Company expects to reduce the potential dilution to its common stock (or, in the event a conversion of the Convertible 2027 Notes is settled in cash, to reduce its cash payment obligation) in the event that at the time of conversion of the Convertible 2027 Notes its common stock price exceeds the conversion price of the Convertible 2027 Notes. The cap price of the Capped Calls will initially be $10.63 per share of common stock, which represents a premium of 75% over the last reported sale price of the Company’s common stock of $6.075 per share on December 7, 2022 and is subject to customary anti-dilution adjustments substantially similar to those applicable to the Convertible 2027 Notes. The Company used approximately $21.1 million of the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offering of the Convertible 2027 Notes to pay for the cost of the Capped Calls. The Capped Calls meet the criteria for classification in equity, are not remeasured each reporting period and are included as a reduction to additional paid-in-capital within stockholders’ equity.</w:t>
      </w:r>
    </w:p>
    <w:p>
      <w:pPr>
        <w:pStyle w:val="TextBody"/>
        <w:bidi w:val="0"/>
        <w:spacing w:lineRule="auto" w:line="288" w:before="240" w:after="283"/>
        <w:jc w:val="left"/>
        <w:rPr/>
      </w:pPr>
      <w:r>
        <w:rPr>
          <w:rFonts w:ascii="Times New Roman;sans-serif" w:hAnsi="Times New Roman;sans-serif"/>
          <w:b w:val="false"/>
          <w:color w:val="000000"/>
          <w:sz w:val="20"/>
        </w:rPr>
        <w:t>Additionally on December 7, 2022, in connection with the Company’s repurchase of the Exchangeable Notes, the Company entered into partial unwind agreements (the “Unwind Agreements”) with the Counterparties to unwind (</w:t>
      </w:r>
      <w:hyperlink w:anchor="i374575ee8ecb4d8c9aaa6bdb34828ed2_139">
        <w:r>
          <w:rPr>
            <w:rStyle w:val="InternetLink"/>
            <w:rFonts w:ascii="Times New Roman;sans-serif" w:hAnsi="Times New Roman;sans-serif"/>
            <w:b w:val="false"/>
            <w:color w:val="000080"/>
            <w:sz w:val="20"/>
            <w:u w:val="single"/>
          </w:rPr>
          <w:t xml:space="preserve">see </w:t>
        </w:r>
      </w:hyperlink>
      <w:hyperlink w:anchor="i374575ee8ecb4d8c9aaa6bdb34828ed2_139">
        <w:r>
          <w:rPr>
            <w:rStyle w:val="InternetLink"/>
            <w:rFonts w:ascii="Times New Roman;sans-serif" w:hAnsi="Times New Roman;sans-serif"/>
            <w:b w:val="false"/>
            <w:color w:val="000080"/>
            <w:sz w:val="20"/>
            <w:u w:val="single"/>
          </w:rPr>
          <w:t>Note 1</w:t>
        </w:r>
      </w:hyperlink>
      <w:hyperlink w:anchor="i374575ee8ecb4d8c9aaa6bdb34828ed2_139">
        <w:r>
          <w:rPr>
            <w:rStyle w:val="InternetLink"/>
            <w:rFonts w:ascii="Times New Roman;sans-serif" w:hAnsi="Times New Roman;sans-serif"/>
            <w:b w:val="false"/>
            <w:color w:val="000080"/>
            <w:sz w:val="20"/>
            <w:u w:val="single"/>
          </w:rPr>
          <w:t>3</w:t>
        </w:r>
      </w:hyperlink>
      <w:r>
        <w:rPr>
          <w:rFonts w:ascii="Times New Roman;sans-serif" w:hAnsi="Times New Roman;sans-serif"/>
          <w:b w:val="false"/>
          <w:color w:val="000000"/>
          <w:sz w:val="20"/>
        </w:rPr>
        <w:t>) a portion of the Note Hedge Transactions and the Warrants described above (collectively, the “Unwind Transactions”). In connection with the Unwind Transactions, the Company received cash as a termination payment for of the portion of the Note Hedge Transactions that were unwound, and the Company delivered cash as a termination payment in respect of the portion of the Warrants that were unwound. The amount of cash that was received, which was approximately $1.2 million, and the amount of cash that was delivered to the Counterparties, which was approximately $0.5 million, were based generally on the termination values of the unwound portions of such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Goodwill and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occurring during the year ended December 31, 2023 and 2022, are as follows:</w:t>
      </w:r>
    </w:p>
    <w:tbl>
      <w:tblPr>
        <w:tblW w:w="7865" w:type="dxa"/>
        <w:jc w:val="center"/>
        <w:tblInd w:w="0" w:type="dxa"/>
        <w:tblLayout w:type="fixed"/>
        <w:tblCellMar>
          <w:top w:w="28" w:type="dxa"/>
          <w:left w:w="28" w:type="dxa"/>
          <w:bottom w:w="28" w:type="dxa"/>
          <w:right w:w="28" w:type="dxa"/>
        </w:tblCellMar>
      </w:tblPr>
      <w:tblGrid>
        <w:gridCol w:w="1763"/>
        <w:gridCol w:w="1551"/>
        <w:gridCol w:w="1560"/>
        <w:gridCol w:w="109"/>
        <w:gridCol w:w="109"/>
        <w:gridCol w:w="109"/>
        <w:gridCol w:w="211"/>
        <w:gridCol w:w="826"/>
        <w:gridCol w:w="109"/>
        <w:gridCol w:w="109"/>
        <w:gridCol w:w="109"/>
        <w:gridCol w:w="109"/>
        <w:gridCol w:w="211"/>
        <w:gridCol w:w="826"/>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other intangible assets is as follows:</w:t>
      </w:r>
    </w:p>
    <w:tbl>
      <w:tblPr>
        <w:tblW w:w="10205" w:type="dxa"/>
        <w:jc w:val="center"/>
        <w:tblInd w:w="0" w:type="dxa"/>
        <w:tblLayout w:type="fixed"/>
        <w:tblCellMar>
          <w:top w:w="28" w:type="dxa"/>
          <w:left w:w="28" w:type="dxa"/>
          <w:bottom w:w="28" w:type="dxa"/>
          <w:right w:w="28" w:type="dxa"/>
        </w:tblCellMar>
      </w:tblPr>
      <w:tblGrid>
        <w:gridCol w:w="938"/>
        <w:gridCol w:w="798"/>
        <w:gridCol w:w="803"/>
        <w:gridCol w:w="109"/>
        <w:gridCol w:w="109"/>
        <w:gridCol w:w="109"/>
        <w:gridCol w:w="211"/>
        <w:gridCol w:w="826"/>
        <w:gridCol w:w="109"/>
        <w:gridCol w:w="109"/>
        <w:gridCol w:w="109"/>
        <w:gridCol w:w="109"/>
        <w:gridCol w:w="348"/>
        <w:gridCol w:w="1482"/>
        <w:gridCol w:w="179"/>
        <w:gridCol w:w="109"/>
        <w:gridCol w:w="109"/>
        <w:gridCol w:w="109"/>
        <w:gridCol w:w="211"/>
        <w:gridCol w:w="826"/>
        <w:gridCol w:w="109"/>
        <w:gridCol w:w="109"/>
        <w:gridCol w:w="109"/>
        <w:gridCol w:w="109"/>
        <w:gridCol w:w="343"/>
        <w:gridCol w:w="1461"/>
        <w:gridCol w:w="253"/>
      </w:tblGrid>
      <w:tr>
        <w:trPr/>
        <w:tc>
          <w:tcPr>
            <w:tcW w:w="93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Amortization </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(128,728)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below-market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remaining weighted average amortization period of the Company’s intangible assets was 13.4 years.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years ended December 31, 2023, 2022 and 2021 was $29.7 million, $29.8 million and $29.8 million, respectively. Amortization expense is estimated to be $29.7 million in 2024, $29.7 million in 2025, $29.7 million in 2026, $29.7 million in 2027 and $28.1 million in 2028.</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amortization of below-market leases in revenue in arrangements where we are the lessor. Revenue related to the amortization of the below-market leases for the years ended December 31, 2023, 2022 and 2021 was $10.7 million, $10.7 million, and $10.7 million respectively. As of December 31, 2023, the remaining weighted average amortization period of the Company’s intangible liabilities was 16.1 years. Revenue due to the amortization of the below-market leases is estimated to be $10.7 million in 2024, $10.7 million in 2025, $10.7 million in 2026, $10.7 million in 2027, and $10.2 million in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Notes and Other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debt, including the senior secured credit facility and notes described below, are obligations of the Operating Partnership and certain of its subsidiaries as discussed below. The Company is, however, a guarantor of such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is as follows:</w:t>
      </w:r>
    </w:p>
    <w:tbl>
      <w:tblPr>
        <w:tblW w:w="9594" w:type="dxa"/>
        <w:jc w:val="center"/>
        <w:tblInd w:w="0" w:type="dxa"/>
        <w:tblLayout w:type="fixed"/>
        <w:tblCellMar>
          <w:top w:w="28" w:type="dxa"/>
          <w:left w:w="28" w:type="dxa"/>
          <w:bottom w:w="28" w:type="dxa"/>
          <w:right w:w="28" w:type="dxa"/>
        </w:tblCellMar>
      </w:tblPr>
      <w:tblGrid>
        <w:gridCol w:w="2133"/>
        <w:gridCol w:w="1875"/>
        <w:gridCol w:w="1887"/>
        <w:gridCol w:w="109"/>
        <w:gridCol w:w="109"/>
        <w:gridCol w:w="109"/>
        <w:gridCol w:w="244"/>
        <w:gridCol w:w="1130"/>
        <w:gridCol w:w="126"/>
        <w:gridCol w:w="109"/>
        <w:gridCol w:w="109"/>
        <w:gridCol w:w="109"/>
        <w:gridCol w:w="243"/>
        <w:gridCol w:w="1125"/>
        <w:gridCol w:w="177"/>
      </w:tblGrid>
      <w:tr>
        <w:trPr/>
        <w:tc>
          <w:tcPr>
            <w:tcW w:w="2133"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5,617,442 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5,262,373 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premium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less unamortized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5,523,579 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5,188,815 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at December 31, 2023 and 2022 consisted of the following:</w:t>
      </w:r>
    </w:p>
    <w:tbl>
      <w:tblPr>
        <w:tblW w:w="10205" w:type="dxa"/>
        <w:jc w:val="center"/>
        <w:tblInd w:w="0" w:type="dxa"/>
        <w:tblLayout w:type="fixed"/>
        <w:tblCellMar>
          <w:top w:w="28" w:type="dxa"/>
          <w:left w:w="28" w:type="dxa"/>
          <w:bottom w:w="28" w:type="dxa"/>
          <w:right w:w="28" w:type="dxa"/>
        </w:tblCellMar>
      </w:tblPr>
      <w:tblGrid>
        <w:gridCol w:w="986"/>
        <w:gridCol w:w="775"/>
        <w:gridCol w:w="784"/>
        <w:gridCol w:w="109"/>
        <w:gridCol w:w="109"/>
        <w:gridCol w:w="109"/>
        <w:gridCol w:w="211"/>
        <w:gridCol w:w="976"/>
        <w:gridCol w:w="109"/>
        <w:gridCol w:w="109"/>
        <w:gridCol w:w="109"/>
        <w:gridCol w:w="109"/>
        <w:gridCol w:w="359"/>
        <w:gridCol w:w="1311"/>
        <w:gridCol w:w="185"/>
        <w:gridCol w:w="109"/>
        <w:gridCol w:w="109"/>
        <w:gridCol w:w="109"/>
        <w:gridCol w:w="211"/>
        <w:gridCol w:w="976"/>
        <w:gridCol w:w="109"/>
        <w:gridCol w:w="109"/>
        <w:gridCol w:w="109"/>
        <w:gridCol w:w="109"/>
        <w:gridCol w:w="353"/>
        <w:gridCol w:w="1289"/>
        <w:gridCol w:w="263"/>
      </w:tblGrid>
      <w:tr>
        <w:trPr/>
        <w:tc>
          <w:tcPr>
            <w:tcW w:w="9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Unamortized Discount, Premium and Debt Issuance 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Unamortized Discount, Premium and Debt Issuance Costs </w:t>
            </w:r>
          </w:p>
        </w:tc>
      </w:tr>
      <w:tr>
        <w:trPr/>
        <w:tc>
          <w:tcPr>
            <w:tcW w:w="2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- 7.875%, due February 15, 2025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- 10.50%, due February 15, 2028</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11.06%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unsecured notes - 4.00%, due June 15, 2024</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September 24,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(93,863)</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notes and other debt included the following: (i) $208.0 million under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 and certain other lenders name therein (the “Credit Agreement”); (ii) $2.6 billion aggregate principal amount of 10.50% Senior Secured Notes due February 15, 2028 (the “February 2028 Secured Notes”); (iii) $570.0 million aggregate principal amount of 4.75% Senior Secured Notes due April 15, 2028 (the “2028 Secured Notes”); (iv) $1.11 billion aggregate principal amount of 6.50% Senior Unsecured Notes due February 15, 2029 (the “2029 Notes”); (v) $122.9 million aggregate principal amount of the Exchangeable Notes; (vi) $700.0 million aggregate principal amount of 6.00% Senior Unsecured Notes due January 15, 2030 (the “2030 Notes”); and (vii) $306.5 million aggregate principal amount of 7.50% Convertible Senior Notes due December 1, 2027 (the "Convertible 2027 Notes" and collectively with the February 2028 Secured Notes, 2028 Secured Notes, 2029 Notes, the Exchangeable Notes, and the 2030 Notes, the “Notes”).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Borrowers are party to the Credit Agreement, which provides for a $500 million revolving credit facility that will mature on September 24, 2027 (the “Revolving Credit Facility”) and provides us with the ability to obtain revolving loans as well as swing 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2023, the Borrowers were in compliance with all of the covenants under the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a rate equal to either a base rate plus an applicable margin ranging from 2.75% to 3.50% or a Term SOFR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The Notes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Secured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2023, the Operating Partnership, CSL Capital, LLC, Uniti Group Finance 2019 Inc. and Uniti Fiber Holdings Inc. (collectively, the “Issuers”) issued $2.6 billion aggregate principal amount of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On February 14, 2023, the Issuers deposited the full redemption price of $2.25 billion for the 2025 Secured Notes with the trustee and satisfied and discharged their obligations with respect to the 2025 Secured Notes at such time. During the first quarter of 2023, we recorded $32.3 million of loss on the extinguishment of the 2025 Secured Notes within interest expense, net on the Condensed Consolidation Statements of (Loss) Income, which includes $10.3 million of non-cash interest expense for the write off of the unamortized discount and deferred financing costs and $22.0 million of cash interest expense for the redemption premium. The February 2028 Secured Notes mature on February 15, 2028 and interest is payable on March 15 and September 15 of each year, beginning on September 15, 2023.</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20, 2021, the Borrowers issued $570.0 million aggregate principal amount of the 2028 Secured Notes (together with the 2025 Secured Notes, the “Secured Notes”) and used the net proceeds from the offering to fund the redemption in full of the $550.0 million aggregate principal amount of 6.00% Senior Secured Notes due April 15, 2023 (the “2023 Secured Notes”) on May 6, 2021. During the three months ended June 30, 2021, we recognized a $4.3 million loss on the extinguishment of the 2023 Secured Notes within interest expense, net on the Consolidated Statements of (Loss) Income, which included $1.3 million of non-cash interest expense for the write off of the unamortized discount and deferred financing costs and $3.0 million of cash interest expense for the redemption premium. The 2028 Secured Notes mature on April 15, 2028 and bear interest at a rate of 4.750% per year. Interest on the 2028 Secured Notes is payable on April 15 and October 15 of each year.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Secured Notes and the related guarantees are secured by liens on substantially all of the assets of the issuers and guarantors thereto, which assets also ratably secure obligations under the senior secured credit facilities, in each case, subject to certain exceptions and permitted liens. The collateral does not include real property (below a specified threshold of value), but includes certain fixtures and other equipment as well as cash that we receive pursuant to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indentures governing the Secured Notes contain customary high yield covenants limiting the ability of the Operating Partnership and its restricted subsidiaries to: incur or guarantee additional indebtedness; incur or guarantee secured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to pay dividends or other amounts to the Borrowers or Issuers, as applicable. These covenants are subject to a number of limitations, qualifications and exceptions. The indentures governing the Secured Notes also contain customary events of default. As of December 31, 2023, the Company was in compliance with all of the covenants under the indentures governing the Secured Notes.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Unsecured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 2021, the Borrowers issued $1.11 billion aggregate principal of the 2029 Notes and used the net proceeds to fund the tender offer and subsequent redemption of all outstanding 8.25% Senior Unsecured Notes due October 15, 2023 (the “2023 Notes”). During the year ended December 31, 2021, we recognized a $39.1 million loss on the tendered 2023 Notes within interest expense, net on the Consolidated Statements of (Loss) Income, which included $21.5 million of non-cash interest expense for the write off of the unamortized discount and deferred financing costs and $17.6 million of cash interest expense for the tender premium. The 2029 Notes mature on February 15, 2029 and bear interest at a rate of 6.50% per year. Interest on the 2029 Notes is payable on February 15 and August 15 of each year.</w:t>
      </w:r>
    </w:p>
    <w:p>
      <w:pPr>
        <w:pStyle w:val="TextBody"/>
        <w:bidi w:val="0"/>
        <w:spacing w:lineRule="auto" w:line="288" w:before="240" w:after="283"/>
        <w:jc w:val="left"/>
        <w:rPr/>
      </w:pPr>
      <w:r>
        <w:rPr>
          <w:rFonts w:ascii="Times New Roman;sans-serif" w:hAnsi="Times New Roman;sans-serif"/>
          <w:b w:val="false"/>
          <w:color w:val="000000"/>
          <w:sz w:val="20"/>
        </w:rPr>
        <w:t xml:space="preserve">On October 13, 2021, the Issuers issued $700.0 million aggregate principal amount of the 2030 Notes (together with the 2029 Notes, the “Senior Unsecured Notes”) and used the net proceeds to fund redemption in full of the $600.0 million 7.125% Senior Unsecured Notes due December 15, 2024 (the “2024 Notes”) on December 15, 2021. During the year ended December 31, 2021, we recognized a $5.9 million loss on the extinguishment of the 2024 Notes within interest expense, net on the Consolidated Statements of (Loss) Income, which included $1.8 million of non-cash interest expense for the write off of the unamortized discount and deferred financing costs and $4.1 million of cash interest expense for the redemption premium. The Company used the remaining proceeds of $78.0 million to prepay a portion of the settlement obligations under the settlement agreement with Windstream. See </w:t>
      </w:r>
      <w:hyperlink w:anchor="i374575ee8ecb4d8c9aaa6bdb34828ed2_109">
        <w:r>
          <w:rPr>
            <w:rStyle w:val="InternetLink"/>
            <w:rFonts w:ascii="Times New Roman;sans-serif" w:hAnsi="Times New Roman;sans-serif"/>
            <w:b w:val="false"/>
            <w:color w:val="0000FF"/>
            <w:sz w:val="20"/>
            <w:u w:val="single"/>
          </w:rPr>
          <w:t>Note 3</w:t>
        </w:r>
      </w:hyperlink>
      <w:r>
        <w:rPr>
          <w:rFonts w:ascii="Times New Roman;sans-serif" w:hAnsi="Times New Roman;sans-serif"/>
          <w:b w:val="false"/>
          <w:color w:val="000000"/>
          <w:sz w:val="20"/>
        </w:rPr>
        <w:t>. The 2030 Notes mature on January 15, 2030 and bear interest at a rate of 6.000% per year. Interest on the 2030 Notes is payable on January 15 and July 15 of each year, beginning on July 15, 2022</w:t>
      </w:r>
      <w:r>
        <w:rPr>
          <w:rFonts w:ascii="Arial;sans-serif" w:hAnsi="Arial;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governing the Senior Unsecured Notes contain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to pay dividends or other amounts to the Issuers or Borrowers, as applicable. These covenants are subject to a number of important and significant limitations, qualifications and exceptions. The indentures governing the Senior Unsecured Notes also contain customary events of default. As of December 31, 2023, the Company was in compliance with all of the covenants under the indentures governing the Senior Unsecured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fully and unconditionally guaranteed, jointly and severally, on a senior unsecured basis by the Company and by each of the Operating Partnership’s existing and future domestic restricted subsidiaries (other than the Borrowers or Issuers, as applicable) that guarantees indebtedness under the Company’s senior secured credit facilities. The guarantees are subject to release under specified circumstances, including certain circumstances in which such guarantees may be automatically released without the consent of the holders of the Notes.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The Exchangeable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2019, Uniti Fiber Holdings Inc., a subsidiary of the Company, issued $345 million aggregate principal amount of the Exchangeable Notes. The Exchangeable Notes are senior unsecured notes and are guaranteed by the Company and each of the Company’s subsidiaries (other than Uniti Fiber Holdings Inc.)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Holdings Inc.’s election, subject to limitations under the Company's Credit Agreement. The Exchangeable Notes will mature on June 15, 2024, unless earlier exchanged, redeemed or repurchased.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Uniti Fiber Holdings Inc. issued the Exchangeable Notes pursuant to an indenture, dated as of June 28, 2019, among Uniti Fiber Holdings Inc., the Company, the other guarantors party thereto and Deutsche Bank Trust Company Americas, as trustee. Prior to the close of business on the business day immediately preceding March 15, 2024, the Exchangeable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 exchangeable only upon satisfaction of certain conditions and during certain periods described in the indenture, and thereafter, the Exchangeable Notes are exchangeable at any time until the close of business on the second scheduled trading day immediately preceding the maturity date. The Exchangeable Notes are exchangeable on the terms set forth in the indenture into cash, shares of the Company’s common stock, or a combination thereof, at Uniti Fiber Holdings Inc.’s election, subject to limitations under the Company's Credit Agreement. The exchange rate is initially 80.4602 shares of the Company’s common stock per $1,000 principal amount of Exchangeable Notes (equivalent to an initial exchange price of approximately $12.43 per share of the Company’s common stock). The exchange rate is subject to adjustment in some circumstances as described in the indenture. In addition, following certain corporate events that occur prior to the maturity date or Uniti Fiber Holdings Inc.’s delivery of a notice of redemption, Uniti Fiber Holdings Inc. will increase, in certain circumstances, the exchange rate for a holder who elects to exchange its Exchangeable Notes in connection with such corporate event or notice of redemption, as the case may be.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Uniti Fiber Holdings Inc. or the Company undergoes a fundamental change (as defined in the indenture), subject to certain conditions, holders may require Uniti Fiber Holdings Inc. to repurchase for cash all or part of their Exchangeable Notes at a repurchase price equal to 100% of the principal amount of the Exchangeable Notes to be repurchased, plus accrued and unpaid interest, if any, to, but not including, the fundamental change repurchase 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 Holdings Inc. may redeem all or a portion of the Exchangeable Notes, at any time, at a cash redemption price equal to 100% of the principal amount of the Exchangeable Notes to be redeemed, plus accrued and unpaid interest to, but not including, the redemption date, if the Company’s board of directors determines such redemption is necessary to preserve the Company's status as a real estate investment trust for U.S. federal income tax purposes. Uniti Fiber Holdings Inc. may not otherwise redeem the Exchangeable Notes prior to June 20, 2022. On or after June 20, 2022 and prior to the 42nd scheduled trading day immediately preceding the maturity date, if the last reported sale price per share of the Company’s common stock has been at least 130% of the exchange price for the Exchangeable Notes for certain specified periods, Uniti Fiber Holdings Inc. may redeem all or a portion of the Exchangeable Notes at a cash redemption price equal to 100% of the principal amount of the Exchangeable Notes to be redeemed plus accrued and unpaid interest to, but not including, the redemption 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the equity component, which was initially recognized as a debt discount, represented the difference between the proceeds from the issuance of the Exchangeable Notes and the fair value of the liability component of the Exchangeable Notes. The excess of the principal amount of the liability component over its carrying amount was amortized to interest expense using an effective interest rate of 11.1% over the term of the Exchangeable Notes. The equity component was not remeasured.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related to the Exchangeable Notes were comprised of commissions payable to the initial purchasers of $10.4 million and third-party costs of approximately $1.4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Consolidated Balance Sheets. These costs are amortized to interest expense using the effective interest method over the term of the Exchangeable Notes. Debt issuance costs of $2.9 million attributable to the equity components were offset against the equity component in stockholders’ equity, which netted to $80.8 million.</w:t>
      </w:r>
    </w:p>
    <w:p>
      <w:pPr>
        <w:pStyle w:val="TextBody"/>
        <w:bidi w:val="0"/>
        <w:spacing w:lineRule="auto" w:line="288" w:before="240" w:after="283"/>
        <w:jc w:val="left"/>
        <w:rPr/>
      </w:pPr>
      <w:r>
        <w:rPr>
          <w:rFonts w:ascii="Times New Roman;sans-serif" w:hAnsi="Times New Roman;sans-serif"/>
          <w:b w:val="false"/>
          <w:color w:val="000000"/>
          <w:sz w:val="20"/>
        </w:rPr>
        <w:t xml:space="preserve">As a result of early adopting ASU 2020-06, the Company made certain adjustments to its accounting for the outstanding exchangeable senior unsecured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 January 1, 2021. Because of this adoption, the effective interest rate on the exchangeable senior unsecured notes went from 11.1% to 4.8%. Additional paid-in-capital was reduced by $59.9 million and deferred tax liabilities were reduced by $15.8 million. Approximately $14.6 million of cumulative effect of adoption was recognized to the opening balance of distributions in excess of accumulated earnings as of January 1, 2021. See </w:t>
      </w:r>
      <w:hyperlink w:anchor="i374575ee8ecb4d8c9aaa6bdb34828ed2_109">
        <w:r>
          <w:rPr>
            <w:rStyle w:val="InternetLink"/>
            <w:rFonts w:ascii="Times New Roman;sans-serif" w:hAnsi="Times New Roman;sans-serif"/>
            <w:b w:val="false"/>
            <w:color w:val="0000FF"/>
            <w:sz w:val="20"/>
            <w:u w:val="single"/>
          </w:rPr>
          <w:t>Note 3</w:t>
        </w:r>
      </w:hyperlink>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12, 2022, in connection with the issuance of the Convertible 2027 Notes (as discussed below), approximately $207.1 million aggregate principal amount was repurchased for $194.0 million. As a result, we recognized a gain on extinguishment of $10.8 million, which is comprised of a $13.1 million gain on the repurchase of the Exchangeable Notes and a $2.3 million write off of the related unamortized deferred financing costs, within interest expense, net on the Consolidated Statements of (Loss) Income.</w:t>
      </w:r>
    </w:p>
    <w:p>
      <w:pPr>
        <w:pStyle w:val="TextBody"/>
        <w:bidi w:val="0"/>
        <w:spacing w:lineRule="auto" w:line="268" w:before="240" w:after="283"/>
        <w:jc w:val="left"/>
        <w:rPr/>
      </w:pPr>
      <w:r>
        <w:rPr>
          <w:rFonts w:ascii="Times New Roman;sans-serif" w:hAnsi="Times New Roman;sans-serif"/>
          <w:b w:val="false"/>
          <w:color w:val="000000"/>
          <w:sz w:val="20"/>
        </w:rPr>
        <w:t>On March 21, 2023, the Company repurchased approximately $15.0 million of the Exchangeable Notes for total cash consideration of $13.7 million. During the first quarter of 2023, we recorded $1.1 million of gain on extinguishment of debt, net within interest expense on our Condensed Consolidated Statements of (Loss) Income, which included $0.1 million of non-cash interest expense for the write off of the unamortized discount and deferred financing costs. In connection with these repurchases, the Company entered into partial unwind agreements with the Counterparties to unwind a portion of the Note Hedge Transactions and the Warrants described above (</w:t>
      </w:r>
      <w:hyperlink w:anchor="i374575ee8ecb4d8c9aaa6bdb34828ed2_133">
        <w:r>
          <w:rPr>
            <w:rStyle w:val="InternetLink"/>
            <w:rFonts w:ascii="Times New Roman;sans-serif" w:hAnsi="Times New Roman;sans-serif"/>
            <w:b w:val="false"/>
            <w:color w:val="0000FF"/>
            <w:sz w:val="20"/>
            <w:u w:val="single"/>
          </w:rPr>
          <w:t>see Note 11</w:t>
        </w:r>
      </w:hyperlink>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Convertible 2027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issued $300 million aggregate principal amount of the Convertible 2027 Notes on December 12, 2022 and, pursuant to an over-allotment option, $6.5 million aggregate principal amount of the Convertible 2027 Notes on December 23, 2022. The Convertible 2027 Notes are guaranteed by each of the Company’s subsidiaries that is an issuer, obligor or guarantor under the Company’s existing senior notes (except initially those subsidiaries that require regulatory approval prior to guaranteeing the Convertible 2027 Notes). The Convertible 2027 Notes bear interest at a fixed rate of 7.50% per year, payable semiannually in arrears on June 1 and December 1 of each year, beginning on June 1, 2023. The Convertible 2027 Notes are convertible into cash, shares of the Company’s common stock, or a combination thereof, at the Company’s election at an initial conversion rate of 137.1742 shares of the Company’s common stock per $1,000 principal amount (equal to an initial conversion price of approximately $7.29 per share) subject to adjustment. The Convertible 2027 Notes will mature on December 1, 2027, unless earlier converted, redeemed or repurchased.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net proceeds from the sale of the Convertible 2027 Notes were approximately $298.1 million, after deducting discounts and commissions to the initial purchasers and other estimated fees and expenses. The Company contributed approximately $198.1 million of the net proceeds of the offering to Uniti Fiber Holdings Inc., a wholly owned subsidiary of the Company (“Uniti Fiber Holdings”), to fund the repurchase of, and to pay accrued and unpaid interest with respect to, approximately $207.1 million aggregate principal amount of the Exchangeable Notes issued by Uniti Fiber Holdings. The Company used $21.1 million of the net proceeds of the offering to pay the cost of certain capped call transactions in connection with the Convertible 2027 Notes offering, as described in </w:t>
      </w:r>
      <w:hyperlink w:anchor="i374575ee8ecb4d8c9aaa6bdb34828ed2_133">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The Company intends to use the remaining net proceeds from the offering for general corporate purposes, which may include the repurchase or repayment of other outstanding debt, including, but not limited to, additional open market repurchases, redemptions or tender offers of the Exchangeable Notes.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Deferred Financing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Statements of (Loss) Income. For the year ended December 31, 2023, 2022 and 2021, we recognized $18.1 million, $17.5 million and $16.5 million of non-cash interest expense, respectively, related to the amortization of deferred financing costs.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annual maturities of our long-term obligations at December 31, 2023 are as follows:</w:t>
      </w:r>
    </w:p>
    <w:tbl>
      <w:tblPr>
        <w:tblW w:w="2658" w:type="dxa"/>
        <w:jc w:val="center"/>
        <w:tblInd w:w="0" w:type="dxa"/>
        <w:tblLayout w:type="fixed"/>
        <w:tblCellMar>
          <w:top w:w="28" w:type="dxa"/>
          <w:left w:w="28" w:type="dxa"/>
          <w:bottom w:w="28" w:type="dxa"/>
          <w:right w:w="28" w:type="dxa"/>
        </w:tblCellMar>
      </w:tblPr>
      <w:tblGrid>
        <w:gridCol w:w="358"/>
        <w:gridCol w:w="315"/>
        <w:gridCol w:w="317"/>
        <w:gridCol w:w="109"/>
        <w:gridCol w:w="109"/>
        <w:gridCol w:w="109"/>
        <w:gridCol w:w="211"/>
        <w:gridCol w:w="976"/>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5,617,442 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Stock-Based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adopted the Uniti Group Inc.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granted 1,505,876 shares of restricted stock to employees, which had a fair value of $8.7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2023, there were 8,636,162 shares available for future issuance under the Equity Plan. The following table sets forth the number of unvested restricted stock awards and the weighted-average fair value of these awards at the date of grant:</w:t>
      </w:r>
    </w:p>
    <w:tbl>
      <w:tblPr>
        <w:tblW w:w="10205" w:type="dxa"/>
        <w:jc w:val="center"/>
        <w:tblInd w:w="0" w:type="dxa"/>
        <w:tblLayout w:type="fixed"/>
        <w:tblCellMar>
          <w:top w:w="28" w:type="dxa"/>
          <w:left w:w="28" w:type="dxa"/>
          <w:bottom w:w="28" w:type="dxa"/>
          <w:right w:w="28" w:type="dxa"/>
        </w:tblCellMar>
      </w:tblPr>
      <w:tblGrid>
        <w:gridCol w:w="973"/>
        <w:gridCol w:w="854"/>
        <w:gridCol w:w="860"/>
        <w:gridCol w:w="109"/>
        <w:gridCol w:w="109"/>
        <w:gridCol w:w="109"/>
        <w:gridCol w:w="494"/>
        <w:gridCol w:w="491"/>
        <w:gridCol w:w="445"/>
        <w:gridCol w:w="109"/>
        <w:gridCol w:w="109"/>
        <w:gridCol w:w="109"/>
        <w:gridCol w:w="629"/>
        <w:gridCol w:w="1838"/>
        <w:gridCol w:w="325"/>
        <w:gridCol w:w="109"/>
        <w:gridCol w:w="109"/>
        <w:gridCol w:w="109"/>
        <w:gridCol w:w="448"/>
        <w:gridCol w:w="1535"/>
        <w:gridCol w:w="332"/>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Restricted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Fair Value at 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Aggregate Intrinsic Value</w:t>
            </w:r>
            <w:r>
              <w:rPr>
                <w:rFonts w:ascii="Times New Roman;sans-serif" w:hAnsi="Times New Roman;sans-serif"/>
                <w:b/>
                <w:color w:val="000000"/>
                <w:sz w:val="10"/>
              </w:rPr>
              <w:t>(1)</w:t>
            </w:r>
            <w:r>
              <w:rPr>
                <w:rFonts w:ascii="Times New Roman;sans-serif" w:hAnsi="Times New Roman;sans-serif"/>
                <w:b/>
                <w:color w:val="000000"/>
                <w:sz w:val="16"/>
              </w:rPr>
              <w:t>($000s)</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1,356,389 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1,505,876 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(66,088)</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(699,184)</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2,096,993 </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3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using the market value of our common stock as of December 29, 2023. The market value as of December 29, 2023 was $5.78 per share, which was the closing price of our common stock reported for transactions effected on the NASDAQ Global Select Market on December 29, 2023, the final trading day of 2023.</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there were 925,059 shares of restricted stock granted with a weighted-average fair value of $9.52 per share. During the year ended December 31, 2021, there were 691,241 shares of restricted stock granted with a weighted-average fair value of $11.82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shares vested for the years ended December 31, 2023, 2022 and 2021 was $7.7 million, $9.1 million and $9.9 million,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unrecognized compensation expense on restricted awards was approximately $9.0 million, and the expense is expected to be recognized over a weighted average vesting period of 1.0 year.</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Performance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2023, we issued 449,614 PSUs equal to 100% of the target amount, with an aggregate fair value of $3.7 million on the grant date. The PSUs, in addition to a service condition, are subject to the Company’s performance versus the total return of the MSCI US REIT Index and a triple-net lease peer group, as defined by the Compensation Committee. Upon evaluating the results of the market conditions, the final number of shares is determined, and such shares vest based on satisfaction of the service condition. The PSUs are amortized on a straight-line basis over the vesting period.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 no PSUs were forfeited due to termination of service. The following table sets forth the number of unvested PSUs and the weighted-average fair value of these awards at the date of grant:</w:t>
      </w:r>
    </w:p>
    <w:tbl>
      <w:tblPr>
        <w:tblW w:w="10205" w:type="dxa"/>
        <w:jc w:val="center"/>
        <w:tblInd w:w="0" w:type="dxa"/>
        <w:tblLayout w:type="fixed"/>
        <w:tblCellMar>
          <w:top w:w="28" w:type="dxa"/>
          <w:left w:w="28" w:type="dxa"/>
          <w:bottom w:w="28" w:type="dxa"/>
          <w:right w:w="28" w:type="dxa"/>
        </w:tblCellMar>
      </w:tblPr>
      <w:tblGrid>
        <w:gridCol w:w="954"/>
        <w:gridCol w:w="838"/>
        <w:gridCol w:w="844"/>
        <w:gridCol w:w="109"/>
        <w:gridCol w:w="109"/>
        <w:gridCol w:w="109"/>
        <w:gridCol w:w="564"/>
        <w:gridCol w:w="525"/>
        <w:gridCol w:w="510"/>
        <w:gridCol w:w="109"/>
        <w:gridCol w:w="109"/>
        <w:gridCol w:w="109"/>
        <w:gridCol w:w="617"/>
        <w:gridCol w:w="1802"/>
        <w:gridCol w:w="318"/>
        <w:gridCol w:w="109"/>
        <w:gridCol w:w="109"/>
        <w:gridCol w:w="109"/>
        <w:gridCol w:w="483"/>
        <w:gridCol w:w="1412"/>
        <w:gridCol w:w="357"/>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Performance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Fair Value at 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Aggregate Intrinsic Value</w:t>
            </w:r>
            <w:r>
              <w:rPr>
                <w:rFonts w:ascii="Times New Roman;sans-serif" w:hAnsi="Times New Roman;sans-serif"/>
                <w:b/>
                <w:color w:val="000000"/>
                <w:sz w:val="10"/>
              </w:rPr>
              <w:t>(1)</w:t>
            </w:r>
            <w:r>
              <w:rPr>
                <w:rFonts w:ascii="Times New Roman;sans-serif" w:hAnsi="Times New Roman;sans-serif"/>
                <w:b/>
                <w:color w:val="000000"/>
                <w:sz w:val="16"/>
              </w:rPr>
              <w:t>($000s)</w:t>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847,146 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449,614 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(243,572)</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1,053,188 </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3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using the market value of our common stock as of December 29, 2023. The market value as of December 29, 2023 was $5.78 per share, which was the closing price of our common stock reported for transactions effected on the NASDAQ Global Select Market on December 29, 2023, the final trading day of 2023.</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there were 425,010 PSUs granted with a weighted-average fair value of $14.42 per share. During the year ended December 31, 2021, there were 216,085 PSUs granted with a weighted-average fair value of $16.27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unrecognized compensation expense related to PSUs was approximately $6.4 million, and the weighted-average vesting period was 1.4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 2023, 2022 and 2021:</w:t>
      </w:r>
    </w:p>
    <w:tbl>
      <w:tblPr>
        <w:tblW w:w="5636" w:type="dxa"/>
        <w:jc w:val="center"/>
        <w:tblInd w:w="0" w:type="dxa"/>
        <w:tblLayout w:type="fixed"/>
        <w:tblCellMar>
          <w:top w:w="28" w:type="dxa"/>
          <w:left w:w="28" w:type="dxa"/>
          <w:bottom w:w="28" w:type="dxa"/>
          <w:right w:w="28" w:type="dxa"/>
        </w:tblCellMar>
      </w:tblPr>
      <w:tblGrid>
        <w:gridCol w:w="820"/>
        <w:gridCol w:w="721"/>
        <w:gridCol w:w="723"/>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annual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Employee Stock Purchase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adopted the Uniti Group Inc. Employee Stock Purchase Plan (the “ESPP”). The ESPP authorizes us to issue up to 2,000,000 shares of our common stock to any of our employees so long as the employee is employed on the first day of the applicable offering period. Under the ESPP, there are two six-month plan periods during each calendar year, one beginning January 1 and ending on June 30, and one beginning on July 1 and ending on December 31. Under the terms of the ESPP, employees can choose each plan period to have up to 15% of their annual base earnings, limited to $25,000 withheld to purchase our common stock. The purchase price of the stock is 85% of the lower of its beginning-of-period or end-of-period market price. Under the ESPP the Company issued 172,641, 69,854 and 74,950 shares during the years ended December 31, 2023, 2022 and 2021, respectively. As of December 31, 2023, there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1,502,480 shares available for future issuance under the ESPP. The following table summarizes the assumptions used to value the purchase rights granted under the ESPP during the years ended December 31, 2023, 2022 and 2021:</w:t>
      </w:r>
    </w:p>
    <w:tbl>
      <w:tblPr>
        <w:tblW w:w="5636" w:type="dxa"/>
        <w:jc w:val="center"/>
        <w:tblInd w:w="0" w:type="dxa"/>
        <w:tblLayout w:type="fixed"/>
        <w:tblCellMar>
          <w:top w:w="28" w:type="dxa"/>
          <w:left w:w="28" w:type="dxa"/>
          <w:bottom w:w="28" w:type="dxa"/>
          <w:right w:w="28" w:type="dxa"/>
        </w:tblCellMar>
      </w:tblPr>
      <w:tblGrid>
        <w:gridCol w:w="820"/>
        <w:gridCol w:w="721"/>
        <w:gridCol w:w="723"/>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annual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we recognized $12.5 million, $12.8 million and $13.8 million, respectively, of compensation expense related to restricted stock awards, performance-based awards and the ESPP, which is recorded in general and administrative expense on our Consolidated Statements of (Loss)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Earnings Per Share</w:t>
      </w:r>
    </w:p>
    <w:p>
      <w:pPr>
        <w:pStyle w:val="TextBody"/>
        <w:bidi w:val="0"/>
        <w:spacing w:lineRule="auto" w:line="288" w:before="240" w:after="283"/>
        <w:jc w:val="left"/>
        <w:rPr/>
      </w:pPr>
      <w:r>
        <w:rPr>
          <w:rFonts w:ascii="Times New Roman;sans-serif" w:hAnsi="Times New Roman;sans-serif"/>
          <w:b w:val="false"/>
          <w:color w:val="000000"/>
          <w:sz w:val="20"/>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outstanding PSUs that contain forfeitable rights to receive dividends. Therefore, the awards are considered non-participating restrictive shares and not dilutive under the two-class method until performance conditions are met. During the year ended December 31, 2023, approximately 1,053,189 PSUs were excluded from the computation of diluted earnings per share, as their effect would have been anti-dilutive. During the year ended December 31, 2022, approximately 604,000 PSUs were excluded from the computation of diluted net loss per share because the performance conditions had not been met.</w:t>
      </w:r>
    </w:p>
    <w:p>
      <w:pPr>
        <w:pStyle w:val="TextBody"/>
        <w:bidi w:val="0"/>
        <w:spacing w:lineRule="auto" w:line="288" w:before="240" w:after="283"/>
        <w:jc w:val="left"/>
        <w:rPr/>
      </w:pPr>
      <w:r>
        <w:rPr>
          <w:rFonts w:ascii="Times New Roman;sans-serif" w:hAnsi="Times New Roman;sans-serif"/>
          <w:b w:val="false"/>
          <w:color w:val="000000"/>
          <w:sz w:val="20"/>
        </w:rPr>
        <w:t>The dilutive effect of the Exchangeable Notes and the Convertible 2027 Notes (</w:t>
      </w:r>
      <w:hyperlink w:anchor="i374575ee8ecb4d8c9aaa6bdb34828ed2_139">
        <w:r>
          <w:rPr>
            <w:rStyle w:val="InternetLink"/>
            <w:rFonts w:ascii="Times New Roman;sans-serif" w:hAnsi="Times New Roman;sans-serif"/>
            <w:b w:val="false"/>
            <w:color w:val="0000FF"/>
            <w:sz w:val="20"/>
            <w:u w:val="single"/>
          </w:rPr>
          <w:t>see Note 13</w:t>
        </w:r>
      </w:hyperlink>
      <w:r>
        <w:rPr>
          <w:rFonts w:ascii="Times New Roman;sans-serif" w:hAnsi="Times New Roman;sans-serif"/>
          <w:b w:val="false"/>
          <w:color w:val="000000"/>
          <w:sz w:val="20"/>
        </w:rPr>
        <w:t xml:space="preserve">) are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The dilutive effect of the Warrants (see </w:t>
      </w:r>
      <w:hyperlink w:anchor="i374575ee8ecb4d8c9aaa6bdb34828ed2_133">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is calculated using the treasury-stock method. During the years ended December 31, 2023, 2022 and 2021, the Warrants were excluded from diluted shares outstanding because the exercise price exceeded the average market price of our common stock for the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computation of basic and diluted earnings per share under the two-class method:</w:t>
      </w:r>
    </w:p>
    <w:tbl>
      <w:tblPr>
        <w:tblW w:w="9653" w:type="dxa"/>
        <w:jc w:val="center"/>
        <w:tblInd w:w="0" w:type="dxa"/>
        <w:tblLayout w:type="fixed"/>
        <w:tblCellMar>
          <w:top w:w="28" w:type="dxa"/>
          <w:left w:w="28" w:type="dxa"/>
          <w:bottom w:w="28" w:type="dxa"/>
          <w:right w:w="28" w:type="dxa"/>
        </w:tblCellMar>
      </w:tblPr>
      <w:tblGrid>
        <w:gridCol w:w="1937"/>
        <w:gridCol w:w="1707"/>
        <w:gridCol w:w="1710"/>
        <w:gridCol w:w="109"/>
        <w:gridCol w:w="109"/>
        <w:gridCol w:w="109"/>
        <w:gridCol w:w="211"/>
        <w:gridCol w:w="796"/>
        <w:gridCol w:w="109"/>
        <w:gridCol w:w="109"/>
        <w:gridCol w:w="109"/>
        <w:gridCol w:w="109"/>
        <w:gridCol w:w="211"/>
        <w:gridCol w:w="691"/>
        <w:gridCol w:w="109"/>
        <w:gridCol w:w="109"/>
        <w:gridCol w:w="109"/>
        <w:gridCol w:w="109"/>
        <w:gridCol w:w="211"/>
        <w:gridCol w:w="826"/>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non-participating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dilutive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(loss)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For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53,700,524 potential common shares related to the Convertible 2027 Notes and the Exchangeable Notes were excluded from the computation of earnings per share, as their effect would have been anti-dilutive. For the year ended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xml:space="preserve">, 33,472,978 potential common shares related to the Convertible 2027 Notes and the Exchangeable Notes were excluded from the computation of earnings per share, as their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16. Segment Information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ur management, including our chief executive officer, who is our chief operating decision maker, managed our operations as two reportable segments, Uniti Leasing and Uniti Fiber, in addition to our corporate operations, as described below.</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xml:space="preserve">: Represents the operations of our leasing business, Uniti Leasing, which is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 </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Represents the operations of our fiber business, Uniti Fiber, which is a leading provider of infrastructure solutions, including cell site backhaul and dark fiber, to the telecommunications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Represents our corporate office and shared service functions. Certain costs and expenses, primarily related to headcount, insurance, professional fees and similar charges, that are directly attributable to operations of our business segments are allocated to the respective 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acquisition, pursuit, transaction and integration costs (including unsuccessful acquisition pursuit costs), costs associated with Windstream’s bankruptcy, costs associated with litigation claims made against us, costs associated with the implementation of our enterprise resource planning system, goodwill impairment charges,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data related to our segments is presented below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1424"/>
        <w:gridCol w:w="1084"/>
        <w:gridCol w:w="1091"/>
        <w:gridCol w:w="109"/>
        <w:gridCol w:w="109"/>
        <w:gridCol w:w="109"/>
        <w:gridCol w:w="211"/>
        <w:gridCol w:w="826"/>
        <w:gridCol w:w="109"/>
        <w:gridCol w:w="109"/>
        <w:gridCol w:w="109"/>
        <w:gridCol w:w="109"/>
        <w:gridCol w:w="211"/>
        <w:gridCol w:w="826"/>
        <w:gridCol w:w="109"/>
        <w:gridCol w:w="109"/>
        <w:gridCol w:w="109"/>
        <w:gridCol w:w="109"/>
        <w:gridCol w:w="211"/>
        <w:gridCol w:w="770"/>
        <w:gridCol w:w="109"/>
        <w:gridCol w:w="109"/>
        <w:gridCol w:w="109"/>
        <w:gridCol w:w="109"/>
        <w:gridCol w:w="301"/>
        <w:gridCol w:w="1394"/>
        <w:gridCol w:w="221"/>
      </w:tblGrid>
      <w:tr>
        <w:trPr/>
        <w:tc>
          <w:tcPr>
            <w:tcW w:w="142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2023 </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of Reportable Segments </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1,149,831 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(81,749)</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417,002 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1424"/>
        <w:gridCol w:w="1084"/>
        <w:gridCol w:w="1091"/>
        <w:gridCol w:w="109"/>
        <w:gridCol w:w="109"/>
        <w:gridCol w:w="109"/>
        <w:gridCol w:w="211"/>
        <w:gridCol w:w="826"/>
        <w:gridCol w:w="109"/>
        <w:gridCol w:w="109"/>
        <w:gridCol w:w="109"/>
        <w:gridCol w:w="109"/>
        <w:gridCol w:w="211"/>
        <w:gridCol w:w="826"/>
        <w:gridCol w:w="109"/>
        <w:gridCol w:w="109"/>
        <w:gridCol w:w="109"/>
        <w:gridCol w:w="109"/>
        <w:gridCol w:w="211"/>
        <w:gridCol w:w="770"/>
        <w:gridCol w:w="109"/>
        <w:gridCol w:w="109"/>
        <w:gridCol w:w="109"/>
        <w:gridCol w:w="109"/>
        <w:gridCol w:w="301"/>
        <w:gridCol w:w="1394"/>
        <w:gridCol w:w="221"/>
      </w:tblGrid>
      <w:tr>
        <w:trPr/>
        <w:tc>
          <w:tcPr>
            <w:tcW w:w="142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2022 </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of Reportable Segments </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1,128,847 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905,896 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427,567 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28"/>
        <w:gridCol w:w="1084"/>
        <w:gridCol w:w="1091"/>
        <w:gridCol w:w="109"/>
        <w:gridCol w:w="109"/>
        <w:gridCol w:w="109"/>
        <w:gridCol w:w="211"/>
        <w:gridCol w:w="826"/>
        <w:gridCol w:w="109"/>
        <w:gridCol w:w="109"/>
        <w:gridCol w:w="109"/>
        <w:gridCol w:w="109"/>
        <w:gridCol w:w="211"/>
        <w:gridCol w:w="826"/>
        <w:gridCol w:w="109"/>
        <w:gridCol w:w="109"/>
        <w:gridCol w:w="109"/>
        <w:gridCol w:w="109"/>
        <w:gridCol w:w="211"/>
        <w:gridCol w:w="769"/>
        <w:gridCol w:w="109"/>
        <w:gridCol w:w="109"/>
        <w:gridCol w:w="109"/>
        <w:gridCol w:w="109"/>
        <w:gridCol w:w="300"/>
        <w:gridCol w:w="1390"/>
        <w:gridCol w:w="223"/>
      </w:tblGrid>
      <w:tr>
        <w:trPr/>
        <w:tc>
          <w:tcPr>
            <w:tcW w:w="142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2021 </w:t>
            </w:r>
          </w:p>
        </w:tc>
      </w:tr>
      <w:tr>
        <w:trPr/>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of Reportable Segments </w:t>
            </w:r>
          </w:p>
        </w:tc>
      </w:tr>
      <w:tr>
        <w:trPr/>
        <w:tc>
          <w:tcPr>
            <w:tcW w:w="3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1,100,522 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878,281 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446,296 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290,942 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for equity in earnings from unconsolidated entities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by business segment as of December 31, 2023 and December 31, 2022 are as follows:</w:t>
      </w:r>
    </w:p>
    <w:tbl>
      <w:tblPr>
        <w:tblW w:w="5720" w:type="dxa"/>
        <w:jc w:val="center"/>
        <w:tblInd w:w="0" w:type="dxa"/>
        <w:tblLayout w:type="fixed"/>
        <w:tblCellMar>
          <w:top w:w="28" w:type="dxa"/>
          <w:left w:w="28" w:type="dxa"/>
          <w:bottom w:w="28" w:type="dxa"/>
          <w:right w:w="28" w:type="dxa"/>
        </w:tblCellMar>
      </w:tblPr>
      <w:tblGrid>
        <w:gridCol w:w="879"/>
        <w:gridCol w:w="772"/>
        <w:gridCol w:w="778"/>
        <w:gridCol w:w="109"/>
        <w:gridCol w:w="109"/>
        <w:gridCol w:w="109"/>
        <w:gridCol w:w="211"/>
        <w:gridCol w:w="976"/>
        <w:gridCol w:w="109"/>
        <w:gridCol w:w="109"/>
        <w:gridCol w:w="109"/>
        <w:gridCol w:w="109"/>
        <w:gridCol w:w="211"/>
        <w:gridCol w:w="97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4,851,229 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Commitments and Contingencies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Litigation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pStyle w:val="TextBody"/>
        <w:bidi w:val="0"/>
        <w:spacing w:lineRule="auto" w:line="268" w:before="240" w:after="283"/>
        <w:jc w:val="left"/>
        <w:rPr/>
      </w:pPr>
      <w:r>
        <w:rPr>
          <w:rFonts w:ascii="Times New Roman;sans-serif" w:hAnsi="Times New Roman;sans-serif"/>
          <w:b w:val="false"/>
          <w:color w:val="000000"/>
          <w:sz w:val="20"/>
          <w:shd w:fill="FFFFFF" w:val="clear"/>
        </w:rPr>
        <w:t>In accordance</w:t>
      </w:r>
      <w:r>
        <w:rPr>
          <w:color w:val="000000"/>
        </w:rPr>
        <w:t xml:space="preserve"> </w:t>
      </w:r>
      <w:r>
        <w:rPr>
          <w:rFonts w:ascii="Times New Roman;sans-serif" w:hAnsi="Times New Roman;sans-serif"/>
          <w:b w:val="false"/>
          <w:color w:val="000000"/>
          <w:sz w:val="20"/>
        </w:rPr>
        <w:t xml:space="preserve">with ASC 450, we recorded </w:t>
      </w:r>
      <w:r>
        <w:rPr>
          <w:rFonts w:ascii="Times New Roman;sans-serif" w:hAnsi="Times New Roman;sans-serif"/>
          <w:b w:val="false"/>
          <w:color w:val="000000"/>
          <w:sz w:val="20"/>
          <w:shd w:fill="FFFFFF" w:val="clear"/>
        </w:rPr>
        <w:t>$38.9 million</w:t>
      </w:r>
      <w:r>
        <w:rPr>
          <w:color w:val="000000"/>
        </w:rPr>
        <w:t xml:space="preserve"> </w:t>
      </w:r>
      <w:r>
        <w:rPr>
          <w:rFonts w:ascii="Times New Roman;sans-serif" w:hAnsi="Times New Roman;sans-serif"/>
          <w:b w:val="false"/>
          <w:color w:val="000000"/>
          <w:sz w:val="20"/>
        </w:rPr>
        <w:t xml:space="preserve">of settlement expense within general and administrative expense within our Consolidated Statement of (Loss) Income during the first quarter of 2022, related to the settlement of that certain shareholder class action previously filed in the U.S. District Court for the Eastern District of Arkansas under the caption </w:t>
      </w:r>
      <w:r>
        <w:rPr>
          <w:rFonts w:ascii="Times New Roman;sans-serif" w:hAnsi="Times New Roman;sans-serif"/>
          <w:b w:val="false"/>
          <w:i/>
          <w:color w:val="000000"/>
          <w:sz w:val="20"/>
        </w:rPr>
        <w:t xml:space="preserve">In re Uniti Group Inc. Securities Litigation </w:t>
      </w:r>
      <w:r>
        <w:rPr>
          <w:rFonts w:ascii="Times New Roman;sans-serif" w:hAnsi="Times New Roman;sans-serif"/>
          <w:b w:val="false"/>
          <w:color w:val="000000"/>
          <w:sz w:val="20"/>
        </w:rPr>
        <w:t xml:space="preserve">(the “Class Action”). On June 17, 2022, the parties signed a stipulation of settlement related to the Class Action and plaintiffs moved for preliminary approval of the settlement. On November 7, 2022, the court granted final approval of the settlement. As the amount was not paid until the first quarter of 2024, it is recorded within accounts payable, accrued expenses and other liabilities, net within our Consolidated Balance Sheets as of December 31, 2023. Additionally, we recorded the probable insurance recovery of </w:t>
      </w:r>
      <w:r>
        <w:rPr>
          <w:rFonts w:ascii="Times New Roman;sans-serif" w:hAnsi="Times New Roman;sans-serif"/>
          <w:b w:val="false"/>
          <w:color w:val="000000"/>
          <w:sz w:val="20"/>
          <w:shd w:fill="FFFFFF" w:val="clear"/>
        </w:rPr>
        <w:t>$38.9 million</w:t>
      </w:r>
      <w:r>
        <w:rPr>
          <w:color w:val="000000"/>
        </w:rPr>
        <w:t xml:space="preserve"> </w:t>
      </w:r>
      <w:r>
        <w:rPr>
          <w:rFonts w:ascii="Times New Roman;sans-serif" w:hAnsi="Times New Roman;sans-serif"/>
          <w:b w:val="false"/>
          <w:color w:val="000000"/>
          <w:sz w:val="20"/>
        </w:rPr>
        <w:t>as a reduction to general and administrative expense during the first quarter of 2022 within our Consolidated Statement of (Loss) Income. As the recovery was not received until the first quarter of 2024, it is recorded within other assets on the Consolidated Balance Sheets as of December 31, 2023.</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17, 2021, shareholders filed a derivative action on behalf of the Company in the Circuit Court for Baltimore City, Maryland, under the caption Mayer et al. v. Gunderman et al. (the “Mayer Derivative Action”). On February 11, 2022, a shareholder filed a derivative action on behalf of the Company in the federal District Court for the District of Maryland, under the caption Guzzo et al. v. Gunderman et al. (the “Guzzo Derivative Action” and together, with the Mayer Derivative Action, the "Derivative Actions"). Various members of the Company's board of directors and management team were named as defendants in the Derivative Actions. The allegations in the Derivative Actions are similar to those in the Class Action, and both sought unspecified damages, equity relief and related costs and fees. On March 3, 2023, the parties to the Derivative Actions signed a stipulation of settlement agreeing to settle the actions in exchange for non-monetary damages, and also agreeing to an award of attorney’s fees and expenses to plaintiffs’ counsel in both actions in the amount of $0.8 million. The court in the Mayer Derivative Action granted final approval to the settlement on May 9, 2023 and dismissed the action. On May 11, 2023, the parties to the Guzzo Derivative Action filed a stipulation and order of dismissal in the action based on the final approval of the settlement in the Mayer Derivative Action, which was entered on May 25, 2023.</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insurance policies that would provide coverage to various degrees for potential liabilities arising from the legal proceedings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Accumulated Other Comprehensive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we entered into fixed for floating interest rate swap agreements to mitigate the interest rate risk inherent in our variable rate senior secured term loan facility. As result of the repayment of the senior secured term loan facility in 2020, we entered into receive-fixed interest rate swaps to offset our existing pay-fixed interest rate swaps, which matured on October 24, 2022. The Company discontinued hedge accounting as the hedge accounting requirements were no longer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amounts in accumulated other comprehensive (loss) income as of the date of de-designation, were reclassified to interest expense as the hedged transactions impacted earnings.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income (loss) by component is as follows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2127"/>
        <w:gridCol w:w="1850"/>
        <w:gridCol w:w="1862"/>
        <w:gridCol w:w="109"/>
        <w:gridCol w:w="109"/>
        <w:gridCol w:w="109"/>
        <w:gridCol w:w="211"/>
        <w:gridCol w:w="792"/>
        <w:gridCol w:w="109"/>
        <w:gridCol w:w="109"/>
        <w:gridCol w:w="109"/>
        <w:gridCol w:w="109"/>
        <w:gridCol w:w="211"/>
        <w:gridCol w:w="792"/>
        <w:gridCol w:w="109"/>
        <w:gridCol w:w="109"/>
        <w:gridCol w:w="109"/>
        <w:gridCol w:w="109"/>
        <w:gridCol w:w="211"/>
        <w:gridCol w:w="792"/>
        <w:gridCol w:w="158"/>
      </w:tblGrid>
      <w:tr>
        <w:trPr/>
        <w:tc>
          <w:tcPr>
            <w:tcW w:w="212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r>
      <w:tr>
        <w:trPr/>
        <w:tc>
          <w:tcPr>
            <w:tcW w:w="5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 changes in fair value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19. Income Taxes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elected on our initial U.S. federal income tax return to be treated as a REIT under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unless certain relief provisions apply,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the statutory requirements of the locations in which we conduct business, and state and local income taxes are accrued as deemed required in the best judgment of management based on analysis and interpretation of respective tax laws.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elected to treat the subsidiaries through which we operate Uniti Fiber and certain subsidiaries of Uniti Leasing as TRSs. TRSs enable us to engage in activities that result in income that does not constitute qualifying income for a REIT. Our TRSs are subject to U.S. federal, state and local corporate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for the years ended December 31, 2023, 2022 and 2021 as reported in the accompanying Consolidated Statements of (Loss) Income was comprised of the following:</w:t>
      </w:r>
    </w:p>
    <w:tbl>
      <w:tblPr>
        <w:tblW w:w="6383" w:type="dxa"/>
        <w:jc w:val="center"/>
        <w:tblInd w:w="0" w:type="dxa"/>
        <w:tblLayout w:type="fixed"/>
        <w:tblCellMar>
          <w:top w:w="28" w:type="dxa"/>
          <w:left w:w="28" w:type="dxa"/>
          <w:bottom w:w="28" w:type="dxa"/>
          <w:right w:w="28" w:type="dxa"/>
        </w:tblCellMar>
      </w:tblPr>
      <w:tblGrid>
        <w:gridCol w:w="765"/>
        <w:gridCol w:w="672"/>
        <w:gridCol w:w="677"/>
        <w:gridCol w:w="109"/>
        <w:gridCol w:w="109"/>
        <w:gridCol w:w="109"/>
        <w:gridCol w:w="211"/>
        <w:gridCol w:w="796"/>
        <w:gridCol w:w="109"/>
        <w:gridCol w:w="109"/>
        <w:gridCol w:w="109"/>
        <w:gridCol w:w="109"/>
        <w:gridCol w:w="211"/>
        <w:gridCol w:w="796"/>
        <w:gridCol w:w="109"/>
        <w:gridCol w:w="109"/>
        <w:gridCol w:w="109"/>
        <w:gridCol w:w="109"/>
        <w:gridCol w:w="211"/>
        <w:gridCol w:w="69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income tax expense reconciliation between the U.S. statutory tax rate and the effective tax rate is as follows:</w:t>
      </w:r>
    </w:p>
    <w:tbl>
      <w:tblPr>
        <w:tblW w:w="9249" w:type="dxa"/>
        <w:jc w:val="center"/>
        <w:tblInd w:w="0" w:type="dxa"/>
        <w:tblLayout w:type="fixed"/>
        <w:tblCellMar>
          <w:top w:w="28" w:type="dxa"/>
          <w:left w:w="28" w:type="dxa"/>
          <w:bottom w:w="28" w:type="dxa"/>
          <w:right w:w="28" w:type="dxa"/>
        </w:tblCellMar>
      </w:tblPr>
      <w:tblGrid>
        <w:gridCol w:w="1713"/>
        <w:gridCol w:w="1504"/>
        <w:gridCol w:w="1523"/>
        <w:gridCol w:w="109"/>
        <w:gridCol w:w="109"/>
        <w:gridCol w:w="109"/>
        <w:gridCol w:w="211"/>
        <w:gridCol w:w="901"/>
        <w:gridCol w:w="109"/>
        <w:gridCol w:w="109"/>
        <w:gridCol w:w="109"/>
        <w:gridCol w:w="109"/>
        <w:gridCol w:w="211"/>
        <w:gridCol w:w="796"/>
        <w:gridCol w:w="109"/>
        <w:gridCol w:w="109"/>
        <w:gridCol w:w="109"/>
        <w:gridCol w:w="109"/>
        <w:gridCol w:w="211"/>
        <w:gridCol w:w="826"/>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at U.S. statutory federal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(decreases) resulting from: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of REIT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nondeductible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on income from continuing operations differs from tax at the statutory rate primarily due to our status as a REIT, and goodwill impairment which is not fully deductible for tax purposes in all years presented.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estimated future tax consequences attributable to differences between the financial statement carrying amounts of existing assets and liabilities and their respective tax bases.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deferred tax assets and liabilities are as follows:</w:t>
      </w:r>
    </w:p>
    <w:tbl>
      <w:tblPr>
        <w:tblW w:w="6653"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259"/>
        <w:gridCol w:w="1107"/>
        <w:gridCol w:w="133"/>
        <w:gridCol w:w="109"/>
        <w:gridCol w:w="109"/>
        <w:gridCol w:w="109"/>
        <w:gridCol w:w="257"/>
        <w:gridCol w:w="1100"/>
        <w:gridCol w:w="188"/>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business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and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 intangible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or prepaid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109,128 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40,631 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deferred tax assets were primarily the result of U.S. federal and state NOL carryforwards.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the Company’s management considers new evidence, both positive and negative, that could impact management’s view with regard to future realization of deferred tax assets. Management has evaluated sources of future taxable income, including the Company’s significant deferred tax liabilities and available tax planning strategies, and determined that sufficient positive evidence exists as of December 31, 2023, to conclude that it is more likely than not that all of its deferred tax assets are realizable, and therefore, no valuation allowance has been recorded.</w:t>
      </w:r>
    </w:p>
    <w:p>
      <w:pPr>
        <w:pStyle w:val="TextBody"/>
        <w:bidi w:val="0"/>
        <w:spacing w:lineRule="auto" w:line="288" w:before="240" w:after="283"/>
        <w:jc w:val="left"/>
        <w:rPr/>
      </w:pPr>
      <w:r>
        <w:rPr>
          <w:rFonts w:ascii="Times New Roman;sans-serif" w:hAnsi="Times New Roman;sans-serif"/>
          <w:b w:val="false"/>
          <w:color w:val="000000"/>
          <w:sz w:val="20"/>
        </w:rPr>
        <w:t>We have total federal NOL carryforwards as of December 31, 2023 of approximately $164.4 million which will expire between 2030 and 2037, and approximately $391.3 million which will not expire but the utilization of which will be limited to 80% of taxable income annually under provisions enacted in the Tax Cut and Jobs Act</w:t>
      </w:r>
      <w:r>
        <w:rPr>
          <w:rFonts w:ascii="Arial;sans-serif" w:hAnsi="Arial;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the exception of Tower Cloud, Inc., whose outstanding equity we acquired 100% of in August 2016, and Uniti Fiber Holdings Inc., our 2020 returns remain open to examination. As Tower Cloud, Inc. and Uniti Fiber Holdings Inc. have NOLs available to carry forward, the applicable tax years will generally remain open to examination several years after the applicable loss carryforwards have been utilized or expire.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or its subsidiaries file tax returns in the U.S. federal jurisdiction, various state and local jurisdictions, and certain foreign jurisdictions. A reconciliation of the Company’s beginning and ending liability for unrecognized tax benefits is as follows:</w:t>
      </w:r>
    </w:p>
    <w:tbl>
      <w:tblPr>
        <w:tblW w:w="4656"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211"/>
        <w:gridCol w:w="616"/>
        <w:gridCol w:w="109"/>
        <w:gridCol w:w="109"/>
        <w:gridCol w:w="109"/>
        <w:gridCol w:w="109"/>
        <w:gridCol w:w="211"/>
        <w:gridCol w:w="61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entire liability for unrecognized tax benefit would affect the annual effective tax rate if recognized.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accrued interest and penalties related to unrecognized tax benefits as additional tax expense. The Company recorded no interest expense and penalties for the period ending December 31, 2023. The Company’s balance of accrued interest and penalties related to unrecognized tax benefits as of December 31, 2023 was $1.3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20. Supplemental Cash Flow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 net of capitalized interest and income taxes, net of refunds for the years ended December 31, 2023, 2022 and 2021 is as follows:</w:t>
      </w:r>
    </w:p>
    <w:tbl>
      <w:tblPr>
        <w:tblW w:w="7328" w:type="dxa"/>
        <w:jc w:val="center"/>
        <w:tblInd w:w="0" w:type="dxa"/>
        <w:tblLayout w:type="fixed"/>
        <w:tblCellMar>
          <w:top w:w="28" w:type="dxa"/>
          <w:left w:w="28" w:type="dxa"/>
          <w:bottom w:w="28" w:type="dxa"/>
          <w:right w:w="28" w:type="dxa"/>
        </w:tblCellMar>
      </w:tblPr>
      <w:tblGrid>
        <w:gridCol w:w="1035"/>
        <w:gridCol w:w="911"/>
        <w:gridCol w:w="91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payments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21. Capital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limited partner equity interests in our operating partnership (commonly called “OP Units”), are exchangeable on a one-for-one basis for shares of our common stock or, at our election, cash of equivalent value. </w:t>
      </w:r>
    </w:p>
    <w:p>
      <w:pPr>
        <w:pStyle w:val="TextBody"/>
        <w:bidi w:val="0"/>
        <w:spacing w:lineRule="auto" w:line="288" w:before="240" w:after="283"/>
        <w:jc w:val="left"/>
        <w:rPr/>
      </w:pPr>
      <w:r>
        <w:rPr>
          <w:rFonts w:ascii="Times New Roman;sans-serif" w:hAnsi="Times New Roman;sans-serif"/>
          <w:b w:val="false"/>
          <w:color w:val="000000"/>
          <w:sz w:val="20"/>
        </w:rPr>
        <w:t xml:space="preserve">During the year ended December 31, 2023, the company exchanged no OP Units held by third parties. During the year ended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the Company exchanged 591,349 OP Units held by third parties, of which 244,683 OP Units were exchanged for an equal number of common shares of the Company and 346,667 OP Units were exchanged for cash consideration of $4.6 million, representing approximately 85% of the OP Units held by third parties with a carrying value of $11.9 million as of the exchange dates.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up to 500,000,000 shares of voting common stock and 50,000,000 shares of preferred stock, of which 236,558,601 and 0 shares, respectively, were outstanding at December 31, 2023. We had 263,441,399 shares of voting common stock available for issuance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22. Dividends (Distributions)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with respect to our common stock is characterized for federal income tax purposes as taxable ordinary dividends, capital gains dividends, non-dividend distribution or a combination thereof. For the years ended December 31, 2023, 2022, and 2021, our common stock distribution per share was $0.45, $0.75 and $0.45, respectively, characterized as follows:</w:t>
      </w:r>
    </w:p>
    <w:tbl>
      <w:tblPr>
        <w:tblW w:w="5322" w:type="dxa"/>
        <w:jc w:val="center"/>
        <w:tblInd w:w="0" w:type="dxa"/>
        <w:tblLayout w:type="fixed"/>
        <w:tblCellMar>
          <w:top w:w="28" w:type="dxa"/>
          <w:left w:w="28" w:type="dxa"/>
          <w:bottom w:w="28" w:type="dxa"/>
          <w:right w:w="28" w:type="dxa"/>
        </w:tblCellMar>
      </w:tblPr>
      <w:tblGrid>
        <w:gridCol w:w="771"/>
        <w:gridCol w:w="678"/>
        <w:gridCol w:w="681"/>
        <w:gridCol w:w="211"/>
        <w:gridCol w:w="511"/>
        <w:gridCol w:w="109"/>
        <w:gridCol w:w="109"/>
        <w:gridCol w:w="109"/>
        <w:gridCol w:w="109"/>
        <w:gridCol w:w="211"/>
        <w:gridCol w:w="511"/>
        <w:gridCol w:w="109"/>
        <w:gridCol w:w="109"/>
        <w:gridCol w:w="109"/>
        <w:gridCol w:w="109"/>
        <w:gridCol w:w="211"/>
        <w:gridCol w:w="51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23. Employee Benefit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years ended December 31, 2023, 2022 and 2021 was $2.3 million, $2.2 million and $2.1 million,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 for the exemptions provided in, and shall be administered in a manner consistent with Section 201, 301 and 401 of ERISA and Section 409A of the Internal Revenue Code of 1986,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24. Subsequent Events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Asset-Backed Securities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2024, Uniti Fiber Bridge Borrower LLC (the “ABS Borrower”), Uniti Fiber Bridge HoldCo LLC and Uniti Fiber GulfCo LLC (together, the “ABS Loan Parties”), each an indirect subsidiary of the Company, entered into a bridge loan and security agreement, dated as of February 23, 2024 (the “ABS Loan Agreement”) by and among the ABS Loan Parties, Wilmington Trust, National Association, as administrative agent, collateral agent, account bank and verification agent, Barclays Bank PLC, as facility agent, and the lenders identified therein.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ABS Loan Agreement provides for a secured, multi-draw term loan facility of up to $350 million (the “ABS Loan Facility”). Unless otherwise terminated pursuant to the terms of the ABS Loan Agreement, the ABS Loan Facility matures on the date that is 18 months from the initial draw thereunder (the “Closing Date”). The Company intends to refinance the ABS Loan Facility in full with proceeds from a long-term ABS facility secured primarily by certain Uniti Fiber network assets.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outstanding under the ABS Loan Facility will bear interest at a floating rate equal to, at the Company’s option, either (i) the one-month or three-month Secured Overnight Financing Rate (“SOFR”), plus a spread of 3.75% per annum or (ii) Base Rate (as defined in the ABS Loan Agreement), plus a spread of 2.75% per annum; provided that the spread will automatically increase to (a) 4.50% per annum in the case of loans bearing interest based on SOFR and 3.50% per annum in the case of loans bearing interest based on Base Rate, in each case to the extent outstanding on and after the date that is 12 months following the Closing Date and (b) 5.25% per annum in the case of loans bearing interest based on SOFR and 4.25% per annum in the case of loans bearing interest based on Base Rate, in each case to the extent outstanding on and after the date that is 15 months following the Closing Date. The Company intends to cap SOFR interest expense for the duration of the ABS Loan Facility pursuant to an interest rate protection agreement.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ABS Loan Facility, the Company formed Uniti Fiber ABS Parent LLC, an indirect subsidiary that qualifies as a bankruptcy-remote special purpose entity (“ABS Parent”), and directed the formation of the ABS Loan Parties, which are direct and indirect subsidiaries of ABS Parent. Each of the ABS Loan Parties is a Delaware limited liability company and a special purpose, bankruptcy-remote, indirect subsidiary of the Company. The ABS Loan Facility is secured by equity in the ABS Borrower and substantially all of the assets of the ABS Loan Parties (subject to certain customary limited exceptions) and is non-recourse to the Company. Each of the ABS Loan Parties and ABS Parent was designated as an unrestricted subsidiary under the Credit Agreement (as defined herein) and the applicable indentures governing the Company’s outstanding senior notes. The assets of the ABS Loan Parties will only be available for payment of the obligations arising under the ABS Loan Agreement and will not be available to pay any obligations or claims of the Company’s other creditors.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initial funding under the ABS Loan Facility on the Closing Date, the Company will, directly or indirectly, (i) transfer certain Uniti Fiber non-regulated and interstate customer contracts and related equipment to the ABS Loan Parties and (ii) grant an indefeasible right of use in the related fiber network assets to such ABS Loan Parties. In addition, certain of the ABS Loan Parties will enter into a management agreement (the “Management Agreement”) with Uniti Fiber Holdings Inc. (the “Manager”), pursuant to which the Manager will be responsible for servicing and administering the assets securing the ABS Loan Facility and be permitted to make reimbursable servicing advances in respect of the collateral securing the ABS Loan Facility under certain circumstances.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ABS Loan Agreement contains customary covenants limiting the ability of the ABS Loan Parties to: incur or guarantee additional indebtedness; pay dividends or distributions on, or redeem or repurchase, capital stock; make certain investments or other restricted payments; sell fiber network assets; enter into transactions with affiliates; and create restrictions on the ability of the ABS Loan Parties to incur liens on their assets constituting collateral to secure obligations under the ABS Loan Agreement. These covenants are subject to a number of limitations, qualifications and exceptions. The ABS Loan Agreement also contains a maximum leverage financial maintenance covenant and customary events of default.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CableSouth</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2018, we acquired certain fiber assets from CableSouth Media, LLC (“CableSouth”) and leased back certain of those acquired assets to CableSouth pursuant to a triple-net lease.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"Transaction"). The Transaction closed on </w:t>
      </w:r>
      <w:r>
        <w:rPr>
          <w:rFonts w:ascii="Times New Roman;sans-serif" w:hAnsi="Times New Roman;sans-serif"/>
          <w:b w:val="false"/>
          <w:color w:val="000000"/>
          <w:sz w:val="20"/>
        </w:rPr>
        <w:t>January 31</w:t>
      </w:r>
      <w:r>
        <w:rPr>
          <w:rFonts w:ascii="Times New Roman;sans-serif" w:hAnsi="Times New Roman;sans-serif"/>
          <w:b w:val="false"/>
          <w:color w:val="000000"/>
          <w:sz w:val="20"/>
          <w:shd w:fill="FFFFFF" w:val="clear"/>
        </w:rPr>
        <w:t>,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disclosure controls and procedures, as such term is defined in Rule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our disclosure controls and procedures as of December 31, 2023. Based on this evaluation, our principal executive officer and principal financial officer concluded that our disclosure controls and procedures were not effective as of December 31, 2023, due to the material weakness in our internal control over financial reporting, as described below.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the material weakness described below, management performed additional analysis and other procedures to ensure that our consolidated financial statements were prepared in accordance with US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Management’s Annual Report on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Pertain to the maintenance of records, that in reasonable detail, accurately and fairly reflect the transactions and dispositions of the assets of the Company;</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ind w:left="0" w:right="0" w:hanging="1080"/>
        <w:jc w:val="left"/>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pStyle w:val="TextBody"/>
        <w:bidi w:val="0"/>
        <w:spacing w:lineRule="auto" w:line="288" w:before="240" w:after="283"/>
        <w:jc w:val="left"/>
        <w:rPr/>
      </w:pPr>
      <w:r>
        <w:rPr>
          <w:rFonts w:ascii="Times New Roman;sans-serif" w:hAnsi="Times New Roman;sans-serif"/>
          <w:b w:val="false"/>
          <w:color w:val="000000"/>
          <w:sz w:val="20"/>
        </w:rPr>
        <w:t xml:space="preserve">Our management, with the participation of our principal executive officer and principal financial officer, under the oversight of our Board of Directors, assessed the effectiveness of our internal control over financial reporting as of December 31, 2023. In making this assessment, management used the criteria set forth by the Committee of Sponsoring Organizations of the Treadway Commission (COSO)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that evaluation, management concluded that the Company's internal control over financial reporting was not effective as of December 31, 2023, due to the material weakness described below.</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did not have a sufficient complement of personnel with appropriate technical expertise to perform an effective risk assessment related to determining the income tax impact of goodwill impairments. As a result, certain control activities in the goodwill and tax processes were not designed and implemented effectively.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material weakness resulted in immaterial misstatements to goodwill, deferred income tax assets, income tax benefit, and goodwill impairment that have been corrected prior to issuance of the consolidated financial statements as of and for the year ended December 31, 2023. Furthermore, the control deficiency described above created a reasonable possibility that a material misstatement to the consolidated financial statements would not be prevented or detected on a timely basis. Therefore, we concluded that the deficiency represents a material weakness in our internal control over financial reporting and, as a result, our internal control over financial reporting was not effective as of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independent registered public accounting firm, KPMG LLP, who audited the consolidated financial statements included in this Annual Report on Form 10-K, issued an adverse opinion on the effectiveness of the Company's internal control over financial reporting. KPMG LLP's report appears in Part II, Item 8 of this Annual Report on Form 10-K.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changes in our internal control over financial reporting, as such term is defined in Rule 13a-15(f) and 15d-15(f) under the Exchange Act, during the quarter ended December 31, 2023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Remediation Plan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is implementing corrective actions to remediate the material weakness. The remedial actions we are taking, and expect to take, include educating and re-training employees, enhancing risk assessment and the design of control activities related to determining the income tax implications associated with nonroutine transactions such as goodwill impairment.</w:t>
      </w:r>
    </w:p>
    <w:p>
      <w:pPr>
        <w:pStyle w:val="TextBody"/>
        <w:bidi w:val="0"/>
        <w:spacing w:lineRule="auto" w:line="26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these actions, and the improvements we expect to achieve as a result, will effectively remediate the material weakness. However, the material weakness in our internal control over financial reporting will not be considered remediated until the operation of the remediated control is sufficiently tested. We expect that the remediation of this material weakness will be completed in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None.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shd w:fill="FFFFFF" w:val="clear"/>
        </w:rPr>
        <w:t>During the three months ended December 31, 2023, none of the Company’s directors or officers (as defined in Rule 16a-1(f) under the Exchange Act) adopted or terminated a Rule 10b5-1 trading arrangement or non-Rule 10b5-1 trading arrangement (as such terms are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set forth below, the information required by this item is incorporated by reference from the definitive proxy statement to be filed within 120 days after December 31, 2023, pursuant to Regulation 14A under the Exchange Act in connection with our 2024 annual meeting of stockholders. </w:t>
      </w:r>
    </w:p>
    <w:p>
      <w:pPr>
        <w:pStyle w:val="TextBody"/>
        <w:bidi w:val="0"/>
        <w:spacing w:lineRule="auto" w:line="288" w:before="240" w:after="283"/>
        <w:jc w:val="left"/>
        <w:rPr/>
      </w:pPr>
      <w:r>
        <w:rPr>
          <w:rFonts w:ascii="Times New Roman;sans-serif" w:hAnsi="Times New Roman;sans-serif"/>
          <w:b w:val="false"/>
          <w:color w:val="000000"/>
          <w:sz w:val="20"/>
        </w:rPr>
        <w:t xml:space="preserve">We have a code of ethics as defined in Item 406 of Regulation S-K which applies to all of our directors and employees, including our principal executive officer, principal financial officer, principal accounting officer or controller, and persons performing similar functions. A copy of this code of ethics, titled “Code of Business Conduct and Ethics and Whistleblower Policy,” is available free of charge in the </w:t>
      </w:r>
      <w:r>
        <w:rPr>
          <w:rFonts w:ascii="Times New Roman;sans-serif" w:hAnsi="Times New Roman;sans-serif"/>
          <w:b w:val="false"/>
          <w:i/>
          <w:color w:val="000000"/>
          <w:sz w:val="20"/>
        </w:rPr>
        <w:t xml:space="preserve">Corporate Governance </w:t>
      </w:r>
      <w:r>
        <w:rPr>
          <w:rFonts w:ascii="Times New Roman;sans-serif" w:hAnsi="Times New Roman;sans-serif"/>
          <w:b w:val="false"/>
          <w:color w:val="000000"/>
          <w:sz w:val="20"/>
        </w:rPr>
        <w:t>section of the About Us page on our website at www.uniti.com. We intend to satisfy the disclosure requirements of Form 8-K regarding any amendment to, or a waiver from, any provision of our code of ethics by posting such amendment or waiver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11. Executive Compensation.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the definitive proxy statement to be filed within 120 days after December 31, 2023, pursuant to Regulation 14A under the Exchange Act in connection with our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set forth below, the information required by this item is incorporated by reference from the definitive proxy statement to be filed within 120 days after December 31, 2023, pursuant to Regulation 14A under the Exchange Act in connection with our 2024 annual meeting of stockholders.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 Authorized for Issuance Under Equity Compensation Plans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about our equity compensation plan as of December 31, 2023:</w:t>
      </w:r>
    </w:p>
    <w:tbl>
      <w:tblPr>
        <w:tblW w:w="10205" w:type="dxa"/>
        <w:jc w:val="center"/>
        <w:tblInd w:w="0" w:type="dxa"/>
        <w:tblLayout w:type="fixed"/>
        <w:tblCellMar>
          <w:top w:w="28" w:type="dxa"/>
          <w:left w:w="28" w:type="dxa"/>
          <w:bottom w:w="28" w:type="dxa"/>
          <w:right w:w="28" w:type="dxa"/>
        </w:tblCellMar>
      </w:tblPr>
      <w:tblGrid>
        <w:gridCol w:w="2010"/>
        <w:gridCol w:w="1155"/>
        <w:gridCol w:w="1072"/>
        <w:gridCol w:w="519"/>
        <w:gridCol w:w="519"/>
        <w:gridCol w:w="514"/>
        <w:gridCol w:w="549"/>
        <w:gridCol w:w="549"/>
        <w:gridCol w:w="550"/>
        <w:gridCol w:w="717"/>
        <w:gridCol w:w="675"/>
        <w:gridCol w:w="662"/>
        <w:gridCol w:w="207"/>
        <w:gridCol w:w="207"/>
        <w:gridCol w:w="300"/>
      </w:tblGrid>
      <w:tr>
        <w:trPr/>
        <w:tc>
          <w:tcPr>
            <w:tcW w:w="20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9491" w:type="dxa"/>
            <w:gridSpan w:val="12"/>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EQUITY COMPENSATION PLAN INFORMATION</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Plan category</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w:t>
              <w:br/>
              <w:t>to be issued upon</w:t>
              <w:br/>
              <w:t>exercise of</w:t>
              <w:br/>
              <w:t>outstanding options,</w:t>
              <w:br/>
              <w:t>warrants and rights</w:t>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exercise price of</w:t>
              <w:br/>
              <w:t>outstanding options,</w:t>
              <w:br/>
              <w:t>warrants and rights</w:t>
            </w:r>
          </w:p>
        </w:tc>
        <w:tc>
          <w:tcPr>
            <w:tcW w:w="2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w:t>
              <w:br/>
              <w:t>remaining available for future issuance</w:t>
              <w:br/>
              <w:t>under equity compensation</w:t>
              <w:br/>
              <w:t>plans (excluding securities</w:t>
              <w:br/>
              <w:t>reflected in column (a))</w:t>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(b) </w:t>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10,138,642</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5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64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05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10,138,642</w:t>
            </w:r>
          </w:p>
        </w:tc>
        <w:tc>
          <w:tcPr>
            <w:tcW w:w="71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includes 8,636,162 shares available for issuance under the Uniti Group Inc. 2015 Equity Incentive Plan and 1,502,480 shares under the Uniti Group Inc. Employee Stock Purchase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from the definitive proxy statement to be filed within 120 days after December 31, 2023, pursuant to Regulation 14A under the Exchange Act in connection with our 2024 annual meeting of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the definitive proxy statement to be filed within 120 days after December 31, 2023, pursuant to Regulation 14A under the Exchange Act in connection with our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 and Financial Statement Schedules. </w:t>
      </w:r>
    </w:p>
    <w:p>
      <w:pPr>
        <w:pStyle w:val="TextBody"/>
        <w:bidi w:val="0"/>
        <w:spacing w:lineRule="auto" w:line="288" w:before="240" w:after="283"/>
        <w:jc w:val="left"/>
        <w:rPr/>
      </w:pPr>
      <w:r>
        <w:rPr>
          <w:rFonts w:ascii="Times New Roman;sans-serif" w:hAnsi="Times New Roman;sans-serif"/>
          <w:b/>
          <w:color w:val="000000"/>
          <w:sz w:val="20"/>
        </w:rPr>
        <w:t>Financial Statements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in “Financial Statements and Supplementary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Financial Statement Schedules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Schedule I – Condensed Financial Information of the Registrant (Parent Company) Condensed Balance Sheets as of December 31, 2023 and 2022, and the related Condensed Statements of Comprehensive Income and Cash Flows for each of the three years ended December 31, 2023, including the related notes, appearing on pages S-1, S-2, S-3, and S-4 of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Schedule II – Valuation and Qualifying Accounts for each of the three years ended December 31, 2023 appearing on page S-5 of this report.</w:t>
      </w:r>
    </w:p>
    <w:p>
      <w:pPr>
        <w:pStyle w:val="TextBody"/>
        <w:bidi w:val="0"/>
        <w:spacing w:lineRule="auto" w:line="288" w:before="240" w:after="283"/>
        <w:jc w:val="left"/>
        <w:rPr/>
      </w:pPr>
      <w:r>
        <w:rPr>
          <w:rFonts w:ascii="Times New Roman;sans-serif" w:hAnsi="Times New Roman;sans-serif"/>
          <w:b w:val="false"/>
          <w:color w:val="000000"/>
          <w:sz w:val="20"/>
        </w:rPr>
        <w:t>Uniti Group Inc.</w:t>
      </w:r>
      <w:r>
        <w:rPr>
          <w:color w:val="000000"/>
          <w:shd w:fill="FFFFFF" w:val="clear"/>
        </w:rPr>
        <w:t xml:space="preserve"> </w:t>
      </w:r>
      <w:r>
        <w:rPr>
          <w:rFonts w:ascii="Times New Roman;sans-serif" w:hAnsi="Times New Roman;sans-serif"/>
          <w:b w:val="false"/>
          <w:color w:val="000000"/>
          <w:sz w:val="20"/>
          <w:shd w:fill="FFFFFF" w:val="clear"/>
        </w:rPr>
        <w:t>Schedule III – Schedule of Real Estate Investments and Accumulated Depreciation as of December 31, 2023 appearing on page S-6 of this report.</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 to Exhibits</w:t>
      </w:r>
    </w:p>
    <w:tbl>
      <w:tblPr>
        <w:tblW w:w="10205" w:type="dxa"/>
        <w:jc w:val="left"/>
        <w:tblInd w:w="0" w:type="dxa"/>
        <w:tblLayout w:type="fixed"/>
        <w:tblCellMar>
          <w:top w:w="28" w:type="dxa"/>
          <w:left w:w="28" w:type="dxa"/>
          <w:bottom w:w="28" w:type="dxa"/>
          <w:right w:w="28" w:type="dxa"/>
        </w:tblCellMar>
      </w:tblPr>
      <w:tblGrid>
        <w:gridCol w:w="297"/>
        <w:gridCol w:w="261"/>
        <w:gridCol w:w="262"/>
        <w:gridCol w:w="109"/>
        <w:gridCol w:w="109"/>
        <w:gridCol w:w="109"/>
        <w:gridCol w:w="2641"/>
        <w:gridCol w:w="2641"/>
        <w:gridCol w:w="3776"/>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29" w:after="29"/>
              <w:jc w:val="left"/>
              <w:rPr/>
            </w:pPr>
            <w:hyperlink r:id="rId3">
              <w:r>
                <w:rPr>
                  <w:rStyle w:val="InternetLink"/>
                  <w:rFonts w:ascii="Times New Roman;sans-serif" w:hAnsi="Times New Roman;sans-serif"/>
                  <w:b w:val="false"/>
                  <w:color w:val="0000EE"/>
                  <w:sz w:val="20"/>
                  <w:u w:val="single"/>
                </w:rPr>
                <w:t>Separation and Distribution Agreement, dated as of March 26, 2015, by and among Windstream Holdings, Inc., Windstream Services, LLC and Communications Sales &amp; Leasing, Inc. (incorporated by reference to Exhibit 2.1 to the Company’s Current Report on Form 8-K dated and filed with the SEC as of March 26, 2015 (File No. 001-36708))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EE"/>
                  <w:sz w:val="20"/>
                  <w:u w:val="single"/>
                </w:rPr>
                <w:t>Second Amended and Restated Agreement of Limited Partnership of Uniti Group LP, dated as of December 12, 2022 (incorporated by reference to Exhibit 2.2 to the Company’s Annual Report on Form 10-K dated and filed with the SEC as of February 28 2023 (File No. 001-36708))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5">
              <w:r>
                <w:rPr>
                  <w:rStyle w:val="InternetLink"/>
                  <w:rFonts w:ascii="Times New Roman;sans-serif" w:hAnsi="Times New Roman;sans-serif"/>
                  <w:b w:val="false"/>
                  <w:color w:val="0000EE"/>
                  <w:sz w:val="20"/>
                  <w:u w:val="single"/>
                </w:rPr>
                <w:t>Articles of Amendment and Restatement of Communications Sales &amp; Leasing, Inc. (incorporated by reference to Exhibit 3.1 to the Company’s Current Report on Form 8-K dated and filed with the SEC as of April 10, 2015 (File No. 001-36708))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6">
              <w:r>
                <w:rPr>
                  <w:rStyle w:val="InternetLink"/>
                  <w:rFonts w:ascii="Times New Roman;sans-serif" w:hAnsi="Times New Roman;sans-serif"/>
                  <w:b w:val="false"/>
                  <w:color w:val="0000EE"/>
                  <w:sz w:val="20"/>
                  <w:u w:val="single"/>
                </w:rPr>
                <w:t>Articles of Amendment of Communications Sales &amp; Leasing, Inc. (incorporated by reference to Exhibit 3.1 to the Company’s Current Report on Form 8-K dated and filed with the SEC as of February 28, 2017 (File No. 001-36708))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7">
              <w:r>
                <w:rPr>
                  <w:rStyle w:val="InternetLink"/>
                  <w:rFonts w:ascii="Times New Roman;sans-serif" w:hAnsi="Times New Roman;sans-serif"/>
                  <w:b w:val="false"/>
                  <w:color w:val="0000EE"/>
                  <w:sz w:val="20"/>
                  <w:u w:val="single"/>
                </w:rPr>
                <w:t>Articles of Amendment of Uniti Group Inc. (incorporated by reference to Exhibit 3.1 to the Company’s Current Report on Form 8-K dated and filed with the SEC as of May 18, 2018 (File No. 001-36708))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8">
              <w:r>
                <w:rPr>
                  <w:rStyle w:val="InternetLink"/>
                  <w:rFonts w:ascii="Times New Roman;sans-serif" w:hAnsi="Times New Roman;sans-serif"/>
                  <w:b w:val="false"/>
                  <w:color w:val="0000EE"/>
                  <w:sz w:val="20"/>
                  <w:u w:val="single"/>
                </w:rPr>
                <w:t>Amended and Restated Bylaws of Uniti Group Inc., as amended November 1, 2023 (incorporated by reference to Exhibit 3.1 to the Company’s Quarterly Report on Form 10-Q dated and filed with the SEC as of November 2, 2023 (File No. 001-36708))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w:anchor="unit-exx41.htm">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9">
              <w:r>
                <w:rPr>
                  <w:rStyle w:val="InternetLink"/>
                  <w:rFonts w:ascii="Times New Roman;sans-serif" w:hAnsi="Times New Roman;sans-serif"/>
                  <w:b w:val="false"/>
                  <w:color w:val="0000EE"/>
                  <w:sz w:val="20"/>
                  <w:u w:val="single"/>
                </w:rPr>
                <w:t>Indenture, dated as of June 28, 2019, among Uniti Fiber Holdings, Inc., as issuer, Uniti Group Inc. and the other guarantors named therein, as guarantors, and Deutsche Bank Trust Company Americas, as trustee, governing the 4.00% Exchangeable Senior Notes due 2024 (incorporated by reference to Exhibit 4.1 to the Company’s Current Report on Form 8-K dated June 25, 2019 and filed with the SEC as of June 28, 2019 (File No. 001-36708))</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10">
              <w:r>
                <w:rPr>
                  <w:rStyle w:val="InternetLink"/>
                  <w:rFonts w:ascii="Times New Roman;sans-serif" w:hAnsi="Times New Roman;sans-serif"/>
                  <w:b w:val="false"/>
                  <w:color w:val="0000EE"/>
                  <w:sz w:val="20"/>
                  <w:u w:val="single"/>
                </w:rPr>
                <w:t xml:space="preserve">Form of 4.00% Exchangeable Senior Notes due 2024 (included in Exhibit 4.2 above) (incorporated by reference to Exhibit 4.2 to the Company’s Current Report on Form 8-K dated June 25, 2019 and filed with the SEC as of June 28, 2019 (File No. 001-36708)) </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925"/>
        <w:gridCol w:w="2681"/>
        <w:gridCol w:w="3791"/>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11">
              <w:r>
                <w:rPr>
                  <w:rStyle w:val="InternetLink"/>
                  <w:rFonts w:ascii="Times New Roman;sans-serif" w:hAnsi="Times New Roman;sans-serif"/>
                  <w:b w:val="false"/>
                  <w:color w:val="0000EE"/>
                  <w:sz w:val="20"/>
                  <w:u w:val="single"/>
                </w:rPr>
                <w:t>Indenture, dated February 2, 2021, by and among Uniti Group LP, Uniti Group Finance 2019 Inc. and CSL Capital, LLC, as Issuers, the guarantors party thereto and Deutsche Bank Trust Company Americas, as trustee, governing the 6.500% Senior Notes due 2029 (incorporated by reference to Exhibit 4.1 to the Company’s Current Report on Form 8-K dated and filed with the SEC as of February 2,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12">
              <w:r>
                <w:rPr>
                  <w:rStyle w:val="InternetLink"/>
                  <w:rFonts w:ascii="Times New Roman;sans-serif" w:hAnsi="Times New Roman;sans-serif"/>
                  <w:b w:val="false"/>
                  <w:color w:val="0000EE"/>
                  <w:sz w:val="20"/>
                  <w:u w:val="single"/>
                </w:rPr>
                <w:t>Form of 6.500% Senior Notes due 2029 (included in Exhibit 4.4 above) (incorporated by reference to Exhibit 4.2 to the Company’s Current Report on Form 8-K dated and filed with the SEC as of February 2,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13">
              <w:r>
                <w:rPr>
                  <w:rStyle w:val="InternetLink"/>
                  <w:rFonts w:ascii="Times New Roman;sans-serif" w:hAnsi="Times New Roman;sans-serif"/>
                  <w:b w:val="false"/>
                  <w:color w:val="0000EE"/>
                  <w:sz w:val="20"/>
                  <w:u w:val="single"/>
                </w:rPr>
                <w:t>Indenture, dated as April 20, 2021, by and among Uniti Group LP, Uniti Group Finance 2019 Inc. and CSL Capital, LLC, as issuers, the guarantors party thereto, and Deutsche Bank Trust Company Americas, as trustee and collateral agent, governing the 4.750% Senior Secured Notes due 2028 (incorporated by reference to Exhibit 4.1 to the Company’s Current Report on Form 8-K filed with the SEC on April 20,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29" w:after="29"/>
              <w:jc w:val="left"/>
              <w:rPr/>
            </w:pPr>
            <w:hyperlink r:id="rId14">
              <w:r>
                <w:rPr>
                  <w:rStyle w:val="InternetLink"/>
                  <w:rFonts w:ascii="Times New Roman;sans-serif" w:hAnsi="Times New Roman;sans-serif"/>
                  <w:b w:val="false"/>
                  <w:color w:val="0000EE"/>
                  <w:sz w:val="20"/>
                  <w:u w:val="single"/>
                </w:rPr>
                <w:t>Form of 4.750% Senior Secured Notes due 2028 (included in Exhibit 4.6 above) (incorporated by reference to Exhibit 4.2 to the Company’s Current Report on Form 8-K filed with the SEC on April 20,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15">
              <w:r>
                <w:rPr>
                  <w:rStyle w:val="InternetLink"/>
                  <w:rFonts w:ascii="Times New Roman;sans-serif" w:hAnsi="Times New Roman;sans-serif"/>
                  <w:b w:val="false"/>
                  <w:color w:val="0000EE"/>
                  <w:sz w:val="20"/>
                  <w:u w:val="single"/>
                </w:rPr>
                <w:t>Indenture, dated October 13, 2021, by and among Uniti Group LP, Uniti Fiber Holdings Inc., Uniti Group Finance 2019 Inc. and CSL Capital, LLC, as Issuers, the guarantors party thereto and Deutsche Bank Trust Company Americas, as trustee, governing the 6.000% Senior Notes due 2030 (incorporated by reference to Exhibit 4.1 to the Company’s Current Report on Form 8-K dated and filed with the SEC as of October 13,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29" w:after="29"/>
              <w:jc w:val="left"/>
              <w:rPr/>
            </w:pPr>
            <w:hyperlink r:id="rId16">
              <w:r>
                <w:rPr>
                  <w:rStyle w:val="InternetLink"/>
                  <w:rFonts w:ascii="Times New Roman;sans-serif" w:hAnsi="Times New Roman;sans-serif"/>
                  <w:b w:val="false"/>
                  <w:color w:val="0000EE"/>
                  <w:sz w:val="20"/>
                  <w:u w:val="single"/>
                </w:rPr>
                <w:t>Form of 6.000% Senior Notes due 2030 (included in Exhibit 4.8 above) (incorporated by reference to Exhibit 4.2 to the Company’s Current Report on Form 8-K dated and filed with the SEC as of October 13, 2021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Indenture, dated December 12, 2022, among Uniti Group Inc., the other guarantors party thereto and Deutsche Bank Trust Company Americas (incorporated by reference to Exhibit 4.1 to the Company’s Current Report on Form 8-K dated and filed with the SEC as of December 12, 2022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Form of 7.50% Convertible Senior Notes due 2027 (included in Exhibit 4.10 above) (incorporated by reference to Exhibit 4.2 to the Company’s Current Report on Form 8-K dated and filed with the SEC as of December 12, 2022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Indenture, dated as February 14, 2023, by and among Uniti Group LP, Uniti Fiber Holdings Inc., Uniti Group Finance 2019 Inc. and CSL Capital, LLC, as issuers, the guarantors party thereto, and Deutsche Bank Trust Company Americas, as trustee and collateral agent, governing the 10.50% Senior Secured Notes due 2028 (incorporated by reference to Exhibit 4.1 to the Company’s Current Report on Form 8-K filed with the SEC on February 14, 2023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EE"/>
                  <w:sz w:val="20"/>
                  <w:u w:val="single"/>
                </w:rPr>
                <w:t>Form of 10.50% Senior Secured Notes due 2028 (included in Exhibit 4.12 above) (incorporated by reference to Exhibit 4.2 to the Company’s Current Report on Form 8-K dated and filed with the SEC as of February 14, 2023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1">
              <w:r>
                <w:rPr>
                  <w:rStyle w:val="InternetLink"/>
                  <w:rFonts w:ascii="Times New Roman;sans-serif" w:hAnsi="Times New Roman;sans-serif"/>
                  <w:b w:val="false"/>
                  <w:color w:val="0000EE"/>
                  <w:sz w:val="20"/>
                  <w:u w:val="single"/>
                </w:rPr>
                <w:t>Settlement Agreement, dated as of May 12, 2020 by and among Windstream Holdings, Inc., Windstream Services, LLC and certain of their subsidiaries, and Uniti Group Inc. and certain of its subsidiaries (incorporated by reference to Exhibit 10.1 to the Company’s Current Report on Form 8-K filed with the SEC on May 15, 2020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2">
              <w:r>
                <w:rPr>
                  <w:rStyle w:val="InternetLink"/>
                  <w:rFonts w:ascii="Times New Roman;sans-serif" w:hAnsi="Times New Roman;sans-serif"/>
                  <w:b w:val="false"/>
                  <w:color w:val="0000EE"/>
                  <w:sz w:val="20"/>
                  <w:u w:val="single"/>
                </w:rPr>
                <w:t>Amended and Restated ILEC Master Lease, entered into as of September 18, 2020, by and between CSL National, LP and the other entities listed therein, as Landlord, and Windstream Holdings II, LLC (as successor in interest to Windstream Holdings, Inc.), Windstream Services II, LLC (as successor in interest to Windstream Services, LLC) and the other entities listed therein, as Tenant (incorporated by reference to Exhibit 10.1 to the Company’s Quarterly Report on Form 10-Q filed with the SEC on November 9, 2020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3">
              <w:r>
                <w:rPr>
                  <w:rStyle w:val="InternetLink"/>
                  <w:rFonts w:ascii="Times New Roman;sans-serif" w:hAnsi="Times New Roman;sans-serif"/>
                  <w:b w:val="false"/>
                  <w:color w:val="0000EE"/>
                  <w:sz w:val="20"/>
                  <w:u w:val="single"/>
                </w:rPr>
                <w:t>Amended and Restated CLEC Master Lease, entered into as of September 18, 2020, by and between CSL National, LP and the other entities listed therein, as Landlord, and Windstream Holdings II, LLC (as successor in interest to Windstream Holdings, Inc.), Windstream Services II, LLC (as successor in interest to Windstream Services, LLC) and the other entities listed therein, as Tenant (incorporated by reference to Exhibit 10.2 to the Company’s Quarterly Report on Form 10-Q filed with the SEC on November 9, 2020 (File No. 001-36708))</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4">
              <w:r>
                <w:rPr>
                  <w:rStyle w:val="InternetLink"/>
                  <w:rFonts w:ascii="Times New Roman;sans-serif" w:hAnsi="Times New Roman;sans-serif"/>
                  <w:b w:val="false"/>
                  <w:color w:val="0000EE"/>
                  <w:sz w:val="20"/>
                  <w:u w:val="single"/>
                </w:rPr>
                <w:t>Tax Matters Agreement, entered into as of April 24, 2015, by and among Windstream Holdings, Inc., Windstream Services, LLC and Communications Sales &amp; Leasing, Inc. (incorporated by reference to Exhibit 10.2 to the Company’s Current Report on Form 8-K dated and filed with the SEC as of April 27, 2015 (File No. 001-36708))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211"/>
        <w:gridCol w:w="186"/>
        <w:gridCol w:w="189"/>
        <w:gridCol w:w="109"/>
        <w:gridCol w:w="109"/>
        <w:gridCol w:w="109"/>
        <w:gridCol w:w="2716"/>
        <w:gridCol w:w="2716"/>
        <w:gridCol w:w="386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5">
              <w:r>
                <w:rPr>
                  <w:rStyle w:val="InternetLink"/>
                  <w:rFonts w:ascii="Times New Roman;sans-serif" w:hAnsi="Times New Roman;sans-serif"/>
                  <w:b w:val="false"/>
                  <w:color w:val="0000EE"/>
                  <w:sz w:val="20"/>
                  <w:u w:val="single"/>
                </w:rPr>
                <w:t>Credit Agreement, dated as of April 24, 2015, by and among Communications Sales &amp; Leasing, Inc. and CSL Capital, LLC, as Borrowers, the guarantors party thereto, the lenders party thereto from time to time and Bank of America, N.A., as administrative agent, collateral agent, swing line lender and L/C issuer (incorporated by reference to Exhibit 10.10 to the Company’s Current Report on Form 8-K dated and filed with the SEC as of April 27, 2015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6">
              <w:r>
                <w:rPr>
                  <w:rStyle w:val="InternetLink"/>
                  <w:rFonts w:ascii="Times New Roman;sans-serif" w:hAnsi="Times New Roman;sans-serif"/>
                  <w:b w:val="false"/>
                  <w:color w:val="0000EE"/>
                  <w:sz w:val="20"/>
                  <w:u w:val="single"/>
                </w:rPr>
                <w:t>Amendment No. 1 to the Credit Agreement, dated as of October 21, 2016 by and among Communications Sales &amp; Leasing, Inc. and CSL Capital, LLC, as borrowers, the guarantors party thereto, the lenders party thereto, and Bank of America, N.A., as administrative agent and collateral agent (incorporated by reference to Exhibit 10.1 to the Company’s Current Report on Form 8-K dated and filed with the SEC as of October 21, 2016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7">
              <w:r>
                <w:rPr>
                  <w:rStyle w:val="InternetLink"/>
                  <w:rFonts w:ascii="Times New Roman;sans-serif" w:hAnsi="Times New Roman;sans-serif"/>
                  <w:b w:val="false"/>
                  <w:color w:val="0000EE"/>
                  <w:sz w:val="20"/>
                  <w:u w:val="single"/>
                </w:rPr>
                <w:t>Amendment No. 2 to the Credit Agreement, dated as of February 9, 2017 by and among Communications Sales &amp; Leasing, Inc. and CSL Capital, LLC, as borrowers, the guarantors party thereto, the lenders party thereto, and Bank of America, N.A., as administrative agent and collateral agent (incorporated by reference to Exhibit 10.1 to the Company’s Current Report on Form 8-K dated and filed with the SEC as of February 9, 2017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8">
              <w:r>
                <w:rPr>
                  <w:rStyle w:val="InternetLink"/>
                  <w:rFonts w:ascii="Times New Roman;sans-serif" w:hAnsi="Times New Roman;sans-serif"/>
                  <w:b w:val="false"/>
                  <w:color w:val="0000EE"/>
                  <w:sz w:val="20"/>
                  <w:u w:val="single"/>
                </w:rPr>
                <w:t>Amendment No. 3 (Incremental Amendment) to the Credit Agreement, dated as of April 28, 2017 by and among Uniti Group Inc. and CSL Capital, LLC, as borrowers, the guarantors party thereto, the lenders party thereto, and Bank of America, N.A., as administrative agent and collateral agent (incorporated by reference to Exhibit 10.1 to the Company’s Current Report on Form 8-K dated as of May 1, 2017 and filed with the SEC as of May 2, 2017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29">
              <w:r>
                <w:rPr>
                  <w:rStyle w:val="InternetLink"/>
                  <w:rFonts w:ascii="Times New Roman;sans-serif" w:hAnsi="Times New Roman;sans-serif"/>
                  <w:b w:val="false"/>
                  <w:color w:val="0000EE"/>
                  <w:sz w:val="20"/>
                  <w:u w:val="single"/>
                </w:rPr>
                <w:t>Amendment No. 4 and Limited Waiver to the Credit Agreement, dated as of March 18, 2019, among Uniti Group Inc., as parent guarantor, Uniti Group LP, Uniti Group Finance Inc. and CSL Capital, LLC, as borrowers, the guarantors party thereto, the lenders party thereto, and Bank of America, N.A., as administrative agent and collateral agent (incorporated by reference to Exhibit 10.11 to the Company’s Annual Report on Form 10-K dated and filed with the SEC as of March 18, 2019 (File No. 001-36708</w:t>
              </w:r>
            </w:hyperlink>
            <w:r>
              <w:rPr>
                <w:rFonts w:ascii="Times New Roman;sans-serif" w:hAnsi="Times New Roman;sans-serif"/>
                <w:b w:val="false"/>
                <w:color w:val="0000EE"/>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30">
              <w:r>
                <w:rPr>
                  <w:rStyle w:val="InternetLink"/>
                  <w:rFonts w:ascii="Times New Roman;sans-serif" w:hAnsi="Times New Roman;sans-serif"/>
                  <w:b w:val="false"/>
                  <w:color w:val="0000EE"/>
                  <w:sz w:val="20"/>
                  <w:u w:val="single"/>
                </w:rPr>
                <w:t>Amendment No. 5 to the Credit Agreement, dated as of June 24, 2019, among Uniti Group Inc., as parent guarantor, Uniti Group LP, Uniti Group Finance Inc., and CSL Capital, LLC, as borrowers, the guarantors party thereto, the lenders party thereto, and Bank of America, N.A., as administrative agent and collateral agent (incorporated by reference to Exhibit 10.1 to the Company’s Current Report on Form 8-K dated and filed with the SEC as of June 24, 2019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31">
              <w:r>
                <w:rPr>
                  <w:rStyle w:val="InternetLink"/>
                  <w:rFonts w:ascii="Times New Roman;sans-serif" w:hAnsi="Times New Roman;sans-serif"/>
                  <w:b w:val="false"/>
                  <w:color w:val="0000EE"/>
                  <w:sz w:val="20"/>
                  <w:u w:val="single"/>
                </w:rPr>
                <w:t>Amendment No. 6 and Limited Waiver to the Credit Agreement, dated as of February 10, 2020, among Uniti Group LP, Uniti Group Finance 2019 Inc. and CSL Capital, LLC, as borrowers, the guarantor party thereto, the lenders party thereto, and Bank of America, N.A., as administrative agent and collateral agent (incorporated by reference to Exhibit 10.1 to the Company’s Current Report on Form 8-K filed with the SEC on February 10, 2020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32">
              <w:r>
                <w:rPr>
                  <w:rStyle w:val="InternetLink"/>
                  <w:rFonts w:ascii="Times New Roman;sans-serif" w:hAnsi="Times New Roman;sans-serif"/>
                  <w:b w:val="false"/>
                  <w:color w:val="0000EE"/>
                  <w:sz w:val="20"/>
                  <w:u w:val="single"/>
                </w:rPr>
                <w:t>Amendment No. 7 to the Credit Agreement, dated as of December 10, 2020, by and among Uniti Group Inc., as parent guarantor, Uniti Group LP, Uniti Group Finance Inc., and CSL Capital, LLC, as borrowers, the guarantors party thereto, the lenders party thereto, and Bank of America, N.A., as administrative agent and collateral agent (incorporated by reference to Exhibit 10.1 to the Company’s Current Report on Form 8-K dated and filed with the SEC as of December 10, 2020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Amendment No. 8 to the Credit Agreement, dated as of March 24, 2023, among Uniti Group LP, Uniti Group Finance Inc. and CSL Capital LLC, as borrowers, the guarantor party thereto, the lenders party thereto, and Bank of America, N.A., as administrative agent and collateral agent (incorporated by reference to Exhibit 10.1 to the Company’s Current Report on Form 8-K dated and filed with the SEC as of March 27, 2023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29"/>
              <w:jc w:val="left"/>
              <w:rPr/>
            </w:pPr>
            <w:hyperlink r:id="rId34">
              <w:r>
                <w:rPr>
                  <w:rStyle w:val="InternetLink"/>
                  <w:rFonts w:ascii="Times New Roman;sans-serif" w:hAnsi="Times New Roman;sans-serif"/>
                  <w:b w:val="false"/>
                  <w:color w:val="0000EE"/>
                  <w:sz w:val="20"/>
                  <w:u w:val="single"/>
                </w:rPr>
                <w:t>Agreement of Resignation, Appointment and Acceptance, dated as of June 26, 2019, by and among Uniti Group LP, CSL Capital, LLC, Uniti Group Finance, Inc., and Uniti Fiber Holdings, Inc., as Issuers, and Deutsche Bank Trust Company Americas, as successor trustee, and Wells Fargo Bank, N.A., as resigning trustee (incorporated by reference to Exhibit 10.4 to the Company’s Quarterly Report on Form 10-Q dated and filed with the SEC as of August 8, 2019 (File No. 001-36708))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35">
              <w:r>
                <w:rPr>
                  <w:rStyle w:val="InternetLink"/>
                  <w:rFonts w:ascii="Times New Roman;sans-serif" w:hAnsi="Times New Roman;sans-serif"/>
                  <w:b w:val="false"/>
                  <w:color w:val="0000EE"/>
                  <w:sz w:val="20"/>
                  <w:u w:val="single"/>
                </w:rPr>
                <w:t>Borrower Assumption Agreement and Joinder, dated as of May 9, 2017 by and among Uniti Group Inc., as initial borrower, Uniti Group LP and Uniti Group Finance Inc., as borrowers, the guarantors party thereto, the lenders party thereto, and Bank of America, N.A., as administrative agent and collateral agent (incorporated by reference to Exhibit 10.1 to the Company’s Current Report on Form 8-K dated and filed with the SEC as of May 9, 2017 (File No. 001-36708))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218"/>
        <w:gridCol w:w="191"/>
        <w:gridCol w:w="193"/>
        <w:gridCol w:w="109"/>
        <w:gridCol w:w="109"/>
        <w:gridCol w:w="109"/>
        <w:gridCol w:w="2946"/>
        <w:gridCol w:w="2622"/>
        <w:gridCol w:w="3708"/>
      </w:tblGrid>
      <w:tr>
        <w:trPr/>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36">
              <w:r>
                <w:rPr>
                  <w:rStyle w:val="InternetLink"/>
                  <w:rFonts w:ascii="Times New Roman;sans-serif" w:hAnsi="Times New Roman;sans-serif"/>
                  <w:b w:val="false"/>
                  <w:color w:val="0000EE"/>
                  <w:sz w:val="20"/>
                  <w:u w:val="single"/>
                </w:rPr>
                <w:t>Recognition Agreement, dated April 24, 2015, by and among CSL National, LP and the other entities listed therein, as Landlord, and Windstream Holdings, Inc., as Tenant, and JPMorgan Chase Bank, N.A., as administrative agent and collateral agent (incorporated by reference to Exhibit 10.11 to the Company’s Current Report on Form 8-K dated and filed with the SEC as of April 27, 2015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Capped Call Transaction Confirmation (incorporated by reference to Exhibit 10.1 to the Company’s Current Report on Form 8-K dated and filed with the SEC as of December 12, 2022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38">
              <w:r>
                <w:rPr>
                  <w:rStyle w:val="InternetLink"/>
                  <w:rFonts w:ascii="Times New Roman;sans-serif" w:hAnsi="Times New Roman;sans-serif"/>
                  <w:b w:val="false"/>
                  <w:color w:val="0000EE"/>
                  <w:sz w:val="20"/>
                  <w:u w:val="single"/>
                </w:rPr>
                <w:t>Employment Agreement between Uniti Group Inc. and Kenneth Gunderman, effective as of December 14, 2018 (incorporated by reference to Exhibit 10.1 to the Company’s Current Report on Form 8-K dated and filed with the SEC as of December 14, 2018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29" w:after="29"/>
              <w:jc w:val="left"/>
              <w:rPr/>
            </w:pPr>
            <w:hyperlink r:id="rId39">
              <w:r>
                <w:rPr>
                  <w:rStyle w:val="InternetLink"/>
                  <w:rFonts w:ascii="Times New Roman;sans-serif" w:hAnsi="Times New Roman;sans-serif"/>
                  <w:b w:val="false"/>
                  <w:color w:val="0000FF"/>
                  <w:sz w:val="20"/>
                  <w:u w:val="single"/>
                </w:rPr>
                <w:t>Form of Severance Agreement for executive officers (incorporated by reference to Exhibit 10.18 to the Company’s Annual Report on Form 10-K dated and filed with the SEC as of February 28, 2023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29"/>
              <w:jc w:val="left"/>
              <w:rPr/>
            </w:pPr>
            <w:hyperlink r:id="rId40">
              <w:r>
                <w:rPr>
                  <w:rStyle w:val="InternetLink"/>
                  <w:rFonts w:ascii="Times New Roman;sans-serif" w:hAnsi="Times New Roman;sans-serif"/>
                  <w:b w:val="false"/>
                  <w:color w:val="0000EE"/>
                  <w:sz w:val="20"/>
                  <w:u w:val="single"/>
                </w:rPr>
                <w:t>Uniti Group Inc. 2015 Equity Incentive Plan, as amended and restated effective April 11, 2023 (incorporated by reference to Exhibit 102 to the Company’s Quarterly Report on Form 10-Q dated and filed with the SEC as of May 4, 2023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r:id="rId41">
              <w:r>
                <w:rPr>
                  <w:rStyle w:val="InternetLink"/>
                  <w:rFonts w:ascii="Times New Roman;sans-serif" w:hAnsi="Times New Roman;sans-serif"/>
                  <w:b w:val="false"/>
                  <w:color w:val="0000EE"/>
                  <w:sz w:val="20"/>
                  <w:u w:val="single"/>
                </w:rPr>
                <w:t>Form of Restricted Shares Agreement for employees (incorporated by reference to Exhibit 10.19 to the Company’s Annual Report on Form 10-K dated and filed with the SEC as of March 18, 2019 (File No. 001-36708))</w:t>
              </w:r>
            </w:hyperlink>
            <w:r>
              <w:rPr>
                <w:color w:val="0000EE"/>
              </w:rPr>
              <w:t xml:space="preserve"> </w:t>
            </w:r>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r:id="rId42">
              <w:r>
                <w:rPr>
                  <w:rStyle w:val="InternetLink"/>
                  <w:rFonts w:ascii="Times New Roman;sans-serif" w:hAnsi="Times New Roman;sans-serif"/>
                  <w:b w:val="false"/>
                  <w:color w:val="0000EE"/>
                  <w:sz w:val="20"/>
                  <w:u w:val="single"/>
                </w:rPr>
                <w:t>Form of Performance-Based Restricted Stock Unit Agreement (incorporated by reference to Exhibit 10.21 to the Company’s Annual Report on Form 10-K dated and filed with the SEC as of March 18, 2019 (File No. 001-36708))</w:t>
              </w:r>
            </w:hyperlink>
            <w:r>
              <w:rPr>
                <w:color w:val="0000EE"/>
              </w:rPr>
              <w:t xml:space="preserve"> </w:t>
            </w:r>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Form of Performance-Based Restricted Stock Unit Agreement (incorporated by reference to Exhibit 10.22 to the Company’s Annual Report on Form 10-K dated and filed with the SEC as of February 28, 2023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r:id="rId44">
              <w:r>
                <w:rPr>
                  <w:rStyle w:val="InternetLink"/>
                  <w:rFonts w:ascii="Times New Roman;sans-serif" w:hAnsi="Times New Roman;sans-serif"/>
                  <w:b w:val="false"/>
                  <w:color w:val="0000EE"/>
                  <w:sz w:val="20"/>
                  <w:u w:val="single"/>
                </w:rPr>
                <w:t>Form of Restricted Shares Agreement for non-employee directors (incorporated by reference to Exhibit 10.5 to the Company’s Current Report on Form 8-K dated and filed with the SEC as of June 3, 2015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r:id="rId45">
              <w:r>
                <w:rPr>
                  <w:rStyle w:val="InternetLink"/>
                  <w:rFonts w:ascii="Times New Roman;sans-serif" w:hAnsi="Times New Roman;sans-serif"/>
                  <w:b w:val="false"/>
                  <w:color w:val="0000EE"/>
                  <w:sz w:val="20"/>
                  <w:u w:val="single"/>
                </w:rPr>
                <w:t>Form of Indemnity Agreement (incorporated by reference to Exhibit 10.20 to the Company’s Registration Statement on Form S-4 dated and filed with the SEC as of July 2, 2015 (File No. 333-205450))</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r:id="rId46">
              <w:r>
                <w:rPr>
                  <w:rStyle w:val="InternetLink"/>
                  <w:rFonts w:ascii="Times New Roman;sans-serif" w:hAnsi="Times New Roman;sans-serif"/>
                  <w:b w:val="false"/>
                  <w:color w:val="0000EE"/>
                  <w:sz w:val="20"/>
                  <w:u w:val="single"/>
                </w:rPr>
                <w:t>Communications Sales &amp; Leasing, Inc. Deferred Compensation Plan, effective August 10, 2015 (incorporated by reference to Exhibit 10.20 to the Company’s Quarterly Report on Form 10-Q dated and filed with the SEC as of August 13, 2015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r:id="rId47">
              <w:r>
                <w:rPr>
                  <w:rStyle w:val="InternetLink"/>
                  <w:rFonts w:ascii="Times New Roman;sans-serif" w:hAnsi="Times New Roman;sans-serif"/>
                  <w:b w:val="false"/>
                  <w:color w:val="0000EE"/>
                  <w:sz w:val="20"/>
                  <w:u w:val="single"/>
                </w:rPr>
                <w:t>Uniti Group Inc. Amended and Restated Employee Stock Purchase Plan (incorporated by reference to Exhibit 99.1 to the Company’s Registration Statement on Form S-8 dated and filed with the SEC as of June 7, 2018 (File No. 333-225501))</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r:id="rId48">
              <w:r>
                <w:rPr>
                  <w:rStyle w:val="InternetLink"/>
                  <w:rFonts w:ascii="Times New Roman;sans-serif" w:hAnsi="Times New Roman;sans-serif"/>
                  <w:b w:val="false"/>
                  <w:color w:val="0000EE"/>
                  <w:sz w:val="20"/>
                  <w:u w:val="single"/>
                </w:rPr>
                <w:t>Uniti Group Inc. Annual Short-Term Incentive Plan (incorporated by reference to Exhibit 10.2 to the Company’s Quarterly Report on Form 10-Q dated and filed with the SEC as of May 11, 2020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ans-serif" w:hAnsi="Times New Roman;sans-serif"/>
                  <w:b w:val="false"/>
                  <w:color w:val="0000FF"/>
                  <w:sz w:val="20"/>
                  <w:u w:val="single"/>
                </w:rPr>
                <w:t>Bridge Loan and Security Agreement, dated as of February 23, 2024, by and among Uniti Fiber Bridge Borrower LLC, Uniti Fiber Bridge HoldCo LLC, the subsidiary guarantors from time to time party thereto, Wilmington Trust, National Association, as administrative agent, collateral agent, account bank and verification agent, Barclays Bank PLC, as facility agent, and the lenders from time to time party thereto (incorporated by reference to Exhibit 10.1 to the Company’s Current Report on Form 8-K dated and filed with the SEC as of February 26, 2024 (File No. 001-36708)</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w:anchor="unit-ex211.htm">
              <w:r>
                <w:rPr>
                  <w:rStyle w:val="InternetLink"/>
                  <w:rFonts w:ascii="Times New Roman;sans-serif" w:hAnsi="Times New Roman;sans-serif"/>
                  <w:b w:val="false"/>
                  <w:color w:val="0000FF"/>
                  <w:sz w:val="20"/>
                  <w:u w:val="single"/>
                </w:rPr>
                <w:t>List of Subsidiaries of Uniti Group Inc</w:t>
              </w:r>
            </w:hyperlink>
            <w:r>
              <w:rPr>
                <w:rFonts w:ascii="Times New Roman;sans-serif" w:hAnsi="Times New Roman;sans-serif"/>
                <w:b w:val="false"/>
                <w:color w:val="0000EE"/>
                <w:sz w:val="20"/>
              </w:rPr>
              <w:t>.</w:t>
            </w:r>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w:anchor="unit-ex231.htm">
              <w:r>
                <w:rPr>
                  <w:rStyle w:val="InternetLink"/>
                  <w:rFonts w:ascii="Times New Roman;sans-serif" w:hAnsi="Times New Roman;sans-serif"/>
                  <w:b w:val="false"/>
                  <w:color w:val="0000EE"/>
                  <w:sz w:val="20"/>
                  <w:u w:val="single"/>
                </w:rPr>
                <w:t>Consent of KPMG LLP, independent registered public accounting firm</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w:anchor="unit-20231231x10kex311.htm">
              <w:r>
                <w:rPr>
                  <w:rStyle w:val="InternetLink"/>
                  <w:rFonts w:ascii="Times New Roman;sans-serif" w:hAnsi="Times New Roman;sans-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w:anchor="unit-20231231x10kex312.htm">
              <w:r>
                <w:rPr>
                  <w:rStyle w:val="InternetLink"/>
                  <w:rFonts w:ascii="Times New Roman;sans-serif" w:hAnsi="Times New Roman;sans-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w:anchor="unit-20231231x10kex321.htm">
              <w:r>
                <w:rPr>
                  <w:rStyle w:val="InternetLink"/>
                  <w:rFonts w:ascii="Times New Roman;sans-serif" w:hAnsi="Times New Roman;sans-serif"/>
                  <w:b w:val="false"/>
                  <w:color w:val="0000EE"/>
                  <w:sz w:val="20"/>
                  <w:u w:val="single"/>
                </w:rPr>
                <w:t>Certification of Principal Executive Officer Pursuant to 18 U.S.C. Section 1350, as Adopted Pursuant to Section 906 of the Sarbanes-Oxley Act of 2002</w:t>
              </w:r>
            </w:hyperlink>
          </w:p>
        </w:tc>
      </w:tr>
      <w:tr>
        <w:trPr/>
        <w:tc>
          <w:tcPr>
            <w:tcW w:w="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tcMar>
              <w:top w:w="0" w:type="dxa"/>
              <w:left w:w="0" w:type="dxa"/>
              <w:bottom w:w="0" w:type="dxa"/>
              <w:right w:w="0" w:type="dxa"/>
            </w:tcMar>
            <w:vAlign w:val="center"/>
          </w:tcPr>
          <w:p>
            <w:pPr>
              <w:pStyle w:val="TableContents"/>
              <w:bidi w:val="0"/>
              <w:spacing w:lineRule="auto" w:line="276" w:before="29" w:after="149"/>
              <w:jc w:val="left"/>
              <w:rPr/>
            </w:pPr>
            <w:hyperlink w:anchor="unit-20231231x10kex322.htm">
              <w:r>
                <w:rPr>
                  <w:rStyle w:val="InternetLink"/>
                  <w:rFonts w:ascii="Times New Roman;sans-serif" w:hAnsi="Times New Roman;sans-serif"/>
                  <w:b w:val="false"/>
                  <w:color w:val="000080"/>
                  <w:sz w:val="20"/>
                  <w:u w:val="single"/>
                </w:rPr>
                <w:t>Certification of Principal Finan</w:t>
              </w:r>
            </w:hyperlink>
            <w:hyperlink w:anchor="unit-20231231x10kex322.htm">
              <w:r>
                <w:rPr>
                  <w:rStyle w:val="InternetLink"/>
                  <w:rFonts w:ascii="Times New Roman;sans-serif" w:hAnsi="Times New Roman;sans-serif"/>
                  <w:b w:val="false"/>
                  <w:color w:val="000080"/>
                  <w:sz w:val="20"/>
                  <w:u w:val="single"/>
                </w:rPr>
                <w:t>cial Officer Pursuant to 18 U.S.C. Section 1350, as Adopted Pursuant to Section 906 of the Sarbanes-Oxley Act of 2</w:t>
              </w:r>
            </w:hyperlink>
            <w:hyperlink w:anchor="unit-20231231x10kex322.htm">
              <w:r>
                <w:rPr>
                  <w:rStyle w:val="InternetLink"/>
                  <w:rFonts w:ascii="Times New Roman;sans-serif" w:hAnsi="Times New Roman;sans-serif"/>
                  <w:b w:val="false"/>
                  <w:color w:val="000080"/>
                  <w:sz w:val="20"/>
                  <w:u w:val="single"/>
                </w:rPr>
                <w:t>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tbl>
      <w:tblPr>
        <w:tblW w:w="10205" w:type="dxa"/>
        <w:jc w:val="left"/>
        <w:tblInd w:w="0" w:type="dxa"/>
        <w:tblLayout w:type="fixed"/>
        <w:tblCellMar>
          <w:top w:w="28" w:type="dxa"/>
          <w:left w:w="28" w:type="dxa"/>
          <w:bottom w:w="28" w:type="dxa"/>
          <w:right w:w="28" w:type="dxa"/>
        </w:tblCellMar>
      </w:tblPr>
      <w:tblGrid>
        <w:gridCol w:w="283"/>
        <w:gridCol w:w="222"/>
        <w:gridCol w:w="225"/>
        <w:gridCol w:w="109"/>
        <w:gridCol w:w="109"/>
        <w:gridCol w:w="109"/>
        <w:gridCol w:w="2676"/>
        <w:gridCol w:w="2676"/>
        <w:gridCol w:w="3796"/>
      </w:tblGrid>
      <w:tr>
        <w:trPr/>
        <w:tc>
          <w:tcPr>
            <w:tcW w:w="2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nit-exx97.htm">
              <w:r>
                <w:rPr>
                  <w:rStyle w:val="InternetLink"/>
                  <w:rFonts w:ascii="Times New Roman;sans-serif" w:hAnsi="Times New Roman;sans-serif"/>
                  <w:b w:val="false"/>
                  <w:color w:val="0E32E1"/>
                  <w:sz w:val="20"/>
                  <w:u w:val="single"/>
                </w:rPr>
                <w:t>Uniti Group Inc. Policy Regarding Repayment or Forfeiture of Certain Compensation by Executive Officers (“Clawback Policy”)</w:t>
              </w:r>
            </w:hyperlink>
          </w:p>
        </w:tc>
      </w:tr>
      <w:tr>
        <w:trPr/>
        <w:tc>
          <w:tcPr>
            <w:tcW w:w="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tcMar>
              <w:top w:w="0" w:type="dxa"/>
              <w:left w:w="0" w:type="dxa"/>
              <w:bottom w:w="0" w:type="dxa"/>
              <w:right w:w="0" w:type="dxa"/>
            </w:tcMar>
            <w:vAlign w:val="center"/>
          </w:tcPr>
          <w:p>
            <w:pPr>
              <w:pStyle w:val="TableContents"/>
              <w:bidi w:val="0"/>
              <w:spacing w:lineRule="auto" w:line="276" w:before="29" w:after="149"/>
              <w:jc w:val="left"/>
              <w:rPr/>
            </w:pPr>
            <w:r>
              <w:rPr>
                <w:rFonts w:ascii="Times New Roman;sans-serif" w:hAnsi="Times New Roman;sans-serif"/>
                <w:b w:val="false"/>
                <w:color w:val="000000"/>
                <w:sz w:val="20"/>
                <w:shd w:fill="FFFFFF" w:val="clear"/>
              </w:rPr>
              <w:t xml:space="preserve">Inline </w:t>
            </w:r>
            <w:r>
              <w:rPr>
                <w:rFonts w:ascii="Times New Roman;sans-serif" w:hAnsi="Times New Roman;sans-serif"/>
                <w:b w:val="false"/>
                <w:color w:val="000000"/>
                <w:sz w:val="20"/>
              </w:rPr>
              <w:t>XBRL Instance Document – the instance document does not appear in the Interactive Data File because XBRL tags are embedded within the Inline XBRL document.</w:t>
            </w:r>
          </w:p>
        </w:tc>
      </w:tr>
      <w:tr>
        <w:trPr/>
        <w:tc>
          <w:tcPr>
            <w:tcW w:w="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tcMar>
              <w:top w:w="0" w:type="dxa"/>
              <w:left w:w="0" w:type="dxa"/>
              <w:bottom w:w="0" w:type="dxa"/>
              <w:right w:w="0" w:type="dxa"/>
            </w:tcMar>
            <w:vAlign w:val="center"/>
          </w:tcPr>
          <w:p>
            <w:pPr>
              <w:pStyle w:val="TableContents"/>
              <w:bidi w:val="0"/>
              <w:spacing w:lineRule="auto" w:line="276" w:before="29" w:after="149"/>
              <w:jc w:val="left"/>
              <w:rPr/>
            </w:pPr>
            <w:r>
              <w:rPr>
                <w:rFonts w:ascii="Times New Roman;sans-serif" w:hAnsi="Times New Roman;sans-serif"/>
                <w:b w:val="false"/>
                <w:color w:val="000000"/>
                <w:sz w:val="20"/>
                <w:shd w:fill="FFFFFF" w:val="clear"/>
              </w:rPr>
              <w:t xml:space="preserve">Inline </w:t>
            </w:r>
            <w:r>
              <w:rPr>
                <w:rFonts w:ascii="Times New Roman;sans-serif" w:hAnsi="Times New Roman;sans-serif"/>
                <w:b w:val="false"/>
                <w:color w:val="000000"/>
                <w:sz w:val="20"/>
              </w:rPr>
              <w:t>XBRL Taxonomy Extension Schema Document</w:t>
            </w:r>
          </w:p>
        </w:tc>
      </w:tr>
      <w:tr>
        <w:trPr/>
        <w:tc>
          <w:tcPr>
            <w:tcW w:w="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tcMar>
              <w:top w:w="0" w:type="dxa"/>
              <w:left w:w="0" w:type="dxa"/>
              <w:bottom w:w="0" w:type="dxa"/>
              <w:right w:w="0" w:type="dxa"/>
            </w:tcMar>
            <w:vAlign w:val="center"/>
          </w:tcPr>
          <w:p>
            <w:pPr>
              <w:pStyle w:val="TableContents"/>
              <w:bidi w:val="0"/>
              <w:spacing w:lineRule="auto" w:line="276" w:before="29" w:after="149"/>
              <w:jc w:val="left"/>
              <w:rPr/>
            </w:pPr>
            <w:r>
              <w:rPr>
                <w:rFonts w:ascii="Times New Roman;sans-serif" w:hAnsi="Times New Roman;sans-serif"/>
                <w:b w:val="false"/>
                <w:color w:val="000000"/>
                <w:sz w:val="20"/>
                <w:shd w:fill="FFFFFF" w:val="clear"/>
              </w:rPr>
              <w:t xml:space="preserve">Inline </w:t>
            </w:r>
            <w:r>
              <w:rPr>
                <w:rFonts w:ascii="Times New Roman;sans-serif" w:hAnsi="Times New Roman;sans-serif"/>
                <w:b w:val="false"/>
                <w:color w:val="000000"/>
                <w:sz w:val="20"/>
              </w:rPr>
              <w:t>XBRL Taxonomy Extension Calculation Linkbase Document</w:t>
            </w:r>
          </w:p>
        </w:tc>
      </w:tr>
      <w:tr>
        <w:trPr/>
        <w:tc>
          <w:tcPr>
            <w:tcW w:w="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tcMar>
              <w:top w:w="0" w:type="dxa"/>
              <w:left w:w="0" w:type="dxa"/>
              <w:bottom w:w="0" w:type="dxa"/>
              <w:right w:w="0" w:type="dxa"/>
            </w:tcMar>
            <w:vAlign w:val="center"/>
          </w:tcPr>
          <w:p>
            <w:pPr>
              <w:pStyle w:val="TableContents"/>
              <w:bidi w:val="0"/>
              <w:spacing w:lineRule="auto" w:line="276" w:before="29" w:after="149"/>
              <w:jc w:val="left"/>
              <w:rPr/>
            </w:pPr>
            <w:r>
              <w:rPr>
                <w:rFonts w:ascii="Times New Roman;sans-serif" w:hAnsi="Times New Roman;sans-serif"/>
                <w:b w:val="false"/>
                <w:color w:val="000000"/>
                <w:sz w:val="20"/>
                <w:shd w:fill="FFFFFF" w:val="clear"/>
              </w:rPr>
              <w:t xml:space="preserve">Inline </w:t>
            </w:r>
            <w:r>
              <w:rPr>
                <w:rFonts w:ascii="Times New Roman;sans-serif" w:hAnsi="Times New Roman;sans-serif"/>
                <w:b w:val="false"/>
                <w:color w:val="000000"/>
                <w:sz w:val="20"/>
              </w:rPr>
              <w:t>XBRL Taxonomy Extension Definition Linkbase Document</w:t>
            </w:r>
          </w:p>
        </w:tc>
      </w:tr>
      <w:tr>
        <w:trPr/>
        <w:tc>
          <w:tcPr>
            <w:tcW w:w="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tcMar>
              <w:top w:w="0" w:type="dxa"/>
              <w:left w:w="0" w:type="dxa"/>
              <w:bottom w:w="0" w:type="dxa"/>
              <w:right w:w="0" w:type="dxa"/>
            </w:tcMar>
            <w:vAlign w:val="center"/>
          </w:tcPr>
          <w:p>
            <w:pPr>
              <w:pStyle w:val="TableContents"/>
              <w:bidi w:val="0"/>
              <w:spacing w:lineRule="auto" w:line="276" w:before="29" w:after="149"/>
              <w:jc w:val="left"/>
              <w:rPr/>
            </w:pPr>
            <w:r>
              <w:rPr>
                <w:rFonts w:ascii="Times New Roman;sans-serif" w:hAnsi="Times New Roman;sans-serif"/>
                <w:b w:val="false"/>
                <w:color w:val="000000"/>
                <w:sz w:val="20"/>
                <w:shd w:fill="FFFFFF" w:val="clear"/>
              </w:rPr>
              <w:t xml:space="preserve">Inline </w:t>
            </w:r>
            <w:r>
              <w:rPr>
                <w:rFonts w:ascii="Times New Roman;sans-serif" w:hAnsi="Times New Roman;sans-serif"/>
                <w:b w:val="false"/>
                <w:color w:val="000000"/>
                <w:sz w:val="20"/>
              </w:rPr>
              <w:t>XBRL Taxonomy Extension Label Linkbase Document</w:t>
            </w:r>
          </w:p>
        </w:tc>
      </w:tr>
      <w:tr>
        <w:trPr/>
        <w:tc>
          <w:tcPr>
            <w:tcW w:w="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tcMar>
              <w:top w:w="0" w:type="dxa"/>
              <w:left w:w="0" w:type="dxa"/>
              <w:bottom w:w="0" w:type="dxa"/>
              <w:right w:w="0" w:type="dxa"/>
            </w:tcMar>
            <w:vAlign w:val="center"/>
          </w:tcPr>
          <w:p>
            <w:pPr>
              <w:pStyle w:val="TableContents"/>
              <w:bidi w:val="0"/>
              <w:spacing w:lineRule="auto" w:line="276" w:before="29" w:after="149"/>
              <w:jc w:val="left"/>
              <w:rPr/>
            </w:pPr>
            <w:r>
              <w:rPr>
                <w:rFonts w:ascii="Times New Roman;sans-serif" w:hAnsi="Times New Roman;sans-serif"/>
                <w:b w:val="false"/>
                <w:color w:val="000000"/>
                <w:sz w:val="20"/>
                <w:shd w:fill="FFFFFF" w:val="clear"/>
              </w:rPr>
              <w:t xml:space="preserve">Inline </w:t>
            </w:r>
            <w:r>
              <w:rPr>
                <w:rFonts w:ascii="Times New Roman;sans-serif" w:hAnsi="Times New Roman;sans-serif"/>
                <w:b w:val="false"/>
                <w:color w:val="000000"/>
                <w:sz w:val="20"/>
              </w:rPr>
              <w:t>XBRL Taxonomy Extension Presentation Linkbase Document</w:t>
            </w:r>
          </w:p>
        </w:tc>
      </w:tr>
      <w:tr>
        <w:trPr/>
        <w:tc>
          <w:tcPr>
            <w:tcW w:w="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tbl>
      <w:tblPr>
        <w:tblW w:w="6447" w:type="dxa"/>
        <w:jc w:val="left"/>
        <w:tblInd w:w="0" w:type="dxa"/>
        <w:tblLayout w:type="fixed"/>
        <w:tblCellMar>
          <w:top w:w="28" w:type="dxa"/>
          <w:left w:w="28" w:type="dxa"/>
          <w:bottom w:w="28" w:type="dxa"/>
          <w:right w:w="28" w:type="dxa"/>
        </w:tblCellMar>
      </w:tblPr>
      <w:tblGrid>
        <w:gridCol w:w="124"/>
        <w:gridCol w:w="109"/>
        <w:gridCol w:w="109"/>
        <w:gridCol w:w="1782"/>
        <w:gridCol w:w="1782"/>
        <w:gridCol w:w="25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Constitutes a management contract or compensation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16. Form 10-K Summary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sans-serif" w:hAnsi="Times New Roman;sans-serif"/>
          <w:b/>
          <w:color w:val="000000"/>
          <w:sz w:val="20"/>
        </w:rPr>
        <w:t>.</w:t>
      </w:r>
    </w:p>
    <w:tbl>
      <w:tblPr>
        <w:tblW w:w="5819" w:type="dxa"/>
        <w:jc w:val="center"/>
        <w:tblInd w:w="0" w:type="dxa"/>
        <w:tblLayout w:type="fixed"/>
        <w:tblCellMar>
          <w:top w:w="28" w:type="dxa"/>
          <w:left w:w="28" w:type="dxa"/>
          <w:bottom w:w="28" w:type="dxa"/>
          <w:right w:w="28" w:type="dxa"/>
        </w:tblCellMar>
      </w:tblPr>
      <w:tblGrid>
        <w:gridCol w:w="754"/>
        <w:gridCol w:w="664"/>
        <w:gridCol w:w="667"/>
        <w:gridCol w:w="134"/>
        <w:gridCol w:w="134"/>
        <w:gridCol w:w="136"/>
        <w:gridCol w:w="974"/>
        <w:gridCol w:w="974"/>
        <w:gridCol w:w="138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UNITI GROUP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Gunderman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9637" w:type="dxa"/>
        <w:jc w:val="center"/>
        <w:tblInd w:w="0" w:type="dxa"/>
        <w:tblLayout w:type="fixed"/>
        <w:tblCellMar>
          <w:top w:w="28" w:type="dxa"/>
          <w:left w:w="28" w:type="dxa"/>
          <w:bottom w:w="28" w:type="dxa"/>
          <w:right w:w="28" w:type="dxa"/>
        </w:tblCellMar>
      </w:tblPr>
      <w:tblGrid>
        <w:gridCol w:w="818"/>
        <w:gridCol w:w="720"/>
        <w:gridCol w:w="726"/>
        <w:gridCol w:w="109"/>
        <w:gridCol w:w="109"/>
        <w:gridCol w:w="109"/>
        <w:gridCol w:w="1687"/>
        <w:gridCol w:w="1687"/>
        <w:gridCol w:w="1710"/>
        <w:gridCol w:w="109"/>
        <w:gridCol w:w="109"/>
        <w:gridCol w:w="109"/>
        <w:gridCol w:w="477"/>
        <w:gridCol w:w="477"/>
        <w:gridCol w:w="681"/>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A. Gunderman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Kenneth A. Gunderman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 Chief Financial Officer and Treasurer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Paul E. Bullington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T.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 Chief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Travis T. Black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Times New Roman;sans-serif" w:hAnsi="Times New Roman;sans-serif"/>
                <w:b w:val="false"/>
                <w:i/>
                <w:color w:val="000000"/>
                <w:sz w:val="20"/>
                <w:shd w:fill="FFFFFF" w:val="clear"/>
              </w:rPr>
              <w:t>(Principal Accounting Officer)</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Francis X. Frantz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Francis X. Frantz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S. Banner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Jennifer S. Banner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G.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Scott G.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Carmen Perez-Carlton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r>
      <w:tr>
        <w:trPr/>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color w:val="000000"/>
                <w:sz w:val="20"/>
              </w:rPr>
              <w:t>Carmen Perez-Carlton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 – Condensed Financial Information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Registrant (Parent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tbl>
      <w:tblPr>
        <w:tblW w:w="10205" w:type="dxa"/>
        <w:jc w:val="center"/>
        <w:tblInd w:w="0" w:type="dxa"/>
        <w:tblLayout w:type="fixed"/>
        <w:tblCellMar>
          <w:top w:w="28" w:type="dxa"/>
          <w:left w:w="28" w:type="dxa"/>
          <w:bottom w:w="28" w:type="dxa"/>
          <w:right w:w="28" w:type="dxa"/>
        </w:tblCellMar>
      </w:tblPr>
      <w:tblGrid>
        <w:gridCol w:w="2583"/>
        <w:gridCol w:w="2139"/>
        <w:gridCol w:w="2148"/>
        <w:gridCol w:w="109"/>
        <w:gridCol w:w="109"/>
        <w:gridCol w:w="109"/>
        <w:gridCol w:w="338"/>
        <w:gridCol w:w="834"/>
        <w:gridCol w:w="144"/>
        <w:gridCol w:w="109"/>
        <w:gridCol w:w="109"/>
        <w:gridCol w:w="109"/>
        <w:gridCol w:w="332"/>
        <w:gridCol w:w="828"/>
        <w:gridCol w:w="205"/>
      </w:tblGrid>
      <w:tr>
        <w:trPr/>
        <w:tc>
          <w:tcPr>
            <w:tcW w:w="258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and losses in excess of investments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2,146,026 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1,974,628 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2,487,019 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2,276,512 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 shares authorized, no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500,000 shares authorized, issued and outstanding: 236,559 shares at December 31, 2023 and 235,829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in excess of accumulated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(3,708,240)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(3,483,634)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(2,486,392)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(2,273,577)</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Convertible Preferred Stock, and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 of Uniti Group Inc. included in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 – Condensed Financial Information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Registrant (Parent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Comprehensive (Loss) Income</w:t>
      </w:r>
    </w:p>
    <w:tbl>
      <w:tblPr>
        <w:tblW w:w="9345" w:type="dxa"/>
        <w:jc w:val="center"/>
        <w:tblInd w:w="0" w:type="dxa"/>
        <w:tblLayout w:type="fixed"/>
        <w:tblCellMar>
          <w:top w:w="28" w:type="dxa"/>
          <w:left w:w="28" w:type="dxa"/>
          <w:bottom w:w="28" w:type="dxa"/>
          <w:right w:w="28" w:type="dxa"/>
        </w:tblCellMar>
      </w:tblPr>
      <w:tblGrid>
        <w:gridCol w:w="1801"/>
        <w:gridCol w:w="1584"/>
        <w:gridCol w:w="1595"/>
        <w:gridCol w:w="109"/>
        <w:gridCol w:w="109"/>
        <w:gridCol w:w="109"/>
        <w:gridCol w:w="211"/>
        <w:gridCol w:w="796"/>
        <w:gridCol w:w="109"/>
        <w:gridCol w:w="109"/>
        <w:gridCol w:w="109"/>
        <w:gridCol w:w="109"/>
        <w:gridCol w:w="224"/>
        <w:gridCol w:w="497"/>
        <w:gridCol w:w="109"/>
        <w:gridCol w:w="109"/>
        <w:gridCol w:w="109"/>
        <w:gridCol w:w="109"/>
        <w:gridCol w:w="211"/>
        <w:gridCol w:w="826"/>
        <w:gridCol w:w="401"/>
      </w:tblGrid>
      <w:tr>
        <w:trPr/>
        <w:tc>
          <w:tcPr>
            <w:tcW w:w="180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from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124,850 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123,660 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134,863 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 of Uniti Group Inc. included in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 – Condensed Financial Information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Registrant (Parent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tbl>
      <w:tblPr>
        <w:tblW w:w="8859" w:type="dxa"/>
        <w:jc w:val="center"/>
        <w:tblInd w:w="0" w:type="dxa"/>
        <w:tblLayout w:type="fixed"/>
        <w:tblCellMar>
          <w:top w:w="28" w:type="dxa"/>
          <w:left w:w="28" w:type="dxa"/>
          <w:bottom w:w="28" w:type="dxa"/>
          <w:right w:w="28" w:type="dxa"/>
        </w:tblCellMar>
      </w:tblPr>
      <w:tblGrid>
        <w:gridCol w:w="1562"/>
        <w:gridCol w:w="1375"/>
        <w:gridCol w:w="1383"/>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 net of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settlement of common stock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share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capped call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transactions,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 of Uniti Group Inc. included in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 – Condensed Financial Information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Registrant (Parent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Background and Basis of Presentation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Inc.’s ("Uniti" or "the Company") parent company financial information has been derived from its consolidated financial statements and should be read in conjunction with the consolidated financial statements and notes of Uniti and its subsidiaries included in Item 8 "Financial Statements and Supplementary Data"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shd w:fill="FFFFFF" w:val="clear"/>
        </w:rPr>
        <w:t xml:space="preserve">Note 2. </w:t>
      </w:r>
      <w:r>
        <w:rPr>
          <w:rFonts w:ascii="Times New Roman;sans-serif" w:hAnsi="Times New Roman;sans-serif"/>
          <w:b/>
          <w:color w:val="000000"/>
          <w:sz w:val="20"/>
        </w:rPr>
        <w:t>Subsidiary Transactions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 in Subsidiaries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2017, the parent company completed its reorganization (the “up-REIT Reorganization”) to operate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consisted of Talk America Services, LLC. We substantially completed the wind down of the Consumer CLEC Business as of the end of the second quarter of 2020. The up-REIT structure is intended to facilitate future acquisition opportunities by providing the Company with the ability to use common units of the Operating Partnership as a tax-efficient acquisition currency. As of December 31, 2023, Uniti is the sole general partner of the Operating Partnership and own approximately 99.96% of the partnership interests in the Operating Partnership.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received from subsidiaries and recorded in Cash Flow from Operating Activities in the Condensed Statement of Cash Flows were $106.4 million, $141.4 million and $139.9 million for the year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 – 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686"/>
        <w:gridCol w:w="600"/>
        <w:gridCol w:w="548"/>
        <w:gridCol w:w="109"/>
        <w:gridCol w:w="109"/>
        <w:gridCol w:w="109"/>
        <w:gridCol w:w="346"/>
        <w:gridCol w:w="1013"/>
        <w:gridCol w:w="179"/>
        <w:gridCol w:w="109"/>
        <w:gridCol w:w="109"/>
        <w:gridCol w:w="109"/>
        <w:gridCol w:w="341"/>
        <w:gridCol w:w="995"/>
        <w:gridCol w:w="175"/>
        <w:gridCol w:w="109"/>
        <w:gridCol w:w="109"/>
        <w:gridCol w:w="109"/>
        <w:gridCol w:w="382"/>
        <w:gridCol w:w="734"/>
        <w:gridCol w:w="199"/>
        <w:gridCol w:w="109"/>
        <w:gridCol w:w="109"/>
        <w:gridCol w:w="109"/>
        <w:gridCol w:w="211"/>
        <w:gridCol w:w="658"/>
        <w:gridCol w:w="109"/>
        <w:gridCol w:w="109"/>
        <w:gridCol w:w="109"/>
        <w:gridCol w:w="109"/>
        <w:gridCol w:w="298"/>
        <w:gridCol w:w="871"/>
        <w:gridCol w:w="225"/>
      </w:tblGrid>
      <w:tr>
        <w:trPr/>
        <w:tc>
          <w:tcPr>
            <w:tcW w:w="68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Column 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Column E</w:t>
            </w:r>
          </w:p>
        </w:tc>
      </w:tr>
      <w:tr>
        <w:trPr/>
        <w:tc>
          <w:tcPr>
            <w:tcW w:w="1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Charged to Cost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Charged to 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Deductions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at End of Period</w:t>
            </w:r>
          </w:p>
        </w:tc>
      </w:tr>
      <w:tr>
        <w:trPr/>
        <w:tc>
          <w:tcPr>
            <w:tcW w:w="1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III – Real Estate Investments and Accumulated Depreciation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1877" w:type="dxa"/>
        <w:jc w:val="center"/>
        <w:tblInd w:w="0" w:type="dxa"/>
        <w:tblLayout w:type="fixed"/>
        <w:tblCellMar>
          <w:top w:w="28" w:type="dxa"/>
          <w:left w:w="28" w:type="dxa"/>
          <w:bottom w:w="28" w:type="dxa"/>
          <w:right w:w="28" w:type="dxa"/>
        </w:tblCellMar>
      </w:tblPr>
      <w:tblGrid>
        <w:gridCol w:w="458"/>
        <w:gridCol w:w="403"/>
        <w:gridCol w:w="415"/>
        <w:gridCol w:w="109"/>
        <w:gridCol w:w="109"/>
        <w:gridCol w:w="109"/>
        <w:gridCol w:w="270"/>
        <w:gridCol w:w="520"/>
        <w:gridCol w:w="141"/>
        <w:gridCol w:w="109"/>
        <w:gridCol w:w="109"/>
        <w:gridCol w:w="109"/>
        <w:gridCol w:w="219"/>
        <w:gridCol w:w="219"/>
        <w:gridCol w:w="223"/>
        <w:gridCol w:w="109"/>
        <w:gridCol w:w="109"/>
        <w:gridCol w:w="109"/>
        <w:gridCol w:w="311"/>
        <w:gridCol w:w="311"/>
        <w:gridCol w:w="309"/>
        <w:gridCol w:w="109"/>
        <w:gridCol w:w="109"/>
        <w:gridCol w:w="109"/>
        <w:gridCol w:w="218"/>
        <w:gridCol w:w="109"/>
        <w:gridCol w:w="109"/>
        <w:gridCol w:w="109"/>
        <w:gridCol w:w="109"/>
        <w:gridCol w:w="109"/>
        <w:gridCol w:w="255"/>
        <w:gridCol w:w="721"/>
        <w:gridCol w:w="109"/>
        <w:gridCol w:w="109"/>
        <w:gridCol w:w="109"/>
        <w:gridCol w:w="109"/>
        <w:gridCol w:w="469"/>
        <w:gridCol w:w="507"/>
        <w:gridCol w:w="130"/>
        <w:gridCol w:w="109"/>
        <w:gridCol w:w="109"/>
        <w:gridCol w:w="109"/>
        <w:gridCol w:w="299"/>
        <w:gridCol w:w="299"/>
        <w:gridCol w:w="303"/>
        <w:gridCol w:w="109"/>
        <w:gridCol w:w="109"/>
        <w:gridCol w:w="109"/>
        <w:gridCol w:w="219"/>
        <w:gridCol w:w="219"/>
        <w:gridCol w:w="223"/>
        <w:gridCol w:w="109"/>
        <w:gridCol w:w="109"/>
        <w:gridCol w:w="109"/>
        <w:gridCol w:w="319"/>
        <w:gridCol w:w="259"/>
        <w:gridCol w:w="368"/>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 I</w:t>
            </w:r>
          </w:p>
        </w:tc>
      </w:tr>
      <w:tr>
        <w:trPr/>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4"/>
              </w:rPr>
              <w:t>Cost capitalized subsequent to acquisition</w:t>
            </w:r>
            <w:r>
              <w:rPr>
                <w:rFonts w:ascii="Times New Roman;sans-serif" w:hAnsi="Times New Roman;sans-serif"/>
                <w:b w:val="false"/>
                <w:color w:val="000000"/>
                <w:sz w:val="9"/>
              </w:rPr>
              <w:t>(1)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Life on which Depreciation in Latest Income</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Encumbrances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4"/>
              </w:rPr>
              <w:t>Initial cost to company</w:t>
            </w:r>
            <w:r>
              <w:rPr>
                <w:rFonts w:ascii="Times New Roman;sans-serif" w:hAnsi="Times New Roman;sans-serif"/>
                <w:b w:val="false"/>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Carry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4"/>
              </w:rPr>
              <w:t>Gross Amount Carried at Close of Period</w:t>
            </w:r>
            <w:r>
              <w:rPr>
                <w:rFonts w:ascii="Times New Roman;sans-serif" w:hAnsi="Times New Roman;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4"/>
              </w:rPr>
              <w:t>Date of Construction</w:t>
            </w:r>
            <w:r>
              <w:rPr>
                <w:rFonts w:ascii="Times New Roman;sans-serif" w:hAnsi="Times New Roman;sans-serif"/>
                <w:b w:val="false"/>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4"/>
              </w:rPr>
              <w:t>Date Acquired</w:t>
            </w:r>
            <w:r>
              <w:rPr>
                <w:rFonts w:ascii="Times New Roman;sans-serif" w:hAnsi="Times New Roman;sans-serif"/>
                <w:b w:val="false"/>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Statements is Computed</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3 - 40 years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3,480,791 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15 - 20 years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See Note 3</w:t>
            </w:r>
          </w:p>
        </w:tc>
      </w:tr>
    </w:tbl>
    <w:p>
      <w:pPr>
        <w:pStyle w:val="TextBody"/>
        <w:bidi w:val="0"/>
        <w:spacing w:lineRule="auto" w:line="288" w:before="0" w:after="0"/>
        <w:ind w:left="0" w:right="0" w:hanging="245"/>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Given the voluminous nature and variety of our real estate investment assets, this schedule omits columns C and D from the schedule III presentation.</w:t>
      </w:r>
    </w:p>
    <w:p>
      <w:pPr>
        <w:pStyle w:val="TextBody"/>
        <w:bidi w:val="0"/>
        <w:spacing w:lineRule="auto" w:line="288" w:before="0" w:after="0"/>
        <w:ind w:left="0" w:right="0" w:hanging="245"/>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Because additions and improvements to our real estate investment assets are ongoing, construction and acquisition dates are not applicable.</w:t>
      </w:r>
    </w:p>
    <w:p>
      <w:pPr>
        <w:pStyle w:val="TextBody"/>
        <w:bidi w:val="0"/>
        <w:spacing w:lineRule="auto" w:line="288" w:before="0" w:after="0"/>
        <w:ind w:left="0" w:right="0" w:hanging="245"/>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the year ended December 31, 2023, the amount of capitalized costs related to the Distribution Systems is as follows (millions): </w:t>
      </w:r>
    </w:p>
    <w:tbl>
      <w:tblPr>
        <w:tblW w:w="3665" w:type="dxa"/>
        <w:jc w:val="left"/>
        <w:tblInd w:w="0" w:type="dxa"/>
        <w:tblLayout w:type="fixed"/>
        <w:tblCellMar>
          <w:top w:w="28" w:type="dxa"/>
          <w:left w:w="28" w:type="dxa"/>
          <w:bottom w:w="28" w:type="dxa"/>
          <w:right w:w="28" w:type="dxa"/>
        </w:tblCellMar>
      </w:tblPr>
      <w:tblGrid>
        <w:gridCol w:w="972"/>
        <w:gridCol w:w="855"/>
        <w:gridCol w:w="857"/>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Tenant capital improvements</w:t>
            </w:r>
            <w:r>
              <w:rPr>
                <w:rFonts w:ascii="Times New Roman;sans-serif" w:hAnsi="Times New Roman;sans-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Growth capital improvements</w:t>
            </w:r>
            <w:r>
              <w:rPr>
                <w:rFonts w:ascii="Times New Roman;sans-serif" w:hAnsi="Times New Roman;sans-serif"/>
                <w:b w:val="false"/>
                <w:color w:val="000000"/>
                <w:sz w:val="13"/>
              </w:rPr>
              <w:t>(5)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45"/>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Tenant capital improvements (“TCIs”)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 </w:t>
      </w:r>
    </w:p>
    <w:p>
      <w:pPr>
        <w:pStyle w:val="TextBody"/>
        <w:bidi w:val="0"/>
        <w:spacing w:lineRule="auto" w:line="288" w:before="0" w:after="0"/>
        <w:ind w:left="0" w:right="0" w:hanging="245"/>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w:t>
      </w:r>
    </w:p>
    <w:p>
      <w:pPr>
        <w:pStyle w:val="TextBody"/>
        <w:bidi w:val="0"/>
        <w:spacing w:lineRule="auto" w:line="288" w:before="0" w:after="0"/>
        <w:ind w:left="0" w:right="0" w:hanging="245"/>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Aggregate cost for Federal income tax purposes related to our real estate investment assets is $7.7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w10:wrap type="none"/>
              </v:rect>
            </w:pict>
          </mc:Fallback>
        </mc:AlternateContent>
      </w:r>
    </w:p>
    <w:p>
      <w:pPr>
        <w:pStyle w:val="TextBody"/>
        <w:bidi w:val="0"/>
        <w:spacing w:lineRule="auto" w:line="276" w:before="0" w:after="0"/>
        <w:jc w:val="left"/>
        <w:rPr/>
      </w:pPr>
      <w:hyperlink w:anchor="i374575ee8ecb4d8c9aaa6bdb34828ed2_7">
        <w:r>
          <w:rPr>
            <w:rStyle w:val="InternetLink"/>
            <w:rFonts w:ascii="Times New Roman;sans-serif" w:hAnsi="Times New Roman;sans-serif"/>
            <w:b w:val="false"/>
            <w:color w:val="0000EE"/>
            <w:sz w:val="20"/>
            <w:u w:val="single"/>
          </w:rPr>
          <w:t>Table of Contents</w:t>
        </w:r>
      </w:hyperlink>
      <w:r>
        <w:rPr>
          <w:color w:val="0000EE"/>
        </w:rPr>
        <w:t xml:space="preserve">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III – Real Estate Investments and Accumulated Depreciation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1790"/>
        <w:gridCol w:w="1345"/>
        <w:gridCol w:w="1350"/>
        <w:gridCol w:w="407"/>
        <w:gridCol w:w="1883"/>
        <w:gridCol w:w="210"/>
        <w:gridCol w:w="210"/>
        <w:gridCol w:w="210"/>
        <w:gridCol w:w="210"/>
        <w:gridCol w:w="407"/>
        <w:gridCol w:w="1883"/>
        <w:gridCol w:w="300"/>
      </w:tblGrid>
      <w:tr>
        <w:trPr/>
        <w:tc>
          <w:tcPr>
            <w:tcW w:w="179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 at beginning</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8,066,830 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7,742,069 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Tenant capital improvements</w:t>
            </w:r>
            <w:r>
              <w:rPr>
                <w:rFonts w:ascii="Times New Roman;sans-serif" w:hAnsi="Times New Roman;sans-serif"/>
                <w:b w:val="false"/>
                <w:color w:val="000000"/>
                <w:sz w:val="13"/>
              </w:rPr>
              <w:t>(1)</w:t>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Growth capital improvements</w:t>
            </w:r>
            <w:r>
              <w:rPr>
                <w:rFonts w:ascii="Times New Roman;sans-serif" w:hAnsi="Times New Roman;sans-serif"/>
                <w:b w:val="false"/>
                <w:color w:val="000000"/>
                <w:sz w:val="13"/>
              </w:rPr>
              <w:t>(1)</w:t>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237,986 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additions</w:t>
            </w:r>
          </w:p>
        </w:tc>
        <w:tc>
          <w:tcPr>
            <w:tcW w:w="2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410,866 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350,234 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sold or disposed</w:t>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deductions</w:t>
            </w:r>
          </w:p>
        </w:tc>
        <w:tc>
          <w:tcPr>
            <w:tcW w:w="2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25,473 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8,395,630 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8,066,830 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During the year ended December 31, 2023, TCIs totaled $167.8 million, offset by $35.1 million which represented the reimbursement of Growth Capital Improvements completed in 2022 that were previously classified as TCIs and are included within the Growth Capital Improvement additions of $250.0 million.</w:t>
            </w:r>
          </w:p>
        </w:tc>
      </w:tr>
    </w:tbl>
    <w:tbl>
      <w:tblPr>
        <w:tblW w:w="8244" w:type="dxa"/>
        <w:jc w:val="center"/>
        <w:tblInd w:w="0" w:type="dxa"/>
        <w:tblLayout w:type="fixed"/>
        <w:tblCellMar>
          <w:top w:w="28" w:type="dxa"/>
          <w:left w:w="28" w:type="dxa"/>
          <w:bottom w:w="28" w:type="dxa"/>
          <w:right w:w="28" w:type="dxa"/>
        </w:tblCellMar>
      </w:tblPr>
      <w:tblGrid>
        <w:gridCol w:w="1914"/>
        <w:gridCol w:w="1681"/>
        <w:gridCol w:w="1685"/>
        <w:gridCol w:w="211"/>
        <w:gridCol w:w="976"/>
        <w:gridCol w:w="109"/>
        <w:gridCol w:w="109"/>
        <w:gridCol w:w="109"/>
        <w:gridCol w:w="109"/>
        <w:gridCol w:w="211"/>
        <w:gridCol w:w="976"/>
        <w:gridCol w:w="154"/>
      </w:tblGrid>
      <w:tr>
        <w:trPr/>
        <w:tc>
          <w:tcPr>
            <w:tcW w:w="191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amount of accumulated depreciation at beginning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additions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accumulated depreciation for assets sold or disposed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deductions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w10:wrap type="none"/>
              </v:rect>
            </w:pict>
          </mc:Fallback>
        </mc:AlternateContent>
      </w:r>
    </w:p>
    <w:p>
      <w:pPr>
        <w:pStyle w:val="TextBody"/>
        <w:bidi w:val="0"/>
        <w:spacing w:lineRule="auto" w:line="240" w:before="240" w:after="283"/>
        <w:jc w:val="right"/>
        <w:rPr>
          <w:rFonts w:ascii="Times New Roman;sans-serif" w:hAnsi="Times New Roman;sans-serif"/>
          <w:b/>
          <w:color w:val="000000"/>
          <w:sz w:val="22"/>
        </w:rPr>
      </w:pPr>
      <w:r>
        <w:rPr>
          <w:rFonts w:ascii="Times New Roman;sans-serif" w:hAnsi="Times New Roman;sans-serif"/>
          <w:b/>
          <w:color w:val="000000"/>
          <w:sz w:val="22"/>
        </w:rPr>
        <w:t>Exhibit 4.1</w:t>
      </w:r>
    </w:p>
    <w:p>
      <w:pPr>
        <w:pStyle w:val="TextBody"/>
        <w:bidi w:val="0"/>
        <w:spacing w:lineRule="auto" w:line="240" w:before="480" w:after="283"/>
        <w:jc w:val="center"/>
        <w:rPr>
          <w:rFonts w:ascii="Times New Roman;sans-serif" w:hAnsi="Times New Roman;sans-serif"/>
          <w:b/>
          <w:color w:val="000000"/>
          <w:sz w:val="22"/>
        </w:rPr>
      </w:pPr>
      <w:r>
        <w:rPr>
          <w:rFonts w:ascii="Times New Roman;sans-serif" w:hAnsi="Times New Roman;sans-serif"/>
          <w:b/>
          <w:color w:val="000000"/>
          <w:sz w:val="22"/>
        </w:rPr>
        <w:t>DESCRIPTION OF THE REGISTRANT’S SECURITIES</w:t>
        <w:br/>
        <w:t>REGISTERED PURSUANT TO SECTION 12 OF THE</w:t>
        <w:br/>
        <w:t>SECURITIES EXCHANGE ACT OF 1934</w:t>
      </w:r>
    </w:p>
    <w:p>
      <w:pPr>
        <w:pStyle w:val="TextBody"/>
        <w:bidi w:val="0"/>
        <w:spacing w:before="0" w:after="160"/>
        <w:jc w:val="both"/>
        <w:rPr/>
      </w:pPr>
      <w:r>
        <w:rPr/>
      </w:r>
    </w:p>
    <w:p>
      <w:pPr>
        <w:pStyle w:val="TextBody"/>
        <w:bidi w:val="0"/>
        <w:spacing w:lineRule="auto" w:line="240" w:before="24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is a brief description of the common stock of Uniti Group Inc., a Maryland corporation (the “Company”), the only class of the Company’s securities registered pursuant to Section 12 of the Securities Exchange Act of 1934, as amended (the “Exchange Act”). This description of the terms of our common stock does not purport to be complete and is subject to and qualified in its entirety by reference to the applicable provisions of the Maryland General Corporation Law (the “MGCL”) and our charter and bylaws. See “Certain Provisions of Maryland Law and of Our Charter and Bylaws,” below. </w:t>
      </w:r>
    </w:p>
    <w:p>
      <w:pPr>
        <w:pStyle w:val="TextBody"/>
        <w:bidi w:val="0"/>
        <w:spacing w:lineRule="auto" w:line="240" w:before="240" w:after="240"/>
        <w:jc w:val="center"/>
        <w:rPr>
          <w:rFonts w:ascii="Times New Roman;sans-serif" w:hAnsi="Times New Roman;sans-serif"/>
          <w:b/>
          <w:color w:val="000000"/>
          <w:sz w:val="22"/>
        </w:rPr>
      </w:pPr>
      <w:r>
        <w:rPr>
          <w:rFonts w:ascii="Times New Roman;sans-serif" w:hAnsi="Times New Roman;sans-serif"/>
          <w:b/>
          <w:color w:val="000000"/>
          <w:sz w:val="22"/>
        </w:rPr>
        <w:t>DESCRIPTION OF COMMON STOCK</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General</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charter authorizes us to issue up to 500,000,000 shares of common stock, $0.0001 par value per share. Our charter authorizes our board of directors, with the approval of a majority of the entire board of directors and without stockholder approval, to amend our charter to increase or decrease the aggregate number of shares of stock or the number of shares of any class or series of stock that we are authorized to issue.</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Under Maryland law, a stockholder generally is not liable for a corporation’s debts or obligations solely as a result of the stockholder’s status as a stockholder. </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Terms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Subject to the preferential rights of any other class or series of our stock and the provisions of our charter that restrict transfer and ownership of our stock discussed in the “Restrictions on Ownership and Transfer” section below, the holders of shares of our common stock are generally entitled to receive dividends on such stock out of assets legally available for distribution to the stockholders when, as and if authorized by our board of directors and declared by us. The holders of shares of our common stock will also be entitled to share ratably in our net assets legally available for distribution to stockholders in the event of our liquidation, dissolution or winding up, after payment of or adequate provision for all known debts and liabilities.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Subject to the rights of any other class or series of our stock and the provisions of our charter that restrict transfer and ownership of our stock discussed in the “Restrictions on Ownership and Transfer” section below, each outstanding share of our common stock entitles the holder to one vote on all matters submitted to a vote of the stockholders, including the election of directors. Under our charter, there is no cumulative voting in the election of directors. Our bylaws require that each director be elected by a plurality of votes cast with respect to such director, except in the case of an uncontested election, in which case our bylaws require that each director be elected by a majority of votes cast with respect to such director.</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shares of our common stock generally have no preference, conversion, exchange, sinking fund, redemption or appraisal rights and have no preemptive rights to subscribe for any of our securities. All outstanding shares of our common stock are fully paid and non-assessable. Subject to the provisions of our charter that restrict transfer and ownership of our stock, all shares of our common stock will have equal dividend, liquidation and other rights. </w:t>
      </w:r>
    </w:p>
    <w:p>
      <w:pPr>
        <w:pStyle w:val="TextBody"/>
        <w:bidi w:val="0"/>
        <w:spacing w:before="0" w:after="16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77495"/>
                <wp:effectExtent l="0" t="0" r="0" b="0"/>
                <wp:wrapNone/>
                <wp:docPr id="123" name="Frame12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Power to Increase or Decrease Authorized Shares of Common Stock and Issue Additional Shares of Common Stock</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charter authorizes our board of directors, with the approval of a majority of the entire board of directors and without stockholder approval, to amend our charter from time to time to increase or decrease the aggregate number of shares of common stock or the number of shares of any class or series of stock that we have the authority to issue.</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We believe that the power of our board of directors to amend our charter to increase or decrease the aggregate number of authorized shares of common stock and to authorize us to issue additional authorized but unissued shares of our common stock provides us with increased flexibility in structuring possible future financings and acquisitions and in meeting other needs that might arise. The additional classes or series, as well as the additional authorized shares of our common stock, will be available for issuance without further action by our stockholders, unless such action is required by applicable law, the terms of any class or series of preferred stock that we may issue in the future or the rules of any stock exchange or automated quotation system on which our securities may be listed or traded. Our board of directors could authorize us to issue a class or series of stock that could, depending upon the terms of the particular class or series, delay, defer or prevent a transaction or a change of control of the Company that might involve a premium price for holders of our common stock or that our common stockholders otherwise believe to be in their best interests.</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Transfer Agent and Registrar</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registrar and transfer agent for our common stock is EQ Shareowner Services.</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Listing</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common stock is listed on the NASDAQ Global Select Market (“NASDAQ”) under the symbol “UNIT.”</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Restrictions on Ownership and Transfer</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In order for us to qualify as a REIT under the Internal Revenue Code (“Code”),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our stock may be owned, beneficially or constructively, by five or fewer individuals (as defined in the Code to include certain entities such as qualified pension plans) during the last half of a taxable year (other than the first year for which an election to be a REIT has been made). In addition, rent from related-party tenants (generally, a tenant of a REIT owned, beneficially or constructively, 10% or more by the REIT, or a 10% owner of the REIT) is not qualifying income for purposes of the gross income tests under the Code. To qualify as a REIT, we must satisfy other requirements as well.</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charter contains restrictions on the transfer and ownership of our stock. The relevant sections of our charter provide that, subject to the exceptions described below, no person or entity may beneficially own, or be deemed to own by virtue of the applicable constructive ownership provisions of the Code, more than 9.8% in value or in number, whichever is more restrictive, of the outstanding shares of our common stock or more than 9.8% in value of the aggregate of the outstanding shares of all classes and series of our stock. These limits are collectively referred to herein as the “ownership limits.” The constructive ownership rules under the Code are complex and may cause stock owned beneficially or constructively by a group of related individuals or entities to be owned constructively by one individual or entity. As a result, the acquisition of less than 9.8% of our outstanding common stock or less than 9.8% of our outstanding capital stock, or the acquisition of an interest in an entity that beneficially or constructively owns our stock, could, nevertheless, cause the acquiror, or another individual or entity, to own constructively shares of our outstanding stock in excess of the ownership limits.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Upon receipt of certain representations and agreements and in its sole and absolute discretion, our board of directors is able to, prospectively or retroactively, exempt a person from the ownership limits or establish a different limit on ownership, or an excepted holder limit, for a particular stockholder if the </w:t>
      </w:r>
    </w:p>
    <w:p>
      <w:pPr>
        <w:pStyle w:val="TextBody"/>
        <w:bidi w:val="0"/>
        <w:spacing w:before="0" w:after="16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77495"/>
                <wp:effectExtent l="0" t="0" r="0" b="0"/>
                <wp:wrapNone/>
                <wp:docPr id="124" name="Frame12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stockholder’s ownership in excess of the ownership limits would not result in us being “closely held” under Section 856(h) of the Code or otherwise failing to qualify as a REIT. As a condition of granting a waiver of the ownership limits or creating an excepted holder limit, our board of directors will be able to, but is not required to, require an IRS ruling or opinion of counsel satisfactory to our board of directors (in its sole discretion) as it may deem necessary or advisable to determine or ensure our status as a REIT.</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board of directors is also able to, from time to time, increase or decrease the ownership limits unless, after giving effect to the increased or decreased ownership limits, five or fewer persons could beneficially own or constructively own, in the aggregate, more than 49.9% in value of our outstanding stock or we would otherwise fail to qualify as a REIT. Decreased ownership limits will not apply to any person or entity whose ownership of our stock is in excess of the decreased ownership limits until the person or entity’s ownership of our stock equals or falls below the decreased ownership limits, but any further acquisition of our stock will be in violation of the decreased ownership limits.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charter also prohibits:</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person from beneficially or constructively owning shares of our stock to the extent such beneficial or constructive ownership would result in us being “closely held” under Section 856(h) of the Code or otherwise cause us to fail to qualify as a REIT;</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person from transferring shares of our stock if the transfer would result in shares of our stock being beneficially owned by fewer than 100 persons;</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person from beneficially owning shares of our stock to the extent such ownership would result in our failing to qualify as a “domestically controlled qualified investment entity,” within the meaning of Section 897(h) of the Code;</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person from beneficially or constructively owning shares of our stock to the extent such beneficial or constructive ownership would cause us to own, beneficially or constructively, more than a 9.9% interest (as set forth in Section 856(d)(2)(B) of the Code) in a tenant of our real property; and</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person from constructively owning shares of our stock to the extent such constructive ownership would cause any “eligible independent contractor” that operates a “qualified health care property” on behalf of a “taxable REIT subsidiary” (a “TRS”) of ours (as such terms are defined in Sections 856(d)(9)(A), 856(e)(6)(D)(i) and 856(l) of the Code, respectively) to fail to qualify as such.</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Any person who acquires or attempts or intends to acquire beneficial or constructive ownership of shares of our stock that will or may violate the ownership limits, or any of the other restrictions on transfer and ownership of our stock, and any person who is the intended transferee of shares of our stock that are transferred to the charitable trust described below, will be required to give immediate written notice and, in the case of a proposed transaction, at least 15 days prior written notice, to us and provide us with such other information as we may request in order to determine the effect of the transfer on our status as a REIT. The provisions of our charter regarding restrictions on transfer and ownership of our stock will not apply if our board of directors determines that it is no longer in our best interests to attempt to qualify, or to continue to qualify, as a REIT.</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Any attempted transfer of our stock which, if effective, would result in our stock being beneficially owned by fewer than 100 persons will be null and void and the proposed transferee will acquire no rights in such shares of our stock. Any attempted transfer of our stock which, if effective, would violate any of the other restrictions described above will cause the number of shares causing the violation (rounded up to the nearest whole share) to be automatically transferred to a trust for the exclusive benefit of one or more charitable beneficiaries, and the proposed transferee will not acquire any rights in the shares. The trustee of the trust will be appointed by us and will be unaffiliated with us and any proposed transferee of the shares. The automatic transfer will be effective as of the close of business on the business day prior to the date of the violative transfer or other event that results in a transfer to the trust. If the transfer to the trust as described above is not automatically effective, for any reason, to prevent violation of the applicable </w:t>
      </w:r>
    </w:p>
    <w:p>
      <w:pPr>
        <w:pStyle w:val="TextBody"/>
        <w:bidi w:val="0"/>
        <w:spacing w:before="0" w:after="16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77495"/>
                <wp:effectExtent l="0" t="0" r="0" b="0"/>
                <wp:wrapNone/>
                <wp:docPr id="125" name="Frame12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restrictions on transfer and ownership of our stock, then the transfer of the shares will be null and void and the proposed transferee will acquire no rights in such shares.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Shares of our stock held in trust will be issued and outstanding shares. The proposed transferee will not benefit economically from ownership of any shares of our stock held in the trust, will have no rights to dividends and no rights to vote or other rights attributable to the shares of stock held in the trust. The trustee of the trust will exercise all voting rights and receive all dividends and other distributions with respect to shares held in the trust for the exclusive benefit of the charitable beneficiary of the trust. Any dividend or other distribution paid prior to our discovery that shares have been transferred to a trust as described above must be repaid by the recipient to the trustee upon demand. Subject to Maryland law, effective as of the date that the shares have been transferred to the trust, the trustee will have the authority, at the trustee’s sole discretion, to rescind as void any vote cast by a proposed transferee prior to our discovery that the shares have been transferred to the trust and to recast the vote in accordance with the desires of the trustee acting for the benefit of the charitable beneficiary of the trust. However, if we have already taken irreversible corporate action, then the trustee may not rescind and recast the vote.</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If our board of directors or a committee thereof determines in good faith that a proposed transfer or other event has taken place that violates the restrictions on transfer and ownership of our stock set forth in our charter, our board of directors or such committee may take such action as it deems advisable to refuse to give effect to or to prevent such transfer, including, but not limited to, causing us to redeem shares of stock, refusing to give effect to the transfer on our books or instituting proceedings to enjoin the transfer; provided that any transfer or other event in violation of the above restrictions shall automatically result in the transfer to the trust described above, and, where applicable, such transfer or other event shall be null and void as provided above irrespective of any action or non-action by our board of directors or any committee or designee thereof.</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Shares of stock transferred to the trustee will be deemed offered for sale to us, or our designee, at a price per share equal to the lesser of (1) the price paid per share in the transaction that resulted in such transfer to the charitable trust (or, in the case of a devise or gift, the market price of such stock at the time of such devise or gift) and (2) the market price of such stock on the date we, or our designee, accept such offer. We may reduce the amount so payable to the trustee by the amount of any dividend or other distribution that we made to the proposed transferee before we discovered that the shares had been automatically transferred to the trust and that are then owed by the proposed transferee to the trustee as described above, and we may pay the amount of any such reduction to the trustee for distribution to the charitable beneficiary. We will have the right to accept such offer until the trustee has sold the shares held in the charitable trust, as discussed below. Upon a sale to us, the interest of the charitable beneficiary in the shares sold will terminate and the trustee will be required to distribute the net proceeds of the sale to the proposed transferee, and any distributions held by the trustee with respect to such shares to the charitable beneficiary.</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we do not buy the shares, the trustee will be required, within 20 days of receiving notice from us of a transfer of shares to the trust, to sell the shares to a person or entity designated by the trustee who could own the shares without violating the ownership limits, or the other restrictions on transfer and ownership of our stock. After selling the shares, the interest of the charitable beneficiary in the shares transferred to the trust will terminate and the trustee will be required to distribute to the proposed transferee an amount equal to the lesser of (1) the price paid by the proposed transferee for the shares or, if the proposed transferee did not give value for the shares in connection with the event causing the shares to be held by the trust (e.g., in the case of a gift, devise or other such transaction), the market price of such stock on the day of the event causing the shares to be held by the trust and (2) the sales proceeds (net of any commissions and other expenses of sale) received by the trustee from the sale or other disposition of the shares. The trustee may reduce the amount payable to the proposed transferee by the amount of any dividends or other distributions that we paid to the proposed transferee before we discovered that the shares had been automatically transferred to the trust and that are then owed by the proposed transferee to the trustee as described above. Any net sales proceeds in excess of the amount payable to the proposed transferee will be paid immediately to the charitable beneficiary, together with any distributions thereon. If the proposed transferee sells such shares prior to the discovery that such shares have been transferred to the trustee, then (a) such shares shall be deemed to have been sold on behalf of the trust and (b) to the extent that the proposed transferee received an amount for such shares that exceeds the amount that such proposed transferee would have received if such shares had been sold by the trustee, such excess shall be </w:t>
      </w:r>
    </w:p>
    <w:p>
      <w:pPr>
        <w:pStyle w:val="TextBody"/>
        <w:bidi w:val="0"/>
        <w:spacing w:before="0" w:after="16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77495"/>
                <wp:effectExtent l="0" t="0" r="0" b="0"/>
                <wp:wrapNone/>
                <wp:docPr id="126" name="Frame125"/>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paid to the trustee upon demand. The proposed transferee will have no rights in the shares held by the trustee.</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Any certificates representing shares of our stock will bear a legend referring to the restrictions on transfer and ownership described above.</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Every owner of 5% or more (or such lower percentage as required by the Code or the regulations promulgated thereunder) of our stock, within 30 days after the end of each taxable year, will be required to give us written notice stating the person’s name and address, the number of shares of each class and series of our stock that the person beneficially owns, a description of the manner in which the shares are held and any additional information that we request in order to determine the effect, if any, of the person’s beneficial ownership on our status as a REIT and to ensure compliance with the ownership limits. In addition, any beneficial owner or constructive owner of shares of our stock and any person or entity (including the stockholder of record) who holds shares of our stock for a beneficial owner or constructive owner will be required to, on request, disclose to us in writing such information as we may request in order to determine the effect, if any, of the stockholder’s beneficial and constructive ownership of our stock on our status as a REIT and to comply, or determine our compliance with, the requirements of any governmental or taxing authority.</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restrictions on transfer and ownership described above could have the effect of delaying, deferring or preventing a change of control in which holders of shares of our stock might receive a premium for their shares over the then prevailing price.</w:t>
      </w:r>
    </w:p>
    <w:p>
      <w:pPr>
        <w:pStyle w:val="TextBody"/>
        <w:bidi w:val="0"/>
        <w:spacing w:lineRule="auto" w:line="240" w:before="0" w:after="200"/>
        <w:jc w:val="center"/>
        <w:rPr>
          <w:rFonts w:ascii="Times New Roman;sans-serif" w:hAnsi="Times New Roman;sans-serif"/>
          <w:b/>
          <w:color w:val="000000"/>
          <w:sz w:val="22"/>
        </w:rPr>
      </w:pPr>
      <w:r>
        <w:rPr>
          <w:rFonts w:ascii="Times New Roman;sans-serif" w:hAnsi="Times New Roman;sans-serif"/>
          <w:b/>
          <w:color w:val="000000"/>
          <w:sz w:val="22"/>
        </w:rPr>
        <w:t>CERTAIN PROVISIONS OF MARYLAND LAW AND OF OUR CHARTER AND BYLAWS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summary of certain provisions of Maryland law and of our charter and bylaws does not purport to be complete and is subject to and qualified in its entirety by reference to our charter and bylaws, copies of which are filed with, or incorporated by reference, as exhibits to the Annual Report on Form 10-K to which this description is attached, and to the MGCL. </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Amendments to Our Charter and Bylaws and Approval of Extraordinary Actions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Under Maryland law, a Maryland corporation generally cannot amend its charter, merge, consolidate, sell all or substantially all of its assets, engage in a statutory share exchange or dissolve unless the action is advised by the board of directors and approved by the affirmative vote of stockholders entitled to cast at least two-thirds of the votes entitled to be cast on the matter. However, a Maryland corporation may provide in its charter for approval of these actions by a lesser percentage, but not less than a majority of all of the votes entitled to be cast on the matter. Our charter provides that the affirmative vote of the holders of at least a majority in voting power of our outstanding stock is required to approve all charter amendments or extraordinary actions. However, Maryland law permits a Maryland corporation to transfer all or substantially all of its assets without the approval of the stockholders of the corporation to one or more persons if all of the equity interests of the person or persons are owned, directly or indirectly, by the corporation.</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charter also requires the affirmative vote of the holders of at least a majority in voting power of our outstanding stock to amend the provisions of the charter relating to the restrictions on transfer and ownership of our stock, amendment of our bylaws, limitation of liability and indemnification of directors and officers, stockholder action and the inability of stockholders to act by written consent, and the amendment of the provision of our charter regarding amendments.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board of directors has the authority, without any action by our stockholders, to amend the Company’s charter from time to time to increase or decrease the aggregate number of shares of stock or the number of shares of stock of any class or series that the Company has authority to issue.</w:t>
      </w:r>
    </w:p>
    <w:p>
      <w:pPr>
        <w:pStyle w:val="TextBody"/>
        <w:bidi w:val="0"/>
        <w:spacing w:lineRule="auto" w:line="240" w:before="0" w:after="200"/>
        <w:jc w:val="left"/>
        <w:rPr/>
      </w:pPr>
      <w:r>
        <w:rPr>
          <w:rFonts w:ascii="Times New Roman;sans-serif" w:hAnsi="Times New Roman;sans-serif"/>
          <w:b w:val="false"/>
          <w:color w:val="000000"/>
          <w:sz w:val="22"/>
        </w:rPr>
        <w:t xml:space="preserve">Any and all provisions of the bylaws may be repealed, altered, amended, or rescinded and new bylaws may be adopted (a) by the stockholders at any annual meeting of the stockholders or at any special meeting called for that purpose (provided that notice of such proposal is included in the notice of such meeting) and (b) by the </w:t>
      </w:r>
      <w:r>
        <w:rPr>
          <w:rFonts w:ascii="Times New Roman;sans-serif" w:hAnsi="Times New Roman;sans-serif"/>
          <w:b w:val="false"/>
          <w:color w:val="000000"/>
          <w:sz w:val="20"/>
        </w:rPr>
        <w:t>b</w:t>
      </w:r>
      <w:r>
        <w:rPr>
          <w:rFonts w:ascii="Times New Roman;sans-serif" w:hAnsi="Times New Roman;sans-serif"/>
          <w:b w:val="false"/>
          <w:color w:val="000000"/>
          <w:sz w:val="22"/>
        </w:rPr>
        <w:t xml:space="preserve">oard of </w:t>
      </w:r>
      <w:r>
        <w:rPr>
          <w:rFonts w:ascii="Times New Roman;sans-serif" w:hAnsi="Times New Roman;sans-serif"/>
          <w:b w:val="false"/>
          <w:color w:val="000000"/>
          <w:sz w:val="20"/>
        </w:rPr>
        <w:t>d</w:t>
      </w:r>
      <w:r>
        <w:rPr>
          <w:rFonts w:ascii="Times New Roman;sans-serif" w:hAnsi="Times New Roman;sans-serif"/>
          <w:b w:val="false"/>
          <w:color w:val="000000"/>
          <w:sz w:val="22"/>
        </w:rPr>
        <w:t xml:space="preserve">irectors at any regular or special meeting of the board of directors; </w:t>
      </w:r>
    </w:p>
    <w:p>
      <w:pPr>
        <w:pStyle w:val="TextBody"/>
        <w:bidi w:val="0"/>
        <w:spacing w:before="0" w:after="16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77495"/>
                <wp:effectExtent l="0" t="0" r="0" b="0"/>
                <wp:wrapNone/>
                <wp:docPr id="127" name="Frame12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jc w:val="left"/>
        <w:rPr/>
      </w:pPr>
      <w:r>
        <w:rPr>
          <w:rFonts w:ascii="Times New Roman;sans-serif" w:hAnsi="Times New Roman;sans-serif"/>
          <w:b w:val="false"/>
          <w:color w:val="000000"/>
          <w:sz w:val="22"/>
        </w:rPr>
        <w:t xml:space="preserve">provided, however, the </w:t>
      </w:r>
      <w:r>
        <w:rPr>
          <w:rFonts w:ascii="Times New Roman;sans-serif" w:hAnsi="Times New Roman;sans-serif"/>
          <w:b w:val="false"/>
          <w:color w:val="000000"/>
          <w:sz w:val="20"/>
        </w:rPr>
        <w:t>b</w:t>
      </w:r>
      <w:r>
        <w:rPr>
          <w:rFonts w:ascii="Times New Roman;sans-serif" w:hAnsi="Times New Roman;sans-serif"/>
          <w:b w:val="false"/>
          <w:color w:val="000000"/>
          <w:sz w:val="22"/>
        </w:rPr>
        <w:t xml:space="preserve">oard of </w:t>
      </w:r>
      <w:r>
        <w:rPr>
          <w:rFonts w:ascii="Times New Roman;sans-serif" w:hAnsi="Times New Roman;sans-serif"/>
          <w:b w:val="false"/>
          <w:color w:val="000000"/>
          <w:sz w:val="20"/>
        </w:rPr>
        <w:t>d</w:t>
      </w:r>
      <w:r>
        <w:rPr>
          <w:rFonts w:ascii="Times New Roman;sans-serif" w:hAnsi="Times New Roman;sans-serif"/>
          <w:b w:val="false"/>
          <w:color w:val="000000"/>
          <w:sz w:val="22"/>
        </w:rPr>
        <w:t>irectors does not have the power to alter or repeal any bylaw made by the stockholders.</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Business Combinations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elected not to be governed by the Maryland Business Combination Act. If it were not for this election (which is stated in our charter and can be amended only with the approval of the holders of at least a majority in voting power of our outstanding stock), under the MGCL, certain “business combinations” between us and any interested stockholder or affiliate of an interested stockholder would be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person who beneficially owns, directly or indirectly, 10% or more of the voting power of the corporation’s outstanding voting stock; or</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 affiliate or associate of the corporation who, at any time within the two-year period prior to the date in question, was the beneficial owner of 10% or more of the voting power of the then outstanding voting stock of the corporation.</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A person is not an interested stockholder under the statute if the board of directors approved in advance the transaction by which such person otherwise would have become an interested stockholder. However, in approving a transaction, a board of directors may provide that its approval is subject to compliance, at or after the time of approval, with any terms and conditions determined by the board of directors.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After the five-year prohibition, any business combination between the Maryland corporation and an interested stockholder generally must be recommended by the board of directors of the corporation and approved by the affirmative vote of at least:</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80% of the votes entitled to be cast by holders of outstanding shares of voting stock of the corporation; and</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voting together as a single class.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In light of the election in our charter, however, the five-year prohibition and the supermajority vote requirements will not apply to business combinations between us and any interested stockholder of ours.</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Control Share Acquisitions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exempted all of its shares from the application of the Maryland Control Share Acquisition Act. If it were not for this exemption, Maryland law would provide that issued and outstanding shares of our stock acquired in a control share acquisition have no voting rights except to the extent approved by a vote of two-thirds of the votes entitled to be cast on the matter. Shares owned by the acquiror, by officers or by employees who are directors of the corporation are excluded from shares entitled to vote on the matter. Control shares are voting shares of stock that, if aggregated with all other shares of stock owned by the acquiror or in respect of which the acquiror is able to exercise or direct the exercise of voting power (except solely by virtue of a revocable proxy), would entitle the acquiror to, directly or indirectly, exercise voting power in electing directors within one of the following ranges of voting power:</w:t>
      </w:r>
    </w:p>
    <w:p>
      <w:pPr>
        <w:pStyle w:val="TextBody"/>
        <w:bidi w:val="0"/>
        <w:spacing w:before="0" w:after="16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77495"/>
                <wp:effectExtent l="0" t="0" r="0" b="0"/>
                <wp:wrapNone/>
                <wp:docPr id="128" name="Frame12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one-tenth or more but less than one-third;</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one-third or more but less than a majority; or</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more than 50%.</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Control shares do not include shares the acquiror is then entitled to vote as a result of having previously obtained stockholder approval. A control share acquisition means the acquisition of control shares, subject to certain exceptions.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or waiver of certain conditions, including an undertaking to pay the expenses of the special meeting. If no request for a special meeting is made, the corporation may itself present the question at any stockholder meeting.</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If voting rights are not approved at the special meeting or if the acquiror does not deliver an acquiring person statement as required by the statute, then the corporation may, subject to certain conditions and limitations,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control share acquisition statute does not apply (1) to shares acquired in a merger, consolidation or share exchange if the corporation is a party to the transaction, or (2) to acquisitions approved or exempted by the charter or bylaws of the corporation.</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charter contains a provision that exempts from the control share acquisition statute any and all acquisitions by any person of any shares of our stock. This charter provision can be amended only with the approval of the holders of at least a majority in voting power of our outstanding stock.</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Subtitle 8</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prohibited by its charter from electing to be subject to the “unsolicited takeover” provisions of Subtitle 8 of Title 3 of the MGCL, which permit a Maryland corporation with a class of equity securities registered under the Exchange Act and at least three independent directors to elect to be subject, by provision in its charter or bylaws or by a resolution of its board of directors and notwithstanding any contrary provision in the charter or bylaws, to any or all of five provisions:</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 classified board;</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 two-thirds vote requirement for removing a director;</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 requirement that the number of directors be fixed only by vote of the directors;</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 requirement that a vacancy on the board be filled only by the affirmative vote of a majority of the remaining directors in office and such director shall hold office for the remainder of the full term of the class of directors in which the vacancy occurred and until a successor is elected and qualified; and</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 majority requirement for the calling of a special meeting of stockholders.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This prohibition may be rescinded or amended only with the approval of at least a majority in voting power of our outstanding stock.</w:t>
      </w:r>
    </w:p>
    <w:p>
      <w:pPr>
        <w:pStyle w:val="TextBody"/>
        <w:bidi w:val="0"/>
        <w:spacing w:before="0" w:after="16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77495"/>
                <wp:effectExtent l="0" t="0" r="0" b="0"/>
                <wp:wrapNone/>
                <wp:docPr id="129" name="Frame12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Special Meetings of the Stockholders; Stockholder Action by Written Consent</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charter provides that special meetings of the stockholders may be called at any time by our board of directors or upon the written request of the holders of not less than 20% in voting power of our outstanding stock. Our charter prohibits stockholders from taking any action by written consent in lieu of a meeting for so long as any security of the Company is registered under Section 12 of the Exchange Act.</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Transactions Outside the Ordinary Course of Business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Under the MGCL, a Maryland corporation generally may not dissolve, merge or consolidate with another entity, sell all or substantially all of its assets or engage in a statutory share exchange unless the action is declared advisable by the board of directors and approved by the affirmative vote of stockholders entitled to cast at least two-thirds of the votes entitled to be cast on the matter, unless a lesser percentage (but not less than a majority of all of the votes entitled to be cast on the matter) is specified in the corporation’s charter. Our charter provides that these actions must be approved by a majority in voting power of our outstanding stock.</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Advance Notice of Director Nomination and New Business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bylaws provide that, at any annual meeting of stockholders, nominations of individuals for election to the board of directors and proposals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in the election of directors or on such other proposed business and who has complied with the advance notice procedures of our bylaws. The stockholder generally must provide notice to the secretary not less than 120 days nor more than 150 days prior to the first anniversary of the date of preceding year’s annual meeting (provided that if the date of the annual meeting is changed by more than 30 days from such anniversary date, notice must be received not later than the close of business on the 10th day following the day on which public announcement of the date of such meeting is first made) and, in the case of nominations of individuals for election to the board of directors, complied in all respects with the requirements of Section 14 of the Exchange Act and be determined by the board of directors or an executive officer designated thereby to have satisfied the requirements of the advance notice provisions set forth in our bylaws.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Only the business specified in our notice of meeting may be brought before any special meeting of stockholders. Our bylaws provide that nominations of individuals for election to our board of directors at a special meeting of stockholders may be made only (1) by or at the direction of the board of directors or (2) provided that the special meeting of stockholders has been called for the purpose of electing directors in accordance with our bylaws, by any stockholder of record at the time of provision of the notice and at the time of the meeting, who is entitled to vote at the meeting in the election of each individual so nominated, who has complied with, and provided certain information required by, the advance notice provisions set forth in our bylaws, and (3) the stockholder has complied in all respects with the requirements of Section 14 of the Exchange Act and be determined by the board of directors or an executive officer designated thereby to have satisfied the requirements of the advance notice provisions set forth in our bylaws. In the case of a special meeting, such stockholder will be entitled to nominate one or more individuals, as the case may be, for election as a director if the stockholder’s notice, containing the information required by our bylaws, is delivered to the secretary not earlier than 120 days prior to such special meeting and not later than the later of 90 days prior to such special meeting or the 10th day following the day on which public announcement is first made of the date of the special meeting and of the nominees proposed by the board of directors to be elected at such meeting.</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purpose of requiring stockholders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stockholders and make recommendations regarding the nominations or other proposals. The advance notice procedures will also permit a more orderly procedure for conducting stockholder meetings. The number of nominees a stockholder may nominate for election at a meeting of stockholders (or in the case of a stockholder giving the notice on behalf of another proposing person, the number of </w:t>
      </w:r>
    </w:p>
    <w:p>
      <w:pPr>
        <w:pStyle w:val="TextBody"/>
        <w:bidi w:val="0"/>
        <w:spacing w:before="0" w:after="16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77495"/>
                <wp:effectExtent l="0" t="0" r="0" b="0"/>
                <wp:wrapNone/>
                <wp:docPr id="130" name="Frame129"/>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nominees a stockholder may nominate for election at the meeting on behalf of such proposing person) shall not exceed the number of directors to be elected at such meeting.</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Effect of Certain Provisions of Maryland Law and of Our Charter and Bylaws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restrictions on transfer and ownership of our stock will prohibit any person from acquiring more than 9.8% in value or in number, whichever is more restrictive, of the outstanding shares of our common stock or more than 9.8% in value of the aggregate of the outstanding shares of all classes and series of our stock, without the prior consent of our board of directors. Because our board of directors will be able to approve exceptions to the ownership limits, the ownership limits will not interfere with a merger or other business combination approved by our board of directors.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provisions described above, along with other provisions of the MGCL and our charter and bylaws discussed above, including provisions relating to the removal of directors and the filling of vacancies, the advance notice provisions and the procedures that stockholders will be required to follow to request a special meeting, alone or in combination, could have the effect of delaying, deferring or preventing a proxy contest, tender offer, merger or other change in control of us that might involve a premium price for shares of our common stockholders or otherwise be in the best interest of our stockholders, and could increase the difficulty of consummating any offer.</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Exclusive Forum</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bylaws designate the Circuit Court for Baltimore City, Maryland (and, in some circumstances, other federal and state courts in Maryland) as the exclusive forum for resolving:</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derivative action or proceeding brought on behalf of the Company;</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action asserting a claim for breach of fiduciary duty owed by any director, officer, stockholder, employee or agent of the Company to the Company or its stockholders;</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action asserting a claim against the Company or any director, officer, stockholder, employee or agent of the Company arising out of or relating to any provision of the MGCL, our charter or our bylaws; or</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any action asserting a claim against the Company or any director, officer, stockholder, employee or agent of the Company governed by the internal affairs doctrine of the State of Maryland.</w:t>
      </w:r>
    </w:p>
    <w:p>
      <w:pPr>
        <w:pStyle w:val="TextBody"/>
        <w:bidi w:val="0"/>
        <w:spacing w:lineRule="auto" w:line="240" w:before="0" w:after="200"/>
        <w:jc w:val="left"/>
        <w:rPr>
          <w:rFonts w:ascii="Times New Roman;sans-serif" w:hAnsi="Times New Roman;sans-serif"/>
          <w:b/>
          <w:color w:val="000000"/>
          <w:sz w:val="22"/>
        </w:rPr>
      </w:pPr>
      <w:r>
        <w:rPr>
          <w:rFonts w:ascii="Times New Roman;sans-serif" w:hAnsi="Times New Roman;sans-serif"/>
          <w:b/>
          <w:color w:val="000000"/>
          <w:sz w:val="22"/>
        </w:rPr>
        <w:t>Limitation of Liability and Indemnification of Directors and Executive Officers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Maryland law permits a Maryland corporation to include in its charter a provision that limits the liability of its directors and officers to the corporation and its stockholders for money damages, except for liability resulting from (1) actual receipt of an improper benefit or profit in money, property or services or (2) active or deliberate dishonesty that is established by a final judgment and that is material to the cause of action. Our charter contains a provision that limits, to the maximum extent permitted by Maryland law, the liability of our directors and officers to us and our stockholders for money damages.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Maryland law requires a Maryland corporation (unless otherwise provided in its charter, which our charter does not) to indemnify a director or officer who has been successful, on the merits or otherwise, in the defense of any proceeding to which he or she is made or threatened to be made a party by reason of his or her service in that capacity. Maryland law permits a Maryland corporation (which our charter provides for, to the maximum extent permitted by Maryland law)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that capacity unless it is established that:</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the act or omission of the director or officer was material to the matter giving rise to the proceeding and (1) was committed in bad faith or (2) was the result of active and deliberate dishonesty;</w:t>
      </w:r>
    </w:p>
    <w:p>
      <w:pPr>
        <w:pStyle w:val="TextBody"/>
        <w:bidi w:val="0"/>
        <w:spacing w:before="0" w:after="16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77495"/>
                <wp:effectExtent l="0" t="0" r="0" b="0"/>
                <wp:wrapNone/>
                <wp:docPr id="131" name="Frame13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the director or officer actually received an improper personal benefit in money, property or services; or</w:t>
      </w:r>
    </w:p>
    <w:p>
      <w:pPr>
        <w:pStyle w:val="TextBody"/>
        <w:bidi w:val="0"/>
        <w:spacing w:lineRule="auto" w:line="240" w:before="0" w:after="200"/>
        <w:ind w:left="0" w:right="0" w:hanging="360"/>
        <w:jc w:val="left"/>
        <w:rPr/>
      </w:pPr>
      <w:r>
        <w:rPr>
          <w:color w:val="000000"/>
        </w:rPr>
        <w:t>•</w:t>
      </w:r>
      <w:r>
        <w:rPr>
          <w:rFonts w:ascii="Times New Roman;sans-serif" w:hAnsi="Times New Roman;sans-serif"/>
          <w:b w:val="false"/>
          <w:color w:val="000000"/>
          <w:sz w:val="22"/>
        </w:rPr>
        <w:t>in the case of any criminal proceeding, the director or officer had reasonable cause to believe that the act or omission was unlawful.</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will be limited to expenses.</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Maryland law permits a Maryland corporation (which our charter provides for, to the maximum extent permitted by Maryland law) to advance reasonable expenses to a director or officer upon receipt of (1) a written affirmation by the director or officer of his or her good faith belief that he or she has met the standard of conduct necessary for indemnification and (2) a written undertaking by him or her, or on his or her behalf, to repay the amount paid or reimbursed if it is ultimately determined that the standard of conduct was not met.</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Our charter requires, to the maximum extent permitted by Maryland law, that we indemnify and pay or reimburse the reasonable expenses in advance of the final disposition of a proceeding of (1) any present or former director or officer who is a party to a proceeding (or threatened to be made a party) by reason of his or her service in that capacity, and (2) any individual who, while a director or officer and, at our request, serves or has served as a director, officer, partner, member, manager or trustee of another corporation, REIT, partnership, limited liability company, joint venture, trust, employee benefit plan or other enterprise from and against any claim or liability to which he or she may become subject or which he or she may incur by reason of his or her service in any of the foregoing capacities.</w:t>
      </w:r>
    </w:p>
    <w:p>
      <w:pPr>
        <w:pStyle w:val="TextBody"/>
        <w:bidi w:val="0"/>
        <w:spacing w:lineRule="auto" w:line="240" w:before="0" w:after="200"/>
        <w:jc w:val="left"/>
        <w:rPr/>
      </w:pPr>
      <w:r>
        <w:rPr>
          <w:rFonts w:ascii="Times New Roman;sans-serif" w:hAnsi="Times New Roman;sans-serif"/>
          <w:b w:val="false"/>
          <w:color w:val="000000"/>
          <w:sz w:val="22"/>
        </w:rPr>
        <w:t>In respect to our obligations to provide indemnification to directors and officers for liability arising under the Securities Act of 1933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we have been informed that, in the opinion of the SEC, this indemnification is against public policy as expressed in the Securities Act and it is therefore unenforceable.</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We have entered into an indemnification agreement with each of our directors and executive officers that provide for indemnification of, and advancement of expenses to, each such person in connection with claims, suits or proceedings arising as a result of such person’s service as an officer or director of ours. We also maintain insurance on behalf of our directors and officers, insuring them against liabilities that they may incur in such capacities or arising from this status.</w:t>
      </w:r>
    </w:p>
    <w:p>
      <w:pPr>
        <w:pStyle w:val="TextBody"/>
        <w:bidi w:val="0"/>
        <w:spacing w:before="0" w:after="200"/>
        <w:jc w:val="left"/>
        <w:rPr/>
      </w:pPr>
      <w:r>
        <w:rPr/>
      </w:r>
    </w:p>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77495"/>
                <wp:effectExtent l="0" t="0" r="0" b="0"/>
                <wp:wrapNone/>
                <wp:docPr id="132" name="Frame13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lineRule="auto" w:line="24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4883-7632-0929.1 </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Registrants</w:t>
      </w:r>
    </w:p>
    <w:p>
      <w:pPr>
        <w:pStyle w:val="TextBody"/>
        <w:bidi w:val="0"/>
        <w:spacing w:lineRule="auto" w:line="240" w:before="0" w:after="0"/>
        <w:jc w:val="left"/>
        <w:rPr>
          <w:color w:val="000000"/>
        </w:rPr>
      </w:pPr>
      <w:r>
        <w:rPr>
          <w:color w:val="000000"/>
        </w:rPr>
        <w:t> </w:t>
      </w:r>
    </w:p>
    <w:tbl>
      <w:tblPr>
        <w:tblW w:w="7991" w:type="dxa"/>
        <w:jc w:val="left"/>
        <w:tblInd w:w="0" w:type="dxa"/>
        <w:tblLayout w:type="fixed"/>
        <w:tblCellMar>
          <w:top w:w="28" w:type="dxa"/>
          <w:left w:w="28" w:type="dxa"/>
          <w:bottom w:w="28" w:type="dxa"/>
          <w:right w:w="28" w:type="dxa"/>
        </w:tblCellMar>
      </w:tblPr>
      <w:tblGrid>
        <w:gridCol w:w="1159"/>
        <w:gridCol w:w="1016"/>
        <w:gridCol w:w="1019"/>
        <w:gridCol w:w="109"/>
        <w:gridCol w:w="109"/>
        <w:gridCol w:w="109"/>
        <w:gridCol w:w="1308"/>
        <w:gridCol w:w="1308"/>
        <w:gridCol w:w="1854"/>
      </w:tblGrid>
      <w:tr>
        <w:trPr/>
        <w:tc>
          <w:tcPr>
            <w:tcW w:w="11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r>
      <w:tr>
        <w:trPr/>
        <w:tc>
          <w:tcPr>
            <w:tcW w:w="3194" w:type="dxa"/>
            <w:gridSpan w:val="3"/>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 Connect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Capital,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Contact Network,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Alabama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Arkansas System,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Florida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Georgia Realty,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Georgia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Iowa System,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Kentucky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Mississippi System,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Missouri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National, LP</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National GP,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New Mexico System,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North Carolina Realty,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North Carolina Realty GP,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North Carolina System,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Ohio System,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Oklahoma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Realty,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Tennessee Realty,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Tennessee Realty Partner,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CSL Texas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Hunt Brothers of Louisiana,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Hunt Telecommunications,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Transport Solutions,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Data Systems,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Nexus Systems,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Nexus Wireless,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DC,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DE,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LA,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MA,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MD,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MS,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NJ,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NY Telephone Corp.</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PA,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4077" w:type="dxa"/>
        <w:jc w:val="left"/>
        <w:tblInd w:w="0" w:type="dxa"/>
        <w:tblLayout w:type="fixed"/>
        <w:tblCellMar>
          <w:top w:w="28" w:type="dxa"/>
          <w:left w:w="28" w:type="dxa"/>
          <w:bottom w:w="28" w:type="dxa"/>
          <w:right w:w="28" w:type="dxa"/>
        </w:tblCellMar>
      </w:tblPr>
      <w:tblGrid>
        <w:gridCol w:w="1033"/>
        <w:gridCol w:w="907"/>
        <w:gridCol w:w="909"/>
        <w:gridCol w:w="109"/>
        <w:gridCol w:w="109"/>
        <w:gridCol w:w="109"/>
        <w:gridCol w:w="264"/>
        <w:gridCol w:w="264"/>
        <w:gridCol w:w="373"/>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Services,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TX,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PEG Bandwidth VA,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Light,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Talk America Services, LLC*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Dark Fiber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 Holdings Inc.</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 2020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Finance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Finance 2019 Inc.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LP*</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LP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Holdings GP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Holdings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LATAM GP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LATAM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 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 XI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 XII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National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QRS Holdings GP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QRS Holdings LP</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Towers NMS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Wireless Holdings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 ABS Parent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 Bridge Borrower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 Bridge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 GulfCo LLC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w:t>
      </w:r>
    </w:p>
    <w:p>
      <w:pPr>
        <w:pStyle w:val="TextBody"/>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LP LLC and Talk America Services, LLC are direct, wholly-owned subsidiaries of Uniti Group Inc.  Uniti Group LP is a direct, majority-owned subsidiary of Uniti Group Inc. The remaining subsidiaries are direct or indirect, wholly-owned subsidiaries of Uniti Group LP.</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333" w:before="0" w:after="2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registration statements (Nos. 333-203591, 333-272247 and 333-225501) on Form S-8 and (No. 333-271693) on Form S-3 of our reports dated February 29, 2024, with respect to the consolidated financial statements, of Uniti Group Inc. and the effectiveness of internal control over financial reporting.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br/>
        <w:t>February 29,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Kenneth A. Gunderman, certify that:</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Uniti Group Inc.;</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19" w:type="dxa"/>
        <w:jc w:val="center"/>
        <w:tblInd w:w="0" w:type="dxa"/>
        <w:tblLayout w:type="fixed"/>
        <w:tblCellMar>
          <w:top w:w="28" w:type="dxa"/>
          <w:left w:w="28" w:type="dxa"/>
          <w:bottom w:w="28" w:type="dxa"/>
          <w:right w:w="28" w:type="dxa"/>
        </w:tblCellMar>
      </w:tblPr>
      <w:tblGrid>
        <w:gridCol w:w="754"/>
        <w:gridCol w:w="664"/>
        <w:gridCol w:w="667"/>
        <w:gridCol w:w="134"/>
        <w:gridCol w:w="134"/>
        <w:gridCol w:w="136"/>
        <w:gridCol w:w="975"/>
        <w:gridCol w:w="975"/>
        <w:gridCol w:w="138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Gunderman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E. Bullington, certify that:</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Uniti Group Inc.;</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3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99" w:type="dxa"/>
        <w:jc w:val="center"/>
        <w:tblInd w:w="0" w:type="dxa"/>
        <w:tblLayout w:type="fixed"/>
        <w:tblCellMar>
          <w:top w:w="28" w:type="dxa"/>
          <w:left w:w="28" w:type="dxa"/>
          <w:bottom w:w="28" w:type="dxa"/>
          <w:right w:w="28" w:type="dxa"/>
        </w:tblCellMar>
      </w:tblPr>
      <w:tblGrid>
        <w:gridCol w:w="754"/>
        <w:gridCol w:w="664"/>
        <w:gridCol w:w="667"/>
        <w:gridCol w:w="134"/>
        <w:gridCol w:w="134"/>
        <w:gridCol w:w="136"/>
        <w:gridCol w:w="1200"/>
        <w:gridCol w:w="1200"/>
        <w:gridCol w:w="171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Vice President – Chief Financial Officer</w:t>
              <w:br/>
              <w:t>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Uniti Group Inc. (the “Company”) for the period ending December 31, 2023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819" w:type="dxa"/>
        <w:jc w:val="center"/>
        <w:tblInd w:w="0" w:type="dxa"/>
        <w:tblLayout w:type="fixed"/>
        <w:tblCellMar>
          <w:top w:w="28" w:type="dxa"/>
          <w:left w:w="28" w:type="dxa"/>
          <w:bottom w:w="28" w:type="dxa"/>
          <w:right w:w="28" w:type="dxa"/>
        </w:tblCellMar>
      </w:tblPr>
      <w:tblGrid>
        <w:gridCol w:w="754"/>
        <w:gridCol w:w="664"/>
        <w:gridCol w:w="667"/>
        <w:gridCol w:w="134"/>
        <w:gridCol w:w="134"/>
        <w:gridCol w:w="136"/>
        <w:gridCol w:w="975"/>
        <w:gridCol w:w="975"/>
        <w:gridCol w:w="138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Gunderman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Uniti Group Inc. (the “Company”) for the period ending December 31, 2023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599" w:type="dxa"/>
        <w:jc w:val="center"/>
        <w:tblInd w:w="0" w:type="dxa"/>
        <w:tblLayout w:type="fixed"/>
        <w:tblCellMar>
          <w:top w:w="28" w:type="dxa"/>
          <w:left w:w="28" w:type="dxa"/>
          <w:bottom w:w="28" w:type="dxa"/>
          <w:right w:w="28" w:type="dxa"/>
        </w:tblCellMar>
      </w:tblPr>
      <w:tblGrid>
        <w:gridCol w:w="754"/>
        <w:gridCol w:w="664"/>
        <w:gridCol w:w="667"/>
        <w:gridCol w:w="134"/>
        <w:gridCol w:w="134"/>
        <w:gridCol w:w="136"/>
        <w:gridCol w:w="1200"/>
        <w:gridCol w:w="1200"/>
        <w:gridCol w:w="171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Vice President – Chief Financial Officer</w:t>
              <w:br/>
              <w:t>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Uniti Group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Policy Regarding Repayment or Forfeiture of Certain Compensation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Executive Officers (“Clawback Policy”)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(Effective November 1, 2023)</w:t>
      </w:r>
    </w:p>
    <w:p>
      <w:pPr>
        <w:pStyle w:val="TextBody"/>
        <w:bidi w:val="0"/>
        <w:spacing w:before="0" w:after="0"/>
        <w:jc w:val="center"/>
        <w:rPr/>
      </w:pPr>
      <w:r>
        <w:rPr/>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A. Statement of Policy</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 is the policy of the Company that an executive officer shall repay or forfeit erroneously awarded compensation received by an executive officer as required by applicable law and Nasdaq listing standards. This Clawback Policy is intended to comply with Section 10D of the Exchange Act, Rule 10D-1 promulgated thereunder and Nasdaq Listing Rule 5608. This Clawback Policy shall apply to all incentive-based compensation received by executive officers on or after October 2, 2023.</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B. Definitions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Unless the context otherwise requires, the following terms used in this Clawback Policy shall have the following meanings:</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1.</w:t>
      </w:r>
      <w:r>
        <w:rPr>
          <w:color w:val="000000"/>
        </w:rPr>
        <w:t>“</w:t>
      </w:r>
      <w:r>
        <w:rPr>
          <w:rFonts w:ascii="Times New Roman;sans-serif" w:hAnsi="Times New Roman;sans-serif"/>
          <w:b w:val="false"/>
          <w:color w:val="000000"/>
          <w:sz w:val="24"/>
        </w:rPr>
        <w:t>Board” means the Board of Directors of Uniti Group Inc.</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2.</w:t>
      </w:r>
      <w:r>
        <w:rPr>
          <w:color w:val="000000"/>
        </w:rPr>
        <w:t>“</w:t>
      </w:r>
      <w:r>
        <w:rPr>
          <w:rFonts w:ascii="Times New Roman;sans-serif" w:hAnsi="Times New Roman;sans-serif"/>
          <w:b w:val="false"/>
          <w:color w:val="000000"/>
          <w:sz w:val="24"/>
        </w:rPr>
        <w:t>Committee” means the Compensation Committee of the Board.</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3.</w:t>
      </w:r>
      <w:r>
        <w:rPr>
          <w:color w:val="000000"/>
        </w:rPr>
        <w:t>“</w:t>
      </w:r>
      <w:r>
        <w:rPr>
          <w:rFonts w:ascii="Times New Roman;sans-serif" w:hAnsi="Times New Roman;sans-serif"/>
          <w:b w:val="false"/>
          <w:color w:val="000000"/>
          <w:sz w:val="24"/>
        </w:rPr>
        <w:t>Company” means Uniti Group Inc., together with each of its direct and indirect subsidiaries.</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4.</w:t>
      </w:r>
      <w:r>
        <w:rPr>
          <w:color w:val="000000"/>
        </w:rPr>
        <w:t>“</w:t>
      </w:r>
      <w:r>
        <w:rPr>
          <w:rFonts w:ascii="Times New Roman;sans-serif" w:hAnsi="Times New Roman;sans-serif"/>
          <w:b w:val="false"/>
          <w:color w:val="000000"/>
          <w:sz w:val="24"/>
        </w:rPr>
        <w:t>Exchange” means the Nasdaq Stock Market.</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5.</w:t>
      </w:r>
      <w:r>
        <w:rPr>
          <w:color w:val="000000"/>
        </w:rPr>
        <w:t>“</w:t>
      </w:r>
      <w:r>
        <w:rPr>
          <w:rFonts w:ascii="Times New Roman;sans-serif" w:hAnsi="Times New Roman;sans-serif"/>
          <w:b w:val="false"/>
          <w:color w:val="000000"/>
          <w:sz w:val="24"/>
        </w:rPr>
        <w:t>Exchange Act” means the Securities Exchange Act of 1934, as amended from time to time, and any successor thereto.</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6.</w:t>
      </w:r>
      <w:r>
        <w:rPr>
          <w:color w:val="000000"/>
        </w:rPr>
        <w:t>“</w:t>
      </w:r>
      <w:r>
        <w:rPr>
          <w:rFonts w:ascii="Times New Roman;sans-serif" w:hAnsi="Times New Roman;sans-serif"/>
          <w:b w:val="false"/>
          <w:color w:val="000000"/>
          <w:sz w:val="24"/>
        </w:rPr>
        <w:t>erroneously awarded compensation” has the meaning set forth in Section C.4.</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7.</w:t>
      </w:r>
      <w:r>
        <w:rPr>
          <w:color w:val="000000"/>
        </w:rPr>
        <w:t>“</w:t>
      </w:r>
      <w:r>
        <w:rPr>
          <w:rFonts w:ascii="Times New Roman;sans-serif" w:hAnsi="Times New Roman;sans-serif"/>
          <w:b w:val="false"/>
          <w:color w:val="000000"/>
          <w:sz w:val="24"/>
        </w:rPr>
        <w:t>executive officer” shall have the meaning assigned to such term in Rule 10D-1(d) under the Exchange Act. For the avoidance of doubt, identification of an executive officer for purposes of this Clawback Policy would include at a minimum executive officers identified by the Company pursuant to Item 401(b) of Regulation S-K and each individual who is or was designated as an “officer” of the Company in accordance with Rule 16a-1(f) under the Exchange Act.</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8.</w:t>
      </w:r>
      <w:r>
        <w:rPr>
          <w:color w:val="000000"/>
        </w:rPr>
        <w:t>“</w:t>
      </w:r>
      <w:r>
        <w:rPr>
          <w:rFonts w:ascii="Times New Roman;sans-serif" w:hAnsi="Times New Roman;sans-serif"/>
          <w:b w:val="false"/>
          <w:color w:val="000000"/>
          <w:sz w:val="24"/>
        </w:rPr>
        <w:t xml:space="preserve">financial reporting measures” means measures that are determined and presented in accordance with the accounting principles used in preparing the Company’s financial statements, and any measures that are derived wholly or in part from such measures. Stock price and total shareholder return are also financial </w:t>
      </w:r>
    </w:p>
    <w:p>
      <w:pPr>
        <w:pStyle w:val="TextBody"/>
        <w:bidi w:val="0"/>
        <w:spacing w:lineRule="auto" w:line="240" w:before="240" w:after="283"/>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reporting measures. A financial reporting measure need not be presented within the financial statements or included in a filing with the Securities and Exchange Commission.</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9.</w:t>
      </w:r>
      <w:r>
        <w:rPr>
          <w:color w:val="000000"/>
        </w:rPr>
        <w:t>“</w:t>
      </w:r>
      <w:r>
        <w:rPr>
          <w:rFonts w:ascii="Times New Roman;sans-serif" w:hAnsi="Times New Roman;sans-serif"/>
          <w:b w:val="false"/>
          <w:color w:val="000000"/>
          <w:sz w:val="24"/>
        </w:rPr>
        <w:t>incentive-based compensation” means any compensation that is granted, earned or vested based wholly or in part upon the attainment of a financial reporting measure.</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10.</w:t>
      </w:r>
      <w:r>
        <w:rPr>
          <w:color w:val="000000"/>
        </w:rPr>
        <w:t>“</w:t>
      </w:r>
      <w:r>
        <w:rPr>
          <w:rFonts w:ascii="Times New Roman;sans-serif" w:hAnsi="Times New Roman;sans-serif"/>
          <w:b w:val="false"/>
          <w:color w:val="000000"/>
          <w:sz w:val="24"/>
        </w:rPr>
        <w:t>received” has the following meaning: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C. Recovery of Erroneously Awarded Compensation</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1.</w:t>
      </w:r>
      <w:r>
        <w:rPr>
          <w:color w:val="000000"/>
        </w:rPr>
        <w:t xml:space="preserve"> </w:t>
      </w:r>
      <w:r>
        <w:rPr>
          <w:rFonts w:ascii="Times New Roman;sans-serif" w:hAnsi="Times New Roman;sans-serif"/>
          <w:b w:val="false"/>
          <w:color w:val="000000"/>
          <w:sz w:val="24"/>
        </w:rPr>
        <w:t>The Company shall recover reasonably promptly the amount of erroneously awarded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2.This Clawback Policy shall apply to all incentive-based compensation received by a person (i) after beginning service as an executive officer, (ii) who served as an executive officer at any time during the performance period for that incentive-based compensation, (iii) while the Company has a class of securities listed on a national securities exchange or a national securities association, and (iv) during the three completed fiscal years immediately preceding the date on which the Company is required to prepare an accounting restatement as described in the first paragraph of this Section C. In addition to these last three completed fiscal years, this Clawback Policy shall apply to any transition period (that results from a change in the Company’s fiscal year) within or immediately following those three completed fiscal years. However, a transition period between the last day of the Company’s previous fiscal year end and the first day of its new fiscal year that comprises a period of nine to 12 months would be deemed a completed fiscal year.</w:t>
      </w:r>
    </w:p>
    <w:p>
      <w:pPr>
        <w:pStyle w:val="TextBody"/>
        <w:bidi w:val="0"/>
        <w:spacing w:lineRule="auto" w:line="288" w:before="0" w:after="240"/>
        <w:ind w:left="0" w:right="0" w:hanging="720"/>
        <w:jc w:val="left"/>
        <w:rPr/>
      </w:pPr>
      <w:r>
        <w:rPr>
          <w:rFonts w:ascii="Times New Roman;sans-serif" w:hAnsi="Times New Roman;sans-serif"/>
          <w:b w:val="false"/>
          <w:color w:val="000000"/>
          <w:sz w:val="24"/>
        </w:rPr>
        <w:t>3.</w:t>
      </w:r>
      <w:r>
        <w:rPr>
          <w:color w:val="000000"/>
        </w:rPr>
        <w:t xml:space="preserve"> </w:t>
      </w:r>
      <w:r>
        <w:rPr>
          <w:rFonts w:ascii="Times New Roman;sans-serif" w:hAnsi="Times New Roman;sans-serif"/>
          <w:b w:val="false"/>
          <w:color w:val="000000"/>
          <w:sz w:val="24"/>
        </w:rPr>
        <w:t xml:space="preserve">The date on which the Company is required to prepare an accounting restatement as described in the first paragraph of this Section C is the earlier to occur of: (i) the date on which the Board, a committee thereof or the Company’s officer(s) authorized to take such action if Board action is not required, concludes, or reasonably should have concluded, that the Company is required to prepare an accounting restatement as described in the first paragraph of this Section C; or (ii) </w:t>
      </w:r>
    </w:p>
    <w:p>
      <w:pPr>
        <w:pStyle w:val="TextBody"/>
        <w:bidi w:val="0"/>
        <w:spacing w:lineRule="auto" w:line="240" w:before="240" w:after="283"/>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date a court, regulator or other legally authorized body directs the Company to prepare an accounting restatement as described in the first paragraph of this Section C. The Company’s obligation to recover erroneously awarded compensation is not dependent on if or when the restated financial statements are filed.</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4.The amount of incentive-based compensation subject to repayment or forfeiture pursuant to this Clawback Policy (“erroneously awarded compensation”) is the amount of incentive-based compensation received that exceeds the amount of incentive-based 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the Exchange.</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5.Notwithstanding the foregoing, the Company shall recover erroneously awarded compensation in compliance with this Clawback Policy except to the extent that the conditions of clauses (i), (ii) or (iii) below are met and the Committee (or in the absence thereof, a majority of the independent directors serving on the Board) has made a determination that recovery would be impracticable.</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The direct expense paid to a third party to assist in enforcing this Clawback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40" w:before="240" w:after="283"/>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6.    The Company shall not indemnify any current or former executive officer against the loss of erroneously awarded compensation.</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7.    The Company shall file all disclosures with respect to this Clawback Policy in accordance with the requirements of the Federal securities laws, including the disclosure required by the applicable filings of the Securities and Exchange Commission.</w:t>
      </w:r>
    </w:p>
    <w:p>
      <w:pPr>
        <w:pStyle w:val="TextBody"/>
        <w:bidi w:val="0"/>
        <w:spacing w:lineRule="auto" w:line="288"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8.     The Committee shall determine, in its sole and exclusive discretion, the method or methods for recovering any erroneously awarded compensation, which methods need not be the same, or applied in the same manner, to each executive officer, provided that any such method shall provide for reasonably prompt recovery and otherwise comply with any requirements of the Exchange.</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D. Administration</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shall administer and interpret this Clawback Policy in accordance with Nasdaq Listing Rule 5608, Section 10D of the Exchange Act and other applicable Federal securities laws. Except as limited by law, and subject to the provisions of this Clawback Policy, the Committee shall have full power, authority and sole and exclusive discretion to construe, interpret and administer this Clawback Policy. In addition, the Committee shall have full and exclusive power to adopt such rules, regulations and guidelines for carrying out this Clawback Policy and to amend this Clawback Policy, in each case, as it may deem necessary or proper, all of which power shall be executed in the best interests of the Company and in keeping with the objectives of this Clawback Policy. Subject to Section C.5, this Clawback Policy also</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may be administered by the Board, and references in this Clawback Policy to the “Committee” shall be understood to refer to the full Board.</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making any determination or in taking or not taking any action under this Clawback Policy, the Committee may obtain and rely on the advice of experts, including employees of and professional advisors to the Company. Any action taken by, or inaction of, the Committee or its delegates relating to or pursuant to this Clawback Policy shall be within the absolute discretion of the Committee or its delegates. Such action or inaction of the Committee or its delegates shall be conclusive and binding on the Company and any current or former executive officer affected by such action or inaction.</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Each award agreement or other document setting forth the terms and conditions of any incentive-based compensation granted to an executive officer shall include a provision incorporating the requirements of this Clawback Policy. Each executive officer will be required to sign a Clawback Policy Acknowledgment and Agreement in the form attached hereto as Exhibit A as a condition to receiving grants or awards of incentive-based compensation. The remedy specified in and any right of recovery under this Clawback Policy shall not be exclusive and shall be in addition to, and not in lieu of, any other remedies or rights of recovery, recoupment, forfeiture or offset that may be available to the Company pursuant to the terms of </w:t>
      </w:r>
    </w:p>
    <w:p>
      <w:pPr>
        <w:pStyle w:val="TextBody"/>
        <w:bidi w:val="0"/>
        <w:spacing w:lineRule="auto" w:line="240" w:before="240" w:after="283"/>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any other applicable Company policy, compensation or benefit plan, agreement or arrangement or other agreement or applicable law.</w:t>
      </w:r>
    </w:p>
    <w:p>
      <w:pPr>
        <w:pStyle w:val="TextBody"/>
        <w:bidi w:val="0"/>
        <w:spacing w:before="0" w:after="240"/>
        <w:ind w:left="0" w:right="0" w:firstLine="720"/>
        <w:jc w:val="left"/>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40" w:before="240" w:after="283"/>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Uniti Group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Policy Regarding Repayment or Forfeiture of Certain Compensation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Executive Officers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ACKNOWLEDGEMENT FORM</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By signing below, the undersigned acknowledges and confirms that the undersigned has received and reviewed a copy of the Uniti Group Inc. Policy Regarding Repayment or Forfeiture of Certain Compensation By Executive Officers (the “Clawback Policy”). Capitalized terms used but not otherwise defined in this Acknowledgement Form (this “Acknowledgement Form”) shall have the meanings ascribed to such terms in the Clawback Policy.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By signing this Acknowledgement Form, the undersigned acknowledges and agrees that the undersigned is and will continue to be subject to the Clawback Policy and that the Clawback Policy will apply both during and after the undersigned’s employment with the Company. Further, by signing below, the undersigned agrees to abide by the terms of the Clawback Policy, including, without limitation, by returning any erroneously awarded compensation (as defined in the Clawback Policy) to the Company to the extent required by, and in a manner permitted by, the Policy.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0001620280/000119312515106562/d895819dex21.htm" TargetMode="External"/><Relationship Id="rId4" Type="http://schemas.openxmlformats.org/officeDocument/2006/relationships/hyperlink" Target="https://www.sec.gov/Archives/edgar/data/1620280/000162828023005558/unit-ex22.htm" TargetMode="External"/><Relationship Id="rId5" Type="http://schemas.openxmlformats.org/officeDocument/2006/relationships/hyperlink" Target="http://www.sec.gov/Archives/edgar/data/0001620280/000119312515125997/d906732dex31.htm" TargetMode="External"/><Relationship Id="rId6" Type="http://schemas.openxmlformats.org/officeDocument/2006/relationships/hyperlink" Target="http://www.sec.gov/Archives/edgar/data/0001620280/000156459017002778/csal-ex31_7.htm" TargetMode="External"/><Relationship Id="rId7" Type="http://schemas.openxmlformats.org/officeDocument/2006/relationships/hyperlink" Target="http://www.sec.gov/Archives/edgar/data/1620280/000156459018013946/unit-ex31_80.htm" TargetMode="External"/><Relationship Id="rId8" Type="http://schemas.openxmlformats.org/officeDocument/2006/relationships/hyperlink" Target="http://www.sec.gov/Archives/edgar/data/0001620280/000110465917028526/a17-12174_1ex3d1.htm" TargetMode="External"/><Relationship Id="rId9" Type="http://schemas.openxmlformats.org/officeDocument/2006/relationships/hyperlink" Target="https://www.sec.gov/Archives/edgar/data/1620280/000095010319008752/dp109169_ex0401.htm" TargetMode="External"/><Relationship Id="rId10" Type="http://schemas.openxmlformats.org/officeDocument/2006/relationships/hyperlink" Target="https://www.sec.gov/Archives/edgar/data/1620280/000095010319008752/dp109169_ex0401.htm" TargetMode="External"/><Relationship Id="rId11" Type="http://schemas.openxmlformats.org/officeDocument/2006/relationships/hyperlink" Target="http://www.sec.gov/Archives/edgar/data/0001620280/000095010321001633/dp145509_ex0401.htm" TargetMode="External"/><Relationship Id="rId12" Type="http://schemas.openxmlformats.org/officeDocument/2006/relationships/hyperlink" Target="http://www.sec.gov/Archives/edgar/data/0001620280/000095010321001633/dp145509_ex0401.htm" TargetMode="External"/><Relationship Id="rId13" Type="http://schemas.openxmlformats.org/officeDocument/2006/relationships/hyperlink" Target="http://www.sec.gov/Archives/edgar/data/1620280/000095010321005826/dp149654_ex0401.htm" TargetMode="External"/><Relationship Id="rId14" Type="http://schemas.openxmlformats.org/officeDocument/2006/relationships/hyperlink" Target="http://www.sec.gov/Archives/edgar/data/1620280/000095010321005826/dp149654_ex0401.htm" TargetMode="External"/><Relationship Id="rId15" Type="http://schemas.openxmlformats.org/officeDocument/2006/relationships/hyperlink" Target="http://www.sec.gov/Archives/edgar/data/1620280/000095010321015859/dp159744_ex0401.htm" TargetMode="External"/><Relationship Id="rId16" Type="http://schemas.openxmlformats.org/officeDocument/2006/relationships/hyperlink" Target="http://www.sec.gov/Archives/edgar/data/1620280/000095010321015859/dp159744_ex0401.htm" TargetMode="External"/><Relationship Id="rId17" Type="http://schemas.openxmlformats.org/officeDocument/2006/relationships/hyperlink" Target="https://www.sec.gov/Archives/edgar/data/1620280/000095010322020949/dp185578_ex0401.htm" TargetMode="External"/><Relationship Id="rId18" Type="http://schemas.openxmlformats.org/officeDocument/2006/relationships/hyperlink" Target="https://www.sec.gov/Archives/edgar/data/1620280/000095010322020949/dp185578_ex0401.htm" TargetMode="External"/><Relationship Id="rId19" Type="http://schemas.openxmlformats.org/officeDocument/2006/relationships/hyperlink" Target="https://www.sec.gov/Archives/edgar/data/1620280/000095010323002360/dp188860_ex0401.htm" TargetMode="External"/><Relationship Id="rId20" Type="http://schemas.openxmlformats.org/officeDocument/2006/relationships/hyperlink" Target="https://www.sec.gov/Archives/edgar/data/1620280/000095010323002360/dp188860_ex0401.htm" TargetMode="External"/><Relationship Id="rId21" Type="http://schemas.openxmlformats.org/officeDocument/2006/relationships/hyperlink" Target="http://www.sec.gov/Archives/edgar/data/0001620280/000156459020025840/unit-ex101_6.htm" TargetMode="External"/><Relationship Id="rId22" Type="http://schemas.openxmlformats.org/officeDocument/2006/relationships/hyperlink" Target="http://www.sec.gov/Archives/edgar/data/0001620280/000156459020052508/unit-ex101_509.htm" TargetMode="External"/><Relationship Id="rId23" Type="http://schemas.openxmlformats.org/officeDocument/2006/relationships/hyperlink" Target="http://www.sec.gov/Archives/edgar/data/0001620280/000156459020052508/unit-ex101_509.htm" TargetMode="External"/><Relationship Id="rId24" Type="http://schemas.openxmlformats.org/officeDocument/2006/relationships/hyperlink" Target="http://www.sec.gov/Archives/edgar/data/0001620280/000119312515147341/d910956dex102.htm" TargetMode="External"/><Relationship Id="rId25" Type="http://schemas.openxmlformats.org/officeDocument/2006/relationships/hyperlink" Target="http://www.sec.gov/Archives/edgar/data/0001620280/000119312515147341/d910956dex1010.htm" TargetMode="External"/><Relationship Id="rId26" Type="http://schemas.openxmlformats.org/officeDocument/2006/relationships/hyperlink" Target="http://www.sec.gov/Archives/edgar/data/0001620280/000110465916151374/a16-20228_1ex10d1.htm" TargetMode="External"/><Relationship Id="rId27" Type="http://schemas.openxmlformats.org/officeDocument/2006/relationships/hyperlink" Target="http://www.sec.gov/Archives/edgar/data/0001620280/000110465917007816/a17-3824_1ex10d1.htm" TargetMode="External"/><Relationship Id="rId28" Type="http://schemas.openxmlformats.org/officeDocument/2006/relationships/hyperlink" Target="http://www.sec.gov/Archives/edgar/data/1620280/000110465917028526/a17-12174_1ex10d1.htm" TargetMode="External"/><Relationship Id="rId29" Type="http://schemas.openxmlformats.org/officeDocument/2006/relationships/hyperlink" Target="http://www.sec.gov/Archives/edgar/data/1620280/000156459019008290/unit-ex1011_1391.htm" TargetMode="External"/><Relationship Id="rId30" Type="http://schemas.openxmlformats.org/officeDocument/2006/relationships/hyperlink" Target="http://www.sec.gov/Archives/edgar/data/1620280/000095010319008295/dp108693_ex1001.htm" TargetMode="External"/><Relationship Id="rId31" Type="http://schemas.openxmlformats.org/officeDocument/2006/relationships/hyperlink" Target="http://www.sec.gov/Archives/edgar/data/1620280/000095010320002586/dp121198_ex1001.htm" TargetMode="External"/><Relationship Id="rId32" Type="http://schemas.openxmlformats.org/officeDocument/2006/relationships/hyperlink" Target="http://www.sec.gov/Archives/edgar/data/0001620280/000095010320024079/dp142761_ex1001.htm" TargetMode="External"/><Relationship Id="rId33" Type="http://schemas.openxmlformats.org/officeDocument/2006/relationships/hyperlink" Target="https://www.sec.gov/Archives/edgar/data/1620280/000095010323004702/dp191146_1001.htm" TargetMode="External"/><Relationship Id="rId34" Type="http://schemas.openxmlformats.org/officeDocument/2006/relationships/hyperlink" Target="http://www.sec.gov/Archives/edgar/data/1620280/000156459019030905/unit-ex104_242.htm" TargetMode="External"/><Relationship Id="rId35" Type="http://schemas.openxmlformats.org/officeDocument/2006/relationships/hyperlink" Target="http://www.sec.gov/Archives/edgar/data/0001620280/000110465917031184/a17-12744_1ex10d1.htm" TargetMode="External"/><Relationship Id="rId36" Type="http://schemas.openxmlformats.org/officeDocument/2006/relationships/hyperlink" Target="http://www.sec.gov/Archives/edgar/data/0001620280/000119312515147341/d910956dex1011.htm" TargetMode="External"/><Relationship Id="rId37" Type="http://schemas.openxmlformats.org/officeDocument/2006/relationships/hyperlink" Target="https://www.sec.gov/Archives/edgar/data/1620280/000095010322020949/dp185578_ex1001.htm" TargetMode="External"/><Relationship Id="rId38" Type="http://schemas.openxmlformats.org/officeDocument/2006/relationships/hyperlink" Target="http://www.sec.gov/Archives/edgar/data/1620280/000110465918073139/a18-41685_1ex10d1.htm" TargetMode="External"/><Relationship Id="rId39" Type="http://schemas.openxmlformats.org/officeDocument/2006/relationships/hyperlink" Target="https://www.sec.gov/Archives/edgar/data/1620280/000162828023005558/unit-ex1018.htm" TargetMode="External"/><Relationship Id="rId40" Type="http://schemas.openxmlformats.org/officeDocument/2006/relationships/hyperlink" Target="http://www.sec.gov/Archives/edgar/data/1620280/000156459018007159/unit-ex101_6.htm" TargetMode="External"/><Relationship Id="rId41" Type="http://schemas.openxmlformats.org/officeDocument/2006/relationships/hyperlink" Target="http://www.sec.gov/Archives/edgar/data/1620280/000156459019008290/unit-ex1019_1245.htm" TargetMode="External"/><Relationship Id="rId42" Type="http://schemas.openxmlformats.org/officeDocument/2006/relationships/hyperlink" Target="http://www.sec.gov/Archives/edgar/data/1620280/000156459019008290/unit-ex1021_1244.htm" TargetMode="External"/><Relationship Id="rId43" Type="http://schemas.openxmlformats.org/officeDocument/2006/relationships/hyperlink" Target="https://www.sec.gov/Archives/edgar/data/1620280/000162828023005558/unit-ex1022.htm" TargetMode="External"/><Relationship Id="rId44" Type="http://schemas.openxmlformats.org/officeDocument/2006/relationships/hyperlink" Target="http://www.sec.gov/Archives/edgar/data/0001620280/000119312515211690/d935720dex105.htm" TargetMode="External"/><Relationship Id="rId45" Type="http://schemas.openxmlformats.org/officeDocument/2006/relationships/hyperlink" Target="http://www.sec.gov/Archives/edgar/data/1620280/000104746915005944/a2225264zex-10_20.htm" TargetMode="External"/><Relationship Id="rId46" Type="http://schemas.openxmlformats.org/officeDocument/2006/relationships/hyperlink" Target="http://www.sec.gov/Archives/edgar/data/1620280/000156459015007263/csal-ex1020_690.htm" TargetMode="External"/><Relationship Id="rId47" Type="http://schemas.openxmlformats.org/officeDocument/2006/relationships/hyperlink" Target="http://www.sec.gov/Archives/edgar/data/0001620280/000110465918038926/a18-14910_1ex99d1.htm" TargetMode="External"/><Relationship Id="rId48" Type="http://schemas.openxmlformats.org/officeDocument/2006/relationships/hyperlink" Target="http://www.sec.gov/Archives/edgar/data/1620280/000156459020024346/unit-ex102_48.htm" TargetMode="External"/><Relationship Id="rId49" Type="http://schemas.openxmlformats.org/officeDocument/2006/relationships/hyperlink" Target="https://www.sec.gov/Archives/edgar/data/1620280/000095010324002735/dp207310_ex1001.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75071</Words>
  <Characters>412947</Characters>
  <CharactersWithSpaces>484486</CharactersWithSpaces>
  <Paragraphs>6175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