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_______</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001-36708</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tbl>
      <w:tblPr>
        <w:tblW w:w="4408" w:type="dxa"/>
        <w:jc w:val="center"/>
        <w:tblInd w:w="0" w:type="dxa"/>
        <w:tblLayout w:type="fixed"/>
        <w:tblCellMar>
          <w:top w:w="28" w:type="dxa"/>
          <w:left w:w="28" w:type="dxa"/>
          <w:bottom w:w="28" w:type="dxa"/>
          <w:right w:w="28" w:type="dxa"/>
        </w:tblCellMar>
      </w:tblPr>
      <w:tblGrid>
        <w:gridCol w:w="1057"/>
        <w:gridCol w:w="929"/>
        <w:gridCol w:w="938"/>
        <w:gridCol w:w="433"/>
        <w:gridCol w:w="433"/>
        <w:gridCol w:w="618"/>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46-5230630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2101 Riverfront Drive, Suite A</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Little Rock, Arkansas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72202</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(501) 850-0820</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60" w:after="283"/>
        <w:ind w:left="0" w:right="0" w:firstLine="556"/>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29, 2025, the registrant had 245,453,420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expectations regarding the settlement we have entered into with Windstream Holdings, Inc. (together with Windstream Holdings II, LLC, its successor in interest, and its subsidiaries, “Windstream</w:t>
      </w:r>
      <w:r>
        <w:rPr>
          <w:color w:val="000000"/>
        </w:rPr>
        <w:t>”</w:t>
      </w:r>
      <w:r>
        <w:rPr>
          <w:rFonts w:ascii="Times New Roman;sans-serif" w:hAnsi="Times New Roman;sans-serif"/>
          <w:b w:val="false"/>
          <w:color w:val="000000"/>
          <w:sz w:val="20"/>
        </w:rPr>
        <w:t>); expectations regarding our potential Merger (as defined herein) with Windstream; the future prospects and financial health of Windstream; our expectations about our ability to maintain our status as a real estate investment trust (a “REIT”); our expectations regarding the effect of tax-related legislation on our tax position; our expectations regarding the future growth and demand of the telecommunication industry, future financing plans, business strategies, growth prospects, operating and financial performance, and our future liquidity needs and access to capital; our expectations regarding future deployment of fiber strand miles and small cell networks and recognition of revenue related thereto; our expectations regarding levels of capital expenditures; our expectations regarding the deductibility of goodwill for tax purposes; our expectations regarding the amortization of intangible assets; and our expectations regarding the payment of 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and Windstream’s ability to consummate our Merger (as defined herein) with Windstream on the expected terms or according to the anticipated timeline;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risk that the Merger Agreement (as defined herein) may be modified or terminated prior to its expiration, that the conditions to our Merger with Windstream may not be satisfied or the occurrence of any event, change or other circumstances that could give rise to the termination of the Merger Agreement;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effect of the announcement of our Merger with Windstream on relationships with our customers, suppliers, vendors, employees and other stakeholders and our operating results and the operating results of Windstream;</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diversion of our management’s time on issues related to our Merger with Windstream;</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risk that we fail to fully realize the potential benefits, expected synergies, efficiencies and cost savings from our Merger with Windstream within the expected time period (if at all);</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legal proceedings that may be instituted against us or Windstream following announcement of the Merger;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future prospects of our largest customer, Windstream;</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adverse impacts of inflation, higher interest rates, tariffs, trade restrictions and the potential for economic slowdown on our employees, our business, the business of our customers and other business partners and the global financial markets;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ability and willingness of our customers to meet and/or perform their obligations under any contractual arrangements entered into with us, including master lease arrangements;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availability of and our ability to identify suitable acquisition opportunities and our ability to acquire and lease the respective properties on favorable terms or operate and integrate the acquired businesses;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our ability to generate sufficient cash flows to service our outstanding indebtedness and fund our capital funding commitments;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our ability to access debt and equity capital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impact on our business or the business of our customers as a result of credit rating downgrades and fluctuating interest rates;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our ability to retain our key management personnel;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ability to maintain our status as a REIT;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changes in the U.S. tax law and other federal, state or local laws, whether or not specific to REITs;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covenants in our debt agreements that may limit our operational flexibility;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possibility that we may experience equipment failures, natural disasters, cyber-attacks or terrorist attacks for which our insurance may not provide adequate coverage;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risk that we fail to fully realize the potential benefits of or have difficulty in integrating the companies we acquire;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other risks inherent in the communications industry and in the ownership of communications distribution systems, including potential liability relating to environmental matters and illiquidity of real estate investments;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additional factors discussed in Part I, Item 2 “Management’s Discussion and Analysis of Financial Condition and Results of Operations” and Part II, Item 1A “Risk Factors” of this Quarterly Report on Form 10-Q and in Part I, Item 1A "Risk Factors" of our Annual Report on Form 10-K filed with the U.S. Securities and Exchange Commission (the "SEC") on February 21, 2025, as amended by Amendment No. 1 thereto filed on Form 10-K/A with the SEC on March 7, 2025 (the "Annual Report")</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as well as those described from time to time in our future reports filed with the SEC.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Quarterly Report on Form 10-Q.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60" w:type="dxa"/>
        <w:jc w:val="center"/>
        <w:tblInd w:w="0" w:type="dxa"/>
        <w:tblLayout w:type="fixed"/>
        <w:tblCellMar>
          <w:top w:w="28" w:type="dxa"/>
          <w:left w:w="28" w:type="dxa"/>
          <w:bottom w:w="28" w:type="dxa"/>
          <w:right w:w="28" w:type="dxa"/>
        </w:tblCellMar>
      </w:tblPr>
      <w:tblGrid>
        <w:gridCol w:w="320"/>
        <w:gridCol w:w="281"/>
        <w:gridCol w:w="283"/>
        <w:gridCol w:w="2454"/>
        <w:gridCol w:w="2454"/>
        <w:gridCol w:w="2457"/>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3">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3">
              <w:r>
                <w:rPr>
                  <w:rStyle w:val="InternetLink"/>
                  <w:rFonts w:ascii="Times New Roman;sans-serif" w:hAnsi="Times New Roman;sans-serif"/>
                  <w:b/>
                  <w:color w:val="0000FF"/>
                  <w:sz w:val="20"/>
                  <w:u w:val="single"/>
                </w:rPr>
                <w:t>FINANCIAL INFORMATION</w:t>
              </w:r>
            </w:hyperlink>
          </w:p>
        </w:tc>
        <w:tc>
          <w:tcPr>
            <w:tcW w:w="5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6">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6">
              <w:r>
                <w:rPr>
                  <w:rStyle w:val="InternetLink"/>
                  <w:rFonts w:ascii="Times New Roman;sans-serif" w:hAnsi="Times New Roman;sans-serif"/>
                  <w:b w:val="false"/>
                  <w:color w:val="0000FF"/>
                  <w:sz w:val="20"/>
                  <w:u w:val="single"/>
                </w:rPr>
                <w:t>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6">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Uniti Group Inc.</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9">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9">
              <w:r>
                <w:rPr>
                  <w:rStyle w:val="InternetLink"/>
                  <w:rFonts w:ascii="Times New Roman;sans-serif" w:hAnsi="Times New Roman;sans-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22">
              <w:r>
                <w:rPr>
                  <w:rStyle w:val="InternetLink"/>
                  <w:rFonts w:ascii="Times New Roman;sans-serif" w:hAnsi="Times New Roman;sans-serif"/>
                  <w:b w:val="false"/>
                  <w:color w:val="0000FF"/>
                  <w:sz w:val="20"/>
                  <w:u w:val="single"/>
                </w:rPr>
                <w:t>Condensed Consolidated Statements of Income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22">
              <w:r>
                <w:rPr>
                  <w:rStyle w:val="InternetLink"/>
                  <w:rFonts w:ascii="Times New Roman;sans-serif" w:hAnsi="Times New Roman;sans-serif"/>
                  <w:b w:val="false"/>
                  <w:strike w:val="false"/>
                  <w:dstrike w:val="false"/>
                  <w:color w:val="000000"/>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25">
              <w:r>
                <w:rPr>
                  <w:rStyle w:val="InternetLink"/>
                  <w:rFonts w:ascii="Times New Roman;sans-serif" w:hAnsi="Times New Roman;sans-serif"/>
                  <w:b w:val="false"/>
                  <w:color w:val="0000FF"/>
                  <w:sz w:val="20"/>
                  <w:u w:val="single"/>
                </w:rPr>
                <w:t>Condensed Consolidated Statements of Comprehensive Income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25">
              <w:r>
                <w:rPr>
                  <w:rStyle w:val="InternetLink"/>
                  <w:rFonts w:ascii="Times New Roman;sans-serif" w:hAnsi="Times New Roman;sans-serif"/>
                  <w:b w:val="false"/>
                  <w:strike w:val="false"/>
                  <w:dstrike w:val="false"/>
                  <w:color w:val="000000"/>
                  <w:sz w:val="20"/>
                  <w:u w:val="none"/>
                  <w:effect w:val="none"/>
                </w:rPr>
                <w:t>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28">
              <w:r>
                <w:rPr>
                  <w:rStyle w:val="InternetLink"/>
                  <w:rFonts w:ascii="Times New Roman;sans-serif" w:hAnsi="Times New Roman;sans-serif"/>
                  <w:b w:val="false"/>
                  <w:color w:val="0000FF"/>
                  <w:sz w:val="20"/>
                  <w:u w:val="single"/>
                </w:rPr>
                <w:t>Condensed Consolidated Statements of Shareholders’ Deficit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28">
              <w:r>
                <w:rPr>
                  <w:rStyle w:val="InternetLink"/>
                  <w:rFonts w:ascii="Times New Roman;sans-serif" w:hAnsi="Times New Roman;sans-serif"/>
                  <w:b w:val="false"/>
                  <w:strike w:val="false"/>
                  <w:dstrike w:val="false"/>
                  <w:color w:val="000000"/>
                  <w:sz w:val="20"/>
                  <w:u w:val="none"/>
                  <w:effect w:val="none"/>
                </w:rPr>
                <w:t>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31">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31">
              <w:r>
                <w:rPr>
                  <w:rStyle w:val="InternetLink"/>
                  <w:rFonts w:ascii="Times New Roman;sans-serif" w:hAnsi="Times New Roman;sans-serif"/>
                  <w:b w:val="false"/>
                  <w:strike w:val="false"/>
                  <w:dstrike w:val="false"/>
                  <w:color w:val="000000"/>
                  <w:sz w:val="20"/>
                  <w:u w:val="none"/>
                  <w:effect w:val="none"/>
                </w:rPr>
                <w:t>10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pPr>
            <w:hyperlink w:anchor="iff1f1a04df874dc79a8c3cdc7c5437f3_34">
              <w:r>
                <w:rPr>
                  <w:rStyle w:val="InternetLink"/>
                  <w:rFonts w:ascii="Times New Roman;sans-serif" w:hAnsi="Times New Roman;sans-serif"/>
                  <w:b w:val="false"/>
                  <w:color w:val="0000FF"/>
                  <w:sz w:val="20"/>
                  <w:u w:val="single"/>
                </w:rPr>
                <w:t xml:space="preserve">Notes to Condensed Consolidated Financial Statements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34">
              <w:r>
                <w:rPr>
                  <w:rStyle w:val="InternetLink"/>
                  <w:rFonts w:ascii="Times New Roman;sans-serif" w:hAnsi="Times New Roman;sans-serif"/>
                  <w:b w:val="false"/>
                  <w:strike w:val="false"/>
                  <w:dstrike w:val="false"/>
                  <w:color w:val="000000"/>
                  <w:sz w:val="20"/>
                  <w:u w:val="none"/>
                  <w:effect w:val="none"/>
                </w:rPr>
                <w:t>12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ff1f1a04df874dc79a8c3cdc7c5437f3_37">
              <w:r>
                <w:rPr>
                  <w:rStyle w:val="InternetLink"/>
                  <w:rFonts w:ascii="Times New Roman;sans-serif" w:hAnsi="Times New Roman;sans-serif"/>
                  <w:b w:val="false"/>
                  <w:strike w:val="false"/>
                  <w:dstrike w:val="false"/>
                  <w:color w:val="0000FF"/>
                  <w:sz w:val="20"/>
                  <w:u w:val="none"/>
                  <w:effect w:val="none"/>
                </w:rPr>
                <w:t>1.</w:t>
              </w:r>
            </w:hyperlink>
            <w:hyperlink w:anchor="iff1f1a04df874dc79a8c3cdc7c5437f3_37">
              <w:r>
                <w:rPr>
                  <w:rStyle w:val="InternetLink"/>
                  <w:rFonts w:ascii="Times New Roman;sans-serif" w:hAnsi="Times New Roman;sans-serif"/>
                  <w:b w:val="false"/>
                  <w:color w:val="0000FF"/>
                  <w:sz w:val="20"/>
                  <w:u w:val="single"/>
                </w:rPr>
                <w:t>Organization and Description of Business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37">
              <w:r>
                <w:rPr>
                  <w:rStyle w:val="InternetLink"/>
                  <w:rFonts w:ascii="Times New Roman;sans-serif" w:hAnsi="Times New Roman;sans-serif"/>
                  <w:b w:val="false"/>
                  <w:strike w:val="false"/>
                  <w:dstrike w:val="false"/>
                  <w:color w:val="000000"/>
                  <w:sz w:val="20"/>
                  <w:u w:val="none"/>
                  <w:effect w:val="none"/>
                </w:rPr>
                <w:t>12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FF"/>
                <w:sz w:val="20"/>
              </w:rPr>
              <w:t>2</w:t>
            </w:r>
            <w:hyperlink w:anchor="iff1f1a04df874dc79a8c3cdc7c5437f3_43">
              <w:r>
                <w:rPr>
                  <w:rStyle w:val="InternetLink"/>
                  <w:rFonts w:ascii="Times New Roman;sans-serif" w:hAnsi="Times New Roman;sans-serif"/>
                  <w:b w:val="false"/>
                  <w:strike w:val="false"/>
                  <w:dstrike w:val="false"/>
                  <w:color w:val="0000FF"/>
                  <w:sz w:val="20"/>
                  <w:u w:val="none"/>
                  <w:effect w:val="none"/>
                </w:rPr>
                <w:t>.</w:t>
              </w:r>
            </w:hyperlink>
            <w:hyperlink w:anchor="iff1f1a04df874dc79a8c3cdc7c5437f3_43">
              <w:r>
                <w:rPr>
                  <w:rStyle w:val="InternetLink"/>
                  <w:rFonts w:ascii="Times New Roman;sans-serif" w:hAnsi="Times New Roman;sans-serif"/>
                  <w:b w:val="false"/>
                  <w:color w:val="0000FF"/>
                  <w:sz w:val="20"/>
                  <w:u w:val="single"/>
                </w:rPr>
                <w:t>Basis of Presentation and Summary of Significant Accounting Policies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43">
              <w:r>
                <w:rPr>
                  <w:rStyle w:val="InternetLink"/>
                  <w:rFonts w:ascii="Times New Roman;sans-serif" w:hAnsi="Times New Roman;sans-serif"/>
                  <w:b w:val="false"/>
                  <w:strike w:val="false"/>
                  <w:dstrike w:val="false"/>
                  <w:color w:val="000000"/>
                  <w:sz w:val="20"/>
                  <w:u w:val="none"/>
                  <w:effect w:val="none"/>
                </w:rPr>
                <w:t>13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FF"/>
                <w:sz w:val="20"/>
              </w:rPr>
              <w:t>3</w:t>
            </w:r>
            <w:hyperlink w:anchor="iff1f1a04df874dc79a8c3cdc7c5437f3_46">
              <w:r>
                <w:rPr>
                  <w:rStyle w:val="InternetLink"/>
                  <w:rFonts w:ascii="Times New Roman;sans-serif" w:hAnsi="Times New Roman;sans-serif"/>
                  <w:b w:val="false"/>
                  <w:strike w:val="false"/>
                  <w:dstrike w:val="false"/>
                  <w:color w:val="0000FF"/>
                  <w:sz w:val="20"/>
                  <w:u w:val="none"/>
                  <w:effect w:val="none"/>
                </w:rPr>
                <w:t>.</w:t>
              </w:r>
            </w:hyperlink>
            <w:hyperlink w:anchor="iff1f1a04df874dc79a8c3cdc7c5437f3_46">
              <w:r>
                <w:rPr>
                  <w:rStyle w:val="InternetLink"/>
                  <w:rFonts w:ascii="Times New Roman;sans-serif" w:hAnsi="Times New Roman;sans-serif"/>
                  <w:b w:val="false"/>
                  <w:color w:val="0000FF"/>
                  <w:sz w:val="20"/>
                  <w:u w:val="single"/>
                </w:rPr>
                <w:t>Revenues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46">
              <w:r>
                <w:rPr>
                  <w:rStyle w:val="InternetLink"/>
                  <w:rFonts w:ascii="Times New Roman;sans-serif" w:hAnsi="Times New Roman;sans-serif"/>
                  <w:b w:val="false"/>
                  <w:strike w:val="false"/>
                  <w:dstrike w:val="false"/>
                  <w:color w:val="000000"/>
                  <w:sz w:val="20"/>
                  <w:u w:val="none"/>
                  <w:effect w:val="none"/>
                </w:rPr>
                <w:t>15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FF"/>
                <w:sz w:val="20"/>
              </w:rPr>
              <w:t>4</w:t>
            </w:r>
            <w:hyperlink w:anchor="iff1f1a04df874dc79a8c3cdc7c5437f3_49">
              <w:r>
                <w:rPr>
                  <w:rStyle w:val="InternetLink"/>
                  <w:rFonts w:ascii="Times New Roman;sans-serif" w:hAnsi="Times New Roman;sans-serif"/>
                  <w:b w:val="false"/>
                  <w:strike w:val="false"/>
                  <w:dstrike w:val="false"/>
                  <w:color w:val="0000FF"/>
                  <w:sz w:val="20"/>
                  <w:u w:val="none"/>
                  <w:effect w:val="none"/>
                </w:rPr>
                <w:t>.</w:t>
              </w:r>
            </w:hyperlink>
            <w:hyperlink w:anchor="iff1f1a04df874dc79a8c3cdc7c5437f3_49">
              <w:r>
                <w:rPr>
                  <w:rStyle w:val="InternetLink"/>
                  <w:rFonts w:ascii="Times New Roman;sans-serif" w:hAnsi="Times New Roman;sans-serif"/>
                  <w:b w:val="false"/>
                  <w:color w:val="0000FF"/>
                  <w:sz w:val="20"/>
                  <w:u w:val="single"/>
                </w:rPr>
                <w:t>Leases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49">
              <w:r>
                <w:rPr>
                  <w:rStyle w:val="InternetLink"/>
                  <w:rFonts w:ascii="Times New Roman;sans-serif" w:hAnsi="Times New Roman;sans-serif"/>
                  <w:b w:val="false"/>
                  <w:strike w:val="false"/>
                  <w:dstrike w:val="false"/>
                  <w:color w:val="000000"/>
                  <w:sz w:val="20"/>
                  <w:u w:val="none"/>
                  <w:effect w:val="none"/>
                </w:rPr>
                <w:t>16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FF"/>
                <w:sz w:val="20"/>
              </w:rPr>
              <w:t>5</w:t>
            </w:r>
            <w:hyperlink w:anchor="iff1f1a04df874dc79a8c3cdc7c5437f3_52">
              <w:r>
                <w:rPr>
                  <w:rStyle w:val="InternetLink"/>
                  <w:rFonts w:ascii="Times New Roman;sans-serif" w:hAnsi="Times New Roman;sans-serif"/>
                  <w:b w:val="false"/>
                  <w:strike w:val="false"/>
                  <w:dstrike w:val="false"/>
                  <w:color w:val="0000FF"/>
                  <w:sz w:val="20"/>
                  <w:u w:val="none"/>
                  <w:effect w:val="none"/>
                </w:rPr>
                <w:t>.</w:t>
              </w:r>
            </w:hyperlink>
            <w:hyperlink w:anchor="iff1f1a04df874dc79a8c3cdc7c5437f3_52">
              <w:r>
                <w:rPr>
                  <w:rStyle w:val="InternetLink"/>
                  <w:rFonts w:ascii="Times New Roman;sans-serif" w:hAnsi="Times New Roman;sans-serif"/>
                  <w:b w:val="false"/>
                  <w:color w:val="0000FF"/>
                  <w:sz w:val="20"/>
                  <w:u w:val="single"/>
                </w:rPr>
                <w:t>Fair Value of Financial Instruments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52">
              <w:r>
                <w:rPr>
                  <w:rStyle w:val="InternetLink"/>
                  <w:rFonts w:ascii="Times New Roman;sans-serif" w:hAnsi="Times New Roman;sans-serif"/>
                  <w:b w:val="false"/>
                  <w:strike w:val="false"/>
                  <w:dstrike w:val="false"/>
                  <w:color w:val="000000"/>
                  <w:sz w:val="20"/>
                  <w:u w:val="none"/>
                  <w:effect w:val="none"/>
                </w:rPr>
                <w:t>18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FF"/>
                <w:sz w:val="20"/>
              </w:rPr>
              <w:t>6</w:t>
            </w:r>
            <w:hyperlink w:anchor="iff1f1a04df874dc79a8c3cdc7c5437f3_55">
              <w:r>
                <w:rPr>
                  <w:rStyle w:val="InternetLink"/>
                  <w:rFonts w:ascii="Times New Roman;sans-serif" w:hAnsi="Times New Roman;sans-serif"/>
                  <w:b w:val="false"/>
                  <w:strike w:val="false"/>
                  <w:dstrike w:val="false"/>
                  <w:color w:val="0000FF"/>
                  <w:sz w:val="20"/>
                  <w:u w:val="none"/>
                  <w:effect w:val="none"/>
                </w:rPr>
                <w:t>.</w:t>
              </w:r>
            </w:hyperlink>
            <w:hyperlink w:anchor="iff1f1a04df874dc79a8c3cdc7c5437f3_55">
              <w:r>
                <w:rPr>
                  <w:rStyle w:val="InternetLink"/>
                  <w:rFonts w:ascii="Times New Roman;sans-serif" w:hAnsi="Times New Roman;sans-serif"/>
                  <w:b w:val="false"/>
                  <w:color w:val="0000FF"/>
                  <w:sz w:val="20"/>
                  <w:u w:val="single"/>
                </w:rPr>
                <w:t>Property, Plant and Equipment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55">
              <w:r>
                <w:rPr>
                  <w:rStyle w:val="InternetLink"/>
                  <w:rFonts w:ascii="Times New Roman;sans-serif" w:hAnsi="Times New Roman;sans-serif"/>
                  <w:b w:val="false"/>
                  <w:strike w:val="false"/>
                  <w:dstrike w:val="false"/>
                  <w:color w:val="000000"/>
                  <w:sz w:val="20"/>
                  <w:u w:val="none"/>
                  <w:effect w:val="none"/>
                </w:rPr>
                <w:t>20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FF"/>
                <w:sz w:val="20"/>
              </w:rPr>
              <w:t>7</w:t>
            </w:r>
            <w:hyperlink w:anchor="iff1f1a04df874dc79a8c3cdc7c5437f3_61">
              <w:r>
                <w:rPr>
                  <w:rStyle w:val="InternetLink"/>
                  <w:rFonts w:ascii="Times New Roman;sans-serif" w:hAnsi="Times New Roman;sans-serif"/>
                  <w:b w:val="false"/>
                  <w:strike w:val="false"/>
                  <w:dstrike w:val="false"/>
                  <w:color w:val="0000FF"/>
                  <w:sz w:val="20"/>
                  <w:u w:val="none"/>
                  <w:effect w:val="none"/>
                </w:rPr>
                <w:t>.</w:t>
              </w:r>
            </w:hyperlink>
            <w:hyperlink w:anchor="iff1f1a04df874dc79a8c3cdc7c5437f3_61">
              <w:r>
                <w:rPr>
                  <w:rStyle w:val="InternetLink"/>
                  <w:rFonts w:ascii="Times New Roman;sans-serif" w:hAnsi="Times New Roman;sans-serif"/>
                  <w:b w:val="false"/>
                  <w:color w:val="0000FF"/>
                  <w:sz w:val="20"/>
                  <w:u w:val="single"/>
                </w:rPr>
                <w:t>Goodwill and Intangible Assets and Liabilities</w:t>
              </w:r>
            </w:hyperlink>
            <w:hyperlink w:anchor="iff1f1a04df874dc79a8c3cdc7c5437f3_61">
              <w:r>
                <w:rPr>
                  <w:rStyle w:val="InternetLink"/>
                  <w:strike w:val="false"/>
                  <w:dstrike w:val="false"/>
                  <w:color w:val="0000FF"/>
                  <w:u w:val="none"/>
                  <w:effect w:val="none"/>
                </w:rPr>
                <w:t xml:space="preserve">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61">
              <w:r>
                <w:rPr>
                  <w:rStyle w:val="InternetLink"/>
                  <w:rFonts w:ascii="Times New Roman;sans-serif" w:hAnsi="Times New Roman;sans-serif"/>
                  <w:b w:val="false"/>
                  <w:strike w:val="false"/>
                  <w:dstrike w:val="false"/>
                  <w:color w:val="000000"/>
                  <w:sz w:val="20"/>
                  <w:u w:val="none"/>
                  <w:effect w:val="none"/>
                </w:rPr>
                <w:t>21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FF"/>
                <w:sz w:val="20"/>
              </w:rPr>
              <w:t>8</w:t>
            </w:r>
            <w:hyperlink w:anchor="iff1f1a04df874dc79a8c3cdc7c5437f3_64">
              <w:r>
                <w:rPr>
                  <w:rStyle w:val="InternetLink"/>
                  <w:rFonts w:ascii="Times New Roman;sans-serif" w:hAnsi="Times New Roman;sans-serif"/>
                  <w:b w:val="false"/>
                  <w:strike w:val="false"/>
                  <w:dstrike w:val="false"/>
                  <w:color w:val="0000FF"/>
                  <w:sz w:val="20"/>
                  <w:u w:val="none"/>
                  <w:effect w:val="none"/>
                </w:rPr>
                <w:t>.</w:t>
              </w:r>
            </w:hyperlink>
            <w:hyperlink w:anchor="iff1f1a04df874dc79a8c3cdc7c5437f3_64">
              <w:r>
                <w:rPr>
                  <w:rStyle w:val="InternetLink"/>
                  <w:rFonts w:ascii="Times New Roman;sans-serif" w:hAnsi="Times New Roman;sans-serif"/>
                  <w:b w:val="false"/>
                  <w:color w:val="0000FF"/>
                  <w:sz w:val="20"/>
                  <w:u w:val="single"/>
                </w:rPr>
                <w:t>Notes and Other Debt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64">
              <w:r>
                <w:rPr>
                  <w:rStyle w:val="InternetLink"/>
                  <w:rFonts w:ascii="Times New Roman;sans-serif" w:hAnsi="Times New Roman;sans-serif"/>
                  <w:b w:val="false"/>
                  <w:strike w:val="false"/>
                  <w:dstrike w:val="false"/>
                  <w:color w:val="000000"/>
                  <w:sz w:val="20"/>
                  <w:u w:val="none"/>
                  <w:effect w:val="none"/>
                </w:rPr>
                <w:t>22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FF"/>
                <w:sz w:val="20"/>
              </w:rPr>
              <w:t>9</w:t>
            </w:r>
            <w:hyperlink w:anchor="iff1f1a04df874dc79a8c3cdc7c5437f3_70">
              <w:r>
                <w:rPr>
                  <w:rStyle w:val="InternetLink"/>
                  <w:rFonts w:ascii="Times New Roman;sans-serif" w:hAnsi="Times New Roman;sans-serif"/>
                  <w:b w:val="false"/>
                  <w:strike w:val="false"/>
                  <w:dstrike w:val="false"/>
                  <w:color w:val="0000FF"/>
                  <w:sz w:val="20"/>
                  <w:u w:val="none"/>
                  <w:effect w:val="none"/>
                </w:rPr>
                <w:t>.</w:t>
              </w:r>
            </w:hyperlink>
            <w:hyperlink w:anchor="iff1f1a04df874dc79a8c3cdc7c5437f3_70">
              <w:r>
                <w:rPr>
                  <w:rStyle w:val="InternetLink"/>
                  <w:rFonts w:ascii="Times New Roman;sans-serif" w:hAnsi="Times New Roman;sans-serif"/>
                  <w:b w:val="false"/>
                  <w:color w:val="0000FF"/>
                  <w:sz w:val="20"/>
                  <w:u w:val="single"/>
                </w:rPr>
                <w:t>Earnings Per Share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70">
              <w:r>
                <w:rPr>
                  <w:rStyle w:val="InternetLink"/>
                  <w:rFonts w:ascii="Times New Roman;sans-serif" w:hAnsi="Times New Roman;sans-serif"/>
                  <w:b w:val="false"/>
                  <w:strike w:val="false"/>
                  <w:dstrike w:val="false"/>
                  <w:color w:val="000000"/>
                  <w:sz w:val="20"/>
                  <w:u w:val="none"/>
                  <w:effect w:val="none"/>
                </w:rPr>
                <w:t>24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FF"/>
                <w:sz w:val="20"/>
              </w:rPr>
              <w:t>10</w:t>
            </w:r>
            <w:hyperlink w:anchor="iff1f1a04df874dc79a8c3cdc7c5437f3_73">
              <w:r>
                <w:rPr>
                  <w:rStyle w:val="InternetLink"/>
                  <w:rFonts w:ascii="Times New Roman;sans-serif" w:hAnsi="Times New Roman;sans-serif"/>
                  <w:b w:val="false"/>
                  <w:strike w:val="false"/>
                  <w:dstrike w:val="false"/>
                  <w:color w:val="0000FF"/>
                  <w:sz w:val="20"/>
                  <w:u w:val="none"/>
                  <w:effect w:val="none"/>
                </w:rPr>
                <w:t>.</w:t>
              </w:r>
            </w:hyperlink>
            <w:hyperlink w:anchor="iff1f1a04df874dc79a8c3cdc7c5437f3_73">
              <w:r>
                <w:rPr>
                  <w:rStyle w:val="InternetLink"/>
                  <w:rFonts w:ascii="Times New Roman;sans-serif" w:hAnsi="Times New Roman;sans-serif"/>
                  <w:b w:val="false"/>
                  <w:color w:val="0000FF"/>
                  <w:sz w:val="20"/>
                  <w:u w:val="single"/>
                </w:rPr>
                <w:t>Segment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73">
              <w:r>
                <w:rPr>
                  <w:rStyle w:val="InternetLink"/>
                  <w:rFonts w:ascii="Times New Roman;sans-serif" w:hAnsi="Times New Roman;sans-serif"/>
                  <w:b w:val="false"/>
                  <w:strike w:val="false"/>
                  <w:dstrike w:val="false"/>
                  <w:color w:val="000000"/>
                  <w:sz w:val="20"/>
                  <w:u w:val="none"/>
                  <w:effect w:val="none"/>
                </w:rPr>
                <w:t>26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ff1f1a04df874dc79a8c3cdc7c5437f3_76">
              <w:r>
                <w:rPr>
                  <w:rStyle w:val="InternetLink"/>
                  <w:rFonts w:ascii="Times New Roman;sans-serif" w:hAnsi="Times New Roman;sans-serif"/>
                  <w:b w:val="false"/>
                  <w:strike w:val="false"/>
                  <w:dstrike w:val="false"/>
                  <w:color w:val="000080"/>
                  <w:sz w:val="20"/>
                  <w:u w:val="single"/>
                  <w:effect w:val="none"/>
                </w:rPr>
                <w:t>1</w:t>
              </w:r>
            </w:hyperlink>
            <w:hyperlink w:anchor="iff1f1a04df874dc79a8c3cdc7c5437f3_76">
              <w:r>
                <w:rPr>
                  <w:rStyle w:val="InternetLink"/>
                  <w:rFonts w:ascii="Times New Roman;sans-serif" w:hAnsi="Times New Roman;sans-serif"/>
                  <w:b w:val="false"/>
                  <w:strike w:val="false"/>
                  <w:dstrike w:val="false"/>
                  <w:color w:val="000080"/>
                  <w:sz w:val="20"/>
                  <w:u w:val="single"/>
                  <w:effect w:val="none"/>
                </w:rPr>
                <w:t>1</w:t>
              </w:r>
            </w:hyperlink>
            <w:hyperlink w:anchor="iff1f1a04df874dc79a8c3cdc7c5437f3_76">
              <w:r>
                <w:rPr>
                  <w:rStyle w:val="InternetLink"/>
                  <w:rFonts w:ascii="Times New Roman;sans-serif" w:hAnsi="Times New Roman;sans-serif"/>
                  <w:b w:val="false"/>
                  <w:strike w:val="false"/>
                  <w:dstrike w:val="false"/>
                  <w:color w:val="000080"/>
                  <w:sz w:val="20"/>
                  <w:u w:val="single"/>
                  <w:effect w:val="none"/>
                </w:rPr>
                <w:t>.</w:t>
              </w:r>
            </w:hyperlink>
            <w:hyperlink w:anchor="iff1f1a04df874dc79a8c3cdc7c5437f3_76">
              <w:r>
                <w:rPr>
                  <w:rStyle w:val="InternetLink"/>
                  <w:rFonts w:ascii="Times New Roman;sans-serif" w:hAnsi="Times New Roman;sans-serif"/>
                  <w:b w:val="false"/>
                  <w:color w:val="0000FF"/>
                  <w:sz w:val="20"/>
                  <w:u w:val="single"/>
                </w:rPr>
                <w:t>Commitments and Contingencies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76">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ff1f1a04df874dc79a8c3cdc7c5437f3_79">
              <w:r>
                <w:rPr>
                  <w:rStyle w:val="InternetLink"/>
                  <w:rFonts w:ascii="Times New Roman;sans-serif" w:hAnsi="Times New Roman;sans-serif"/>
                  <w:b w:val="false"/>
                  <w:strike w:val="false"/>
                  <w:dstrike w:val="false"/>
                  <w:color w:val="000080"/>
                  <w:sz w:val="20"/>
                  <w:u w:val="single"/>
                  <w:effect w:val="none"/>
                </w:rPr>
                <w:t>1</w:t>
              </w:r>
            </w:hyperlink>
            <w:hyperlink w:anchor="iff1f1a04df874dc79a8c3cdc7c5437f3_79">
              <w:r>
                <w:rPr>
                  <w:rStyle w:val="InternetLink"/>
                  <w:rFonts w:ascii="Times New Roman;sans-serif" w:hAnsi="Times New Roman;sans-serif"/>
                  <w:b w:val="false"/>
                  <w:strike w:val="false"/>
                  <w:dstrike w:val="false"/>
                  <w:color w:val="000080"/>
                  <w:sz w:val="20"/>
                  <w:u w:val="single"/>
                  <w:effect w:val="none"/>
                </w:rPr>
                <w:t>2</w:t>
              </w:r>
            </w:hyperlink>
            <w:hyperlink w:anchor="iff1f1a04df874dc79a8c3cdc7c5437f3_79">
              <w:r>
                <w:rPr>
                  <w:rStyle w:val="InternetLink"/>
                  <w:rFonts w:ascii="Times New Roman;sans-serif" w:hAnsi="Times New Roman;sans-serif"/>
                  <w:b w:val="false"/>
                  <w:strike w:val="false"/>
                  <w:dstrike w:val="false"/>
                  <w:color w:val="000080"/>
                  <w:sz w:val="20"/>
                  <w:u w:val="single"/>
                  <w:effect w:val="none"/>
                </w:rPr>
                <w:t>.</w:t>
              </w:r>
            </w:hyperlink>
            <w:hyperlink w:anchor="iff1f1a04df874dc79a8c3cdc7c5437f3_79">
              <w:r>
                <w:rPr>
                  <w:rStyle w:val="InternetLink"/>
                  <w:rFonts w:ascii="Times New Roman;sans-serif" w:hAnsi="Times New Roman;sans-serif"/>
                  <w:b w:val="false"/>
                  <w:color w:val="0000FF"/>
                  <w:sz w:val="20"/>
                  <w:u w:val="single"/>
                </w:rPr>
                <w:t>Accumulated Other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79">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ff1f1a04df874dc79a8c3cdc7c5437f3_82">
              <w:r>
                <w:rPr>
                  <w:rStyle w:val="InternetLink"/>
                  <w:rFonts w:ascii="Times New Roman;sans-serif" w:hAnsi="Times New Roman;sans-serif"/>
                  <w:b w:val="false"/>
                  <w:strike w:val="false"/>
                  <w:dstrike w:val="false"/>
                  <w:color w:val="000080"/>
                  <w:sz w:val="20"/>
                  <w:u w:val="single"/>
                  <w:effect w:val="none"/>
                </w:rPr>
                <w:t>1</w:t>
              </w:r>
            </w:hyperlink>
            <w:hyperlink w:anchor="iff1f1a04df874dc79a8c3cdc7c5437f3_82">
              <w:r>
                <w:rPr>
                  <w:rStyle w:val="InternetLink"/>
                  <w:rFonts w:ascii="Times New Roman;sans-serif" w:hAnsi="Times New Roman;sans-serif"/>
                  <w:b w:val="false"/>
                  <w:strike w:val="false"/>
                  <w:dstrike w:val="false"/>
                  <w:color w:val="000080"/>
                  <w:sz w:val="20"/>
                  <w:u w:val="single"/>
                  <w:effect w:val="none"/>
                </w:rPr>
                <w:t>3</w:t>
              </w:r>
            </w:hyperlink>
            <w:hyperlink w:anchor="iff1f1a04df874dc79a8c3cdc7c5437f3_82">
              <w:r>
                <w:rPr>
                  <w:rStyle w:val="InternetLink"/>
                  <w:rFonts w:ascii="Times New Roman;sans-serif" w:hAnsi="Times New Roman;sans-serif"/>
                  <w:b w:val="false"/>
                  <w:strike w:val="false"/>
                  <w:dstrike w:val="false"/>
                  <w:color w:val="000080"/>
                  <w:sz w:val="20"/>
                  <w:u w:val="single"/>
                  <w:effect w:val="none"/>
                </w:rPr>
                <w:t>.</w:t>
              </w:r>
            </w:hyperlink>
            <w:hyperlink w:anchor="iff1f1a04df874dc79a8c3cdc7c5437f3_82">
              <w:r>
                <w:rPr>
                  <w:rStyle w:val="InternetLink"/>
                  <w:rFonts w:ascii="Times New Roman;sans-serif" w:hAnsi="Times New Roman;sans-serif"/>
                  <w:b w:val="false"/>
                  <w:color w:val="0000FF"/>
                  <w:sz w:val="20"/>
                  <w:u w:val="single"/>
                </w:rPr>
                <w:t>Capital Stock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82">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E32E1"/>
                <w:sz w:val="20"/>
              </w:rPr>
              <w:t>14.</w:t>
            </w:r>
            <w:hyperlink w:anchor="iff1f1a04df874dc79a8c3cdc7c5437f3_543">
              <w:r>
                <w:rPr>
                  <w:rStyle w:val="InternetLink"/>
                  <w:rFonts w:ascii="Times New Roman;sans-serif" w:hAnsi="Times New Roman;sans-serif"/>
                  <w:b w:val="false"/>
                  <w:color w:val="0000FF"/>
                  <w:sz w:val="20"/>
                  <w:u w:val="single"/>
                </w:rPr>
                <w:t>Supplementary Unrestricted Subsidiary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543">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85">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85">
              <w:r>
                <w:rPr>
                  <w:rStyle w:val="InternetLink"/>
                  <w:rFonts w:ascii="Times New Roman;sans-serif" w:hAnsi="Times New Roman;sans-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ff1f1a04df874dc79a8c3cdc7c5437f3_88">
              <w:r>
                <w:rPr>
                  <w:rStyle w:val="InternetLink"/>
                  <w:rFonts w:ascii="Times New Roman;sans-serif" w:hAnsi="Times New Roman;sans-serif"/>
                  <w:b w:val="false"/>
                  <w:strike w:val="false"/>
                  <w:dstrike w:val="false"/>
                  <w:color w:val="0000FF"/>
                  <w:sz w:val="20"/>
                  <w:u w:val="none"/>
                  <w:effect w:val="none"/>
                </w:rPr>
                <w:t>1.</w:t>
              </w:r>
            </w:hyperlink>
            <w:hyperlink w:anchor="iff1f1a04df874dc79a8c3cdc7c5437f3_88">
              <w:r>
                <w:rPr>
                  <w:rStyle w:val="InternetLink"/>
                  <w:rFonts w:ascii="Times New Roman;sans-serif" w:hAnsi="Times New Roman;sans-serif"/>
                  <w:b w:val="false"/>
                  <w:color w:val="0000FF"/>
                  <w:sz w:val="20"/>
                  <w:u w:val="single"/>
                </w:rPr>
                <w:t>Overview</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88">
              <w:r>
                <w:rPr>
                  <w:rStyle w:val="InternetLink"/>
                  <w:rFonts w:ascii="Times New Roman;sans-serif" w:hAnsi="Times New Roman;sans-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ff1f1a04df874dc79a8c3cdc7c5437f3_91">
              <w:r>
                <w:rPr>
                  <w:rStyle w:val="InternetLink"/>
                  <w:rFonts w:ascii="Times New Roman;sans-serif" w:hAnsi="Times New Roman;sans-serif"/>
                  <w:b w:val="false"/>
                  <w:strike w:val="false"/>
                  <w:dstrike w:val="false"/>
                  <w:color w:val="0000FF"/>
                  <w:sz w:val="20"/>
                  <w:u w:val="none"/>
                  <w:effect w:val="none"/>
                </w:rPr>
                <w:t>2.</w:t>
              </w:r>
            </w:hyperlink>
            <w:hyperlink w:anchor="iff1f1a04df874dc79a8c3cdc7c5437f3_91">
              <w:r>
                <w:rPr>
                  <w:rStyle w:val="InternetLink"/>
                  <w:rFonts w:ascii="Times New Roman;sans-serif" w:hAnsi="Times New Roman;sans-serif"/>
                  <w:b w:val="false"/>
                  <w:color w:val="0000FF"/>
                  <w:sz w:val="20"/>
                  <w:u w:val="single"/>
                </w:rPr>
                <w:t>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91">
              <w:r>
                <w:rPr>
                  <w:rStyle w:val="InternetLink"/>
                  <w:rFonts w:ascii="Times New Roman;sans-serif" w:hAnsi="Times New Roman;sans-serif"/>
                  <w:b w:val="false"/>
                  <w:strike w:val="false"/>
                  <w:dstrike w:val="false"/>
                  <w:color w:val="000000"/>
                  <w:sz w:val="20"/>
                  <w:u w:val="none"/>
                  <w:effect w:val="none"/>
                </w:rPr>
                <w:t>38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ff1f1a04df874dc79a8c3cdc7c5437f3_97">
              <w:r>
                <w:rPr>
                  <w:rStyle w:val="InternetLink"/>
                  <w:rFonts w:ascii="Times New Roman;sans-serif" w:hAnsi="Times New Roman;sans-serif"/>
                  <w:b w:val="false"/>
                  <w:strike w:val="false"/>
                  <w:dstrike w:val="false"/>
                  <w:color w:val="0000FF"/>
                  <w:sz w:val="20"/>
                  <w:u w:val="none"/>
                  <w:effect w:val="none"/>
                </w:rPr>
                <w:t>3.</w:t>
              </w:r>
            </w:hyperlink>
            <w:hyperlink w:anchor="iff1f1a04df874dc79a8c3cdc7c5437f3_97">
              <w:r>
                <w:rPr>
                  <w:rStyle w:val="InternetLink"/>
                  <w:rFonts w:ascii="Times New Roman;sans-serif" w:hAnsi="Times New Roman;sans-serif"/>
                  <w:b w:val="false"/>
                  <w:color w:val="0000FF"/>
                  <w:sz w:val="20"/>
                  <w:u w:val="single"/>
                </w:rPr>
                <w:t>Non-GAAP Financial Measures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97">
              <w:r>
                <w:rPr>
                  <w:rStyle w:val="InternetLink"/>
                  <w:rFonts w:ascii="Times New Roman;sans-serif" w:hAnsi="Times New Roman;sans-serif"/>
                  <w:b w:val="false"/>
                  <w:strike w:val="false"/>
                  <w:dstrike w:val="false"/>
                  <w:color w:val="000000"/>
                  <w:sz w:val="20"/>
                  <w:u w:val="none"/>
                  <w:effect w:val="none"/>
                </w:rPr>
                <w:t>45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ff1f1a04df874dc79a8c3cdc7c5437f3_100">
              <w:r>
                <w:rPr>
                  <w:rStyle w:val="InternetLink"/>
                  <w:rFonts w:ascii="Times New Roman;sans-serif" w:hAnsi="Times New Roman;sans-serif"/>
                  <w:b w:val="false"/>
                  <w:strike w:val="false"/>
                  <w:dstrike w:val="false"/>
                  <w:color w:val="0000FF"/>
                  <w:sz w:val="20"/>
                  <w:u w:val="none"/>
                  <w:effect w:val="none"/>
                </w:rPr>
                <w:t>4.</w:t>
              </w:r>
            </w:hyperlink>
            <w:hyperlink w:anchor="iff1f1a04df874dc79a8c3cdc7c5437f3_100">
              <w:r>
                <w:rPr>
                  <w:rStyle w:val="InternetLink"/>
                  <w:rFonts w:ascii="Times New Roman;sans-serif" w:hAnsi="Times New Roman;sans-serif"/>
                  <w:b w:val="false"/>
                  <w:color w:val="0000FF"/>
                  <w:sz w:val="20"/>
                  <w:u w:val="single"/>
                </w:rPr>
                <w:t>Liquidity and Capital Resources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00">
              <w:r>
                <w:rPr>
                  <w:rStyle w:val="InternetLink"/>
                  <w:rFonts w:ascii="Times New Roman;sans-serif" w:hAnsi="Times New Roman;sans-serif"/>
                  <w:b w:val="false"/>
                  <w:strike w:val="false"/>
                  <w:dstrike w:val="false"/>
                  <w:color w:val="000000"/>
                  <w:sz w:val="20"/>
                  <w:u w:val="none"/>
                  <w:effect w:val="none"/>
                </w:rPr>
                <w:t>47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15">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15">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15">
              <w:r>
                <w:rPr>
                  <w:rStyle w:val="InternetLink"/>
                  <w:rFonts w:ascii="Times New Roman;sans-serif" w:hAnsi="Times New Roman;sans-serif"/>
                  <w:b w:val="false"/>
                  <w:strike w:val="false"/>
                  <w:dstrike w:val="false"/>
                  <w:color w:val="000000"/>
                  <w:sz w:val="20"/>
                  <w:u w:val="none"/>
                  <w:effect w:val="none"/>
                </w:rPr>
                <w:t>52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18">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18">
              <w:r>
                <w:rPr>
                  <w:rStyle w:val="InternetLink"/>
                  <w:rFonts w:ascii="Times New Roman;sans-serif" w:hAnsi="Times New Roman;sans-serif"/>
                  <w:b w:val="false"/>
                  <w:color w:val="0000FF"/>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18">
              <w:r>
                <w:rPr>
                  <w:rStyle w:val="InternetLink"/>
                  <w:rFonts w:ascii="Times New Roman;sans-serif" w:hAnsi="Times New Roman;sans-serif"/>
                  <w:b w:val="false"/>
                  <w:strike w:val="false"/>
                  <w:dstrike w:val="false"/>
                  <w:color w:val="000000"/>
                  <w:sz w:val="20"/>
                  <w:u w:val="none"/>
                  <w:effect w:val="none"/>
                </w:rPr>
                <w:t>52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21">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21">
              <w:r>
                <w:rPr>
                  <w:rStyle w:val="InternetLink"/>
                  <w:rFonts w:ascii="Times New Roman;sans-serif" w:hAnsi="Times New Roman;sans-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24">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24">
              <w:r>
                <w:rPr>
                  <w:rStyle w:val="InternetLink"/>
                  <w:rFonts w:ascii="Times New Roman;sans-serif" w:hAnsi="Times New Roman;sans-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24">
              <w:r>
                <w:rPr>
                  <w:rStyle w:val="InternetLink"/>
                  <w:rFonts w:ascii="Times New Roman;sans-serif" w:hAnsi="Times New Roman;sans-serif"/>
                  <w:b w:val="false"/>
                  <w:strike w:val="false"/>
                  <w:dstrike w:val="false"/>
                  <w:color w:val="000000"/>
                  <w:sz w:val="20"/>
                  <w:u w:val="none"/>
                  <w:effect w:val="none"/>
                </w:rPr>
                <w:t>54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27">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27">
              <w:r>
                <w:rPr>
                  <w:rStyle w:val="InternetLink"/>
                  <w:rFonts w:ascii="Times New Roman;sans-serif" w:hAnsi="Times New Roman;sans-serif"/>
                  <w:b w:val="false"/>
                  <w:color w:val="0000FF"/>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27">
              <w:r>
                <w:rPr>
                  <w:rStyle w:val="InternetLink"/>
                  <w:rFonts w:ascii="Times New Roman;sans-serif" w:hAnsi="Times New Roman;sans-serif"/>
                  <w:b w:val="false"/>
                  <w:strike w:val="false"/>
                  <w:dstrike w:val="false"/>
                  <w:color w:val="000000"/>
                  <w:sz w:val="20"/>
                  <w:u w:val="none"/>
                  <w:effect w:val="none"/>
                </w:rPr>
                <w:t>54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30">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30">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30">
              <w:r>
                <w:rPr>
                  <w:rStyle w:val="InternetLink"/>
                  <w:rFonts w:ascii="Times New Roman;sans-serif" w:hAnsi="Times New Roman;sans-serif"/>
                  <w:b w:val="false"/>
                  <w:strike w:val="false"/>
                  <w:dstrike w:val="false"/>
                  <w:color w:val="000000"/>
                  <w:sz w:val="20"/>
                  <w:u w:val="none"/>
                  <w:effect w:val="none"/>
                </w:rPr>
                <w:t>54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33">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33">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33">
              <w:r>
                <w:rPr>
                  <w:rStyle w:val="InternetLink"/>
                  <w:rFonts w:ascii="Times New Roman;sans-serif" w:hAnsi="Times New Roman;sans-serif"/>
                  <w:b w:val="false"/>
                  <w:strike w:val="false"/>
                  <w:dstrike w:val="false"/>
                  <w:color w:val="000000"/>
                  <w:sz w:val="20"/>
                  <w:u w:val="none"/>
                  <w:effect w:val="none"/>
                </w:rPr>
                <w:t>54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36">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36">
              <w:r>
                <w:rPr>
                  <w:rStyle w:val="InternetLink"/>
                  <w:rFonts w:ascii="Times New Roman;sans-serif" w:hAnsi="Times New Roman;sans-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36">
              <w:r>
                <w:rPr>
                  <w:rStyle w:val="InternetLink"/>
                  <w:rFonts w:ascii="Times New Roman;sans-serif" w:hAnsi="Times New Roman;sans-serif"/>
                  <w:b w:val="false"/>
                  <w:strike w:val="false"/>
                  <w:dstrike w:val="false"/>
                  <w:color w:val="000000"/>
                  <w:sz w:val="20"/>
                  <w:u w:val="none"/>
                  <w:effect w:val="none"/>
                </w:rPr>
                <w:t>54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39">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39">
              <w:r>
                <w:rPr>
                  <w:rStyle w:val="InternetLink"/>
                  <w:rFonts w:ascii="Times New Roman;sans-serif" w:hAnsi="Times New Roman;sans-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39">
              <w:r>
                <w:rPr>
                  <w:rStyle w:val="InternetLink"/>
                  <w:rFonts w:ascii="Times New Roman;sans-serif" w:hAnsi="Times New Roman;sans-serif"/>
                  <w:b w:val="false"/>
                  <w:strike w:val="false"/>
                  <w:dstrike w:val="false"/>
                  <w:color w:val="000000"/>
                  <w:sz w:val="20"/>
                  <w:u w:val="none"/>
                  <w:effect w:val="none"/>
                </w:rPr>
                <w:t>54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42">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42">
              <w:r>
                <w:rPr>
                  <w:rStyle w:val="InternetLink"/>
                  <w:rFonts w:ascii="Times New Roman;sans-serif" w:hAnsi="Times New Roman;sans-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42">
              <w:r>
                <w:rPr>
                  <w:rStyle w:val="InternetLink"/>
                  <w:rFonts w:ascii="Times New Roman;sans-serif" w:hAnsi="Times New Roman;sans-serif"/>
                  <w:b w:val="false"/>
                  <w:strike w:val="false"/>
                  <w:dstrike w:val="false"/>
                  <w:color w:val="000000"/>
                  <w:sz w:val="20"/>
                  <w:u w:val="none"/>
                  <w:effect w:val="none"/>
                </w:rPr>
                <w:t>55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f1f1a04df874dc79a8c3cdc7c5437f3_145">
              <w:r>
                <w:rPr>
                  <w:rStyle w:val="InternetLink"/>
                  <w:rFonts w:ascii="Times New Roman;sans-serif" w:hAnsi="Times New Roman;sans-serif"/>
                  <w:b w:val="false"/>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ff1f1a04df874dc79a8c3cdc7c5437f3_145">
              <w:r>
                <w:rPr>
                  <w:rStyle w:val="InternetLink"/>
                  <w:rFonts w:ascii="Times New Roman;sans-serif" w:hAnsi="Times New Roman;sans-serif"/>
                  <w:b w:val="false"/>
                  <w:strike w:val="false"/>
                  <w:dstrike w:val="false"/>
                  <w:color w:val="000000"/>
                  <w:sz w:val="20"/>
                  <w:u w:val="none"/>
                  <w:effect w:val="non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609"/>
        <w:gridCol w:w="2103"/>
        <w:gridCol w:w="2108"/>
        <w:gridCol w:w="109"/>
        <w:gridCol w:w="109"/>
        <w:gridCol w:w="109"/>
        <w:gridCol w:w="211"/>
        <w:gridCol w:w="976"/>
        <w:gridCol w:w="109"/>
        <w:gridCol w:w="109"/>
        <w:gridCol w:w="109"/>
        <w:gridCol w:w="109"/>
        <w:gridCol w:w="225"/>
        <w:gridCol w:w="1043"/>
        <w:gridCol w:w="167"/>
      </w:tblGrid>
      <w:tr>
        <w:trPr/>
        <w:tc>
          <w:tcPr>
            <w:tcW w:w="2609"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par value)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6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4,209,747 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revenue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6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5,282,145 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payable (Note 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1,400,952 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5,783,597 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7,733,985 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 shares authorized, no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500,000 shares authorized, issued and outstanding: 238,557 shares at March 31, 2025 and 237,513 shares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1,236,045 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in excess of accumulated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(3,687,808)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(2,452,373)</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partnership units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Cumulative non-voting convertible preferred stock, $0.01 par value, 6 shares authorized, 3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(2,451,840)</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5,282,145 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56"/>
        <w:gridCol w:w="2158"/>
        <w:gridCol w:w="2162"/>
        <w:gridCol w:w="109"/>
        <w:gridCol w:w="109"/>
        <w:gridCol w:w="109"/>
        <w:gridCol w:w="211"/>
        <w:gridCol w:w="826"/>
        <w:gridCol w:w="109"/>
        <w:gridCol w:w="109"/>
        <w:gridCol w:w="109"/>
        <w:gridCol w:w="109"/>
        <w:gridCol w:w="211"/>
        <w:gridCol w:w="826"/>
        <w:gridCol w:w="109"/>
        <w:gridCol w:w="109"/>
        <w:gridCol w:w="109"/>
        <w:gridCol w:w="109"/>
        <w:gridCol w:w="156"/>
      </w:tblGrid>
      <w:tr>
        <w:trPr/>
        <w:tc>
          <w:tcPr>
            <w:tcW w:w="2456"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7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rentals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rentals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 and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238,062 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376" w:type="dxa"/>
        <w:jc w:val="center"/>
        <w:tblInd w:w="0" w:type="dxa"/>
        <w:tblLayout w:type="fixed"/>
        <w:tblCellMar>
          <w:top w:w="28" w:type="dxa"/>
          <w:left w:w="28" w:type="dxa"/>
          <w:bottom w:w="28" w:type="dxa"/>
          <w:right w:w="28" w:type="dxa"/>
        </w:tblCellMar>
      </w:tblPr>
      <w:tblGrid>
        <w:gridCol w:w="1867"/>
        <w:gridCol w:w="1638"/>
        <w:gridCol w:w="1654"/>
        <w:gridCol w:w="109"/>
        <w:gridCol w:w="109"/>
        <w:gridCol w:w="109"/>
        <w:gridCol w:w="211"/>
        <w:gridCol w:w="721"/>
        <w:gridCol w:w="109"/>
        <w:gridCol w:w="109"/>
        <w:gridCol w:w="109"/>
        <w:gridCol w:w="109"/>
        <w:gridCol w:w="211"/>
        <w:gridCol w:w="721"/>
        <w:gridCol w:w="109"/>
        <w:gridCol w:w="109"/>
        <w:gridCol w:w="109"/>
        <w:gridCol w:w="109"/>
        <w:gridCol w:w="154"/>
      </w:tblGrid>
      <w:tr>
        <w:trPr/>
        <w:tc>
          <w:tcPr>
            <w:tcW w:w="1867"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valuation of 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realized interest on 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4788" w:type="dxa"/>
        <w:jc w:val="center"/>
        <w:tblInd w:w="0" w:type="dxa"/>
        <w:tblLayout w:type="fixed"/>
        <w:tblCellMar>
          <w:top w:w="28" w:type="dxa"/>
          <w:left w:w="28" w:type="dxa"/>
          <w:bottom w:w="28" w:type="dxa"/>
          <w:right w:w="28" w:type="dxa"/>
        </w:tblCellMar>
      </w:tblPr>
      <w:tblGrid>
        <w:gridCol w:w="548"/>
        <w:gridCol w:w="311"/>
        <w:gridCol w:w="312"/>
        <w:gridCol w:w="109"/>
        <w:gridCol w:w="109"/>
        <w:gridCol w:w="109"/>
        <w:gridCol w:w="203"/>
        <w:gridCol w:w="203"/>
        <w:gridCol w:w="186"/>
        <w:gridCol w:w="109"/>
        <w:gridCol w:w="109"/>
        <w:gridCol w:w="109"/>
        <w:gridCol w:w="196"/>
        <w:gridCol w:w="406"/>
        <w:gridCol w:w="109"/>
        <w:gridCol w:w="109"/>
        <w:gridCol w:w="109"/>
        <w:gridCol w:w="109"/>
        <w:gridCol w:w="525"/>
        <w:gridCol w:w="526"/>
        <w:gridCol w:w="186"/>
        <w:gridCol w:w="109"/>
        <w:gridCol w:w="109"/>
        <w:gridCol w:w="109"/>
        <w:gridCol w:w="208"/>
        <w:gridCol w:w="351"/>
        <w:gridCol w:w="117"/>
        <w:gridCol w:w="109"/>
        <w:gridCol w:w="109"/>
        <w:gridCol w:w="109"/>
        <w:gridCol w:w="196"/>
        <w:gridCol w:w="871"/>
        <w:gridCol w:w="109"/>
        <w:gridCol w:w="109"/>
        <w:gridCol w:w="109"/>
        <w:gridCol w:w="109"/>
        <w:gridCol w:w="313"/>
        <w:gridCol w:w="697"/>
        <w:gridCol w:w="176"/>
        <w:gridCol w:w="109"/>
        <w:gridCol w:w="109"/>
        <w:gridCol w:w="109"/>
        <w:gridCol w:w="196"/>
        <w:gridCol w:w="886"/>
        <w:gridCol w:w="109"/>
        <w:gridCol w:w="109"/>
        <w:gridCol w:w="109"/>
        <w:gridCol w:w="109"/>
        <w:gridCol w:w="266"/>
        <w:gridCol w:w="756"/>
        <w:gridCol w:w="149"/>
        <w:gridCol w:w="109"/>
        <w:gridCol w:w="109"/>
        <w:gridCol w:w="109"/>
        <w:gridCol w:w="316"/>
        <w:gridCol w:w="679"/>
        <w:gridCol w:w="176"/>
        <w:gridCol w:w="109"/>
        <w:gridCol w:w="109"/>
        <w:gridCol w:w="109"/>
        <w:gridCol w:w="196"/>
        <w:gridCol w:w="88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0" w:type="dxa"/>
            <w:gridSpan w:val="57"/>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three months ended March 31, </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Other</w:t>
              <w:br/>
              <w:t>Comprehensive</w:t>
              <w:br/>
              <w:t>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Distributions in</w:t>
              <w:br/>
              <w:t>Excess of</w:t>
              <w:br/>
              <w:t>Accumulated</w:t>
              <w:b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 - OP 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 - Non-</w:t>
              <w:br/>
              <w:t>voting Preferred</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Shareholders'</w:t>
              <w:br/>
              <w:t>Deficit</w:t>
            </w:r>
          </w:p>
        </w:tc>
      </w:tr>
      <w:tr>
        <w:trPr/>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236,558,601 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(2,484,121)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declared ($0.15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667,051 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237,308,699 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(3,703,597)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(2,477,483)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237,513,495 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(2,451,840)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award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924,175 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119,169 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238,556,839 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(3,675,200)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(2,437,454)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00" w:type="dxa"/>
        <w:jc w:val="center"/>
        <w:tblInd w:w="0" w:type="dxa"/>
        <w:tblLayout w:type="fixed"/>
        <w:tblCellMar>
          <w:top w:w="28" w:type="dxa"/>
          <w:left w:w="28" w:type="dxa"/>
          <w:bottom w:w="28" w:type="dxa"/>
          <w:right w:w="28" w:type="dxa"/>
        </w:tblCellMar>
      </w:tblPr>
      <w:tblGrid>
        <w:gridCol w:w="2429"/>
        <w:gridCol w:w="2131"/>
        <w:gridCol w:w="2159"/>
        <w:gridCol w:w="109"/>
        <w:gridCol w:w="109"/>
        <w:gridCol w:w="109"/>
        <w:gridCol w:w="211"/>
        <w:gridCol w:w="721"/>
        <w:gridCol w:w="109"/>
        <w:gridCol w:w="109"/>
        <w:gridCol w:w="109"/>
        <w:gridCol w:w="109"/>
        <w:gridCol w:w="211"/>
        <w:gridCol w:w="721"/>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r>
      <w:tr>
        <w:trPr/>
        <w:tc>
          <w:tcPr>
            <w:tcW w:w="67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2025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r>
      <w:tr>
        <w:trPr/>
        <w:tc>
          <w:tcPr>
            <w:tcW w:w="6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revenues and amortization of below-market 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settlement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other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unconsolidated entity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notes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ABS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183,847 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62,264 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7716" w:type="dxa"/>
        <w:jc w:val="center"/>
        <w:tblInd w:w="0" w:type="dxa"/>
        <w:tblLayout w:type="fixed"/>
        <w:tblCellMar>
          <w:top w:w="28" w:type="dxa"/>
          <w:left w:w="28" w:type="dxa"/>
          <w:bottom w:w="28" w:type="dxa"/>
          <w:right w:w="28" w:type="dxa"/>
        </w:tblCellMar>
      </w:tblPr>
      <w:tblGrid>
        <w:gridCol w:w="1749"/>
        <w:gridCol w:w="1536"/>
        <w:gridCol w:w="1545"/>
        <w:gridCol w:w="109"/>
        <w:gridCol w:w="109"/>
        <w:gridCol w:w="109"/>
        <w:gridCol w:w="211"/>
        <w:gridCol w:w="826"/>
        <w:gridCol w:w="109"/>
        <w:gridCol w:w="109"/>
        <w:gridCol w:w="109"/>
        <w:gridCol w:w="109"/>
        <w:gridCol w:w="211"/>
        <w:gridCol w:w="721"/>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acquired but not yet paid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capital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Description of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March 31, 2025, we are the sole general partner of the Operating Partnership and own 100.00% of the partnership interests in the Operating Partnership.</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Our Proposed Merger with Windstream</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 2024, Uniti entered into an Agreement and Plan of Merger, by and between Uniti and Windstream, as amended by Amendment No. 1 to the Agreement and Plan of Merger, dated as of July 17, 2024 (as it may be further amended and/or restated from time to time, the "Merger Agreement"). Upon the terms and subject to the conditions set forth in the Merger Agreement and following a pre-closing reorganization of Windstream, an affiliate of Windstream identified as "Merger Sub" in the Merger Agreement will merge with and into Uniti (the "Merger"), with Uniti surviving the Merger, with the result that both of Uniti and Windstream's successor by merger will be indirect wholly owned subsidiaries of Windstream Parent Inc., a Delaware corporation that is currently an indirect wholly owned subsidiary of Windstream (“New Uniti”). In connection with the Merger, Windstream Parent, Inc. will be renamed Uniti Group Inc. Following the Merger, the common stock of New Uniti (“New Uniti Common Stock”) is expected to be listed on the Nasdaq Global Market under the proposed symbol “UNIT.” Our Merger with Windstream is subject to customary closing conditions, including, among others, approval by our stockholders, which was obtained April 2, 2025, and receipt of required regulatory approvals.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Merger intends to reunite Windstream’s business with the underlying fiber infrastructure owned by the Company to create a premier digital infrastructure company with a strong platform for value creation. Upon consummation of the Merger, the board of directors of New Uniti will initially comprise nine members, including five directors to be appointed by Uniti. It is expected that Uniti’s existing officers will serve as initial officers of New Uniti.</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effective time of the Merger, each share of Uniti’s common stock that is issued and outstanding will automatically be cancelled and retired and converted into the right to a number of shares of New Uniti Common Stock pursuant to an exchange ratio set forth in the Merger Agreement such that the Company's and Windstream's stockholders are expected to hold approximately 62% and 38%, respectively, of the combined company before giving effect to the conversion of any outstanding convertible securities or the issuance of warrants to purchase New Uniti Common Stock referenced below.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at the closing of the Merger, we will fund an aggregate cash payment of $425 million (less certain transaction expenses) that will be distributed to Windstream equityholders on a pro-rata basis (the “Merger Cash Consideration”). Windstream equityholders will also be entitled to pro rata distributions of (i) new shares of non-voting preferred stock of New Uniti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 million, and (ii) warrants to purchase New Uniti Common Stock, with an exercise price of $0.01 per share, subject to customary adjustments, representing in the aggregate approximately 6.9% of the pro forma share total of New Uniti. We intend to fund the Merger Cash Consideration with cash on hand and borrowings under the Revolving Credit Facility (as defined herein).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Merger with Windstream is subject to customary closing conditions, including, among others, approval by our stockholders, which was obtained April 2, 2025, and receipt of required regulatory approvals, including the expiration or early termination of the waiting period under the Hart-Scott-Rodino Antitrust Improvements Act of 1976 and the receipt of approvals from the Federal Communications Commission and certain state public utility commissions. We currently expect our Merger with Windstream to close in the second half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Merger, New Uniti will become an integrated telecommunications company. Initially, the legacy Uniti and Windstream organizational structures will remain separate, and the existing agreements and arrangements presently in effect between Uniti and Windstream, such as the Windstream Leases (as defined herein) and the settlement agreement with Windstream, which requires Uniti to fund periodic settlement payments and reimburse Windstream for certain growth capital improvements, will remain in place. All Windstream debt obligations would remain obligations of Windstream and our debt obligations would remain as ours, with no cross-guarantees or credit support between the Company and Windstream. In September and October 2024, Windstream undertook a series of transactions through which it amended the terms of its outstanding debt to, among other things, allow for the consolidation of Uniti's and Windstream's debt following the completion of the Merger into a single silo under a common parent entity (the "Post-Closing Reorganization"). In April 2025, we amended our Credit Agreement (as defined herein) to modify its lien covenant to facilitate the Post-Closing Reorganization. As a result, following the completion of the Merger, Uniti may, but is not required to, consummate the Post-Closing Reorganization. If the Post-Closing Reorganization is completed, certain existing agreements and arrangements presently in effect between Uniti and Windstream, including the Windstream Leases and the settlement agreement described above, could be (but are not required to be) terminated. In addition, if the Post-Closing Reorganization is completed, each obligor under Uniti's outstanding debt (other than the ABS Notes, as defined herein) would become an obligor under Windstream's outstanding debt, and each obligor under Windstream's outstanding debt would become an obligor under Uniti's outstanding debt (other than the ABS Notes, as defined herein).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agreed to suspend dividend payments or other distributions until the consummation of the Merger, except for the dividend paid on June 28, 2024 and those dividends reasonably required for us or our subsidiaries to maintain our status as a REIT or to avoid the payment or imposition of income or excise tax, among other customary exceptions. Finally, it is expected that, following consummation of the Merger, Uniti will cease to be a REIT and New Uniti would not qualify as a REIT.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Basis of Presentation and Summary of Significant Accounting Policies</w:t>
      </w:r>
    </w:p>
    <w:p>
      <w:pPr>
        <w:pStyle w:val="TextBody"/>
        <w:bidi w:val="0"/>
        <w:spacing w:lineRule="auto" w:line="288" w:before="240" w:after="283"/>
        <w:jc w:val="left"/>
        <w:rPr/>
      </w:pPr>
      <w:r>
        <w:rPr>
          <w:rFonts w:ascii="Times New Roman;sans-serif" w:hAnsi="Times New Roman;sans-serif"/>
          <w:b w:val="false"/>
          <w:color w:val="000000"/>
          <w:sz w:val="20"/>
        </w:rPr>
        <w:t xml:space="preserve">The accompanying Condensed Consolidated Financial Statements include all accounts of the Company and its wholly owned and/or controlled subsidiaries, including the Operating Partnership. Under the Accounting Standards Codification 810, </w:t>
      </w:r>
      <w:r>
        <w:rPr>
          <w:rFonts w:ascii="Times New Roman;sans-serif" w:hAnsi="Times New Roman;sans-serif"/>
          <w:b w:val="false"/>
          <w:i/>
          <w:color w:val="000000"/>
          <w:sz w:val="20"/>
        </w:rPr>
        <w:t>Consolidation</w:t>
      </w:r>
      <w:r>
        <w:rPr>
          <w:color w:val="000000"/>
        </w:rPr>
        <w:t xml:space="preserve"> </w:t>
      </w:r>
      <w:r>
        <w:rPr>
          <w:rFonts w:ascii="Times New Roman;sans-serif" w:hAnsi="Times New Roman;sans-serif"/>
          <w:b w:val="false"/>
          <w:color w:val="000000"/>
          <w:sz w:val="20"/>
        </w:rPr>
        <w:t>(“ASC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U.S.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SEC on February 21, 2025, as amended by Amendment No. 1 thereto filed on Form 10-K/A with the SEC on March 7, 2025 (the “Annual Report”). Accordingly, significant accounting policies and other disclosures normally provided have been omitted from the accompanying Condensed Consolidated Financial Statements and related notes since such items are disclosed in our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u w:val="single"/>
          <w:shd w:fill="FFFFFF" w:val="clear"/>
        </w:rPr>
        <w:t>Concentration of Credit Risks</w:t>
      </w:r>
      <w:r>
        <w:rPr>
          <w:color w:val="000000"/>
          <w:shd w:fill="FFFFFF" w:val="clear"/>
        </w:rPr>
        <w:t>—</w:t>
      </w:r>
      <w:r>
        <w:rPr>
          <w:rFonts w:ascii="Times New Roman;sans-serif" w:hAnsi="Times New Roman;sans-serif"/>
          <w:b w:val="false"/>
          <w:color w:val="000000"/>
          <w:sz w:val="20"/>
          <w:shd w:fill="FFFFFF" w:val="clear"/>
        </w:rPr>
        <w:t>Prior to September 2020, we were party to a long-term exclusive triple-net lease (the “Master Lease”) with Windstream pursuant to which a substantial portion of our real property was leased to Windstream and from which a substantial portion of our leasing revenues were derived. On September 18, 2020,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consumer competitive local exchange carrier ("CLEC") operations. Revenue under the Windstream Leases provided 68.4% and 68.8% of our revenue for the three months ended March 31, 2025 and 2024,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service debt if Windstream were to default under the Windstream Leases or otherwise experience operating or liquidity difficulties and become unable to generate sufficient cash to make payments to us.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Recently Issued Accounting Pronouncements Not Yet Adopted</w:t>
      </w:r>
    </w:p>
    <w:p>
      <w:pPr>
        <w:pStyle w:val="TextBody"/>
        <w:bidi w:val="0"/>
        <w:spacing w:lineRule="auto" w:line="288" w:before="240" w:after="283"/>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("ASU 2023-09"), which expands the disclosure requirements for income taxes and enhances the transparency and decision-usefulness of income tax disclosures. The standard requires disclosure of additional specified categories in the rate reconciliation in both percentage and dollar amounts as well as greater disaggregation of income taxes paid. ASU 2023-09 is effective for fiscal years beginning after December 15, 2024, with early adoption permitted. The Company is currently evaluating this guidance to determine the impact it will have on our financial statements.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In November 2024, the FASB issued ASU 2024-03,</w:t>
      </w:r>
      <w:r>
        <w:rPr>
          <w:color w:val="000000"/>
          <w:shd w:fill="FFFFFF" w:val="clear"/>
        </w:rPr>
        <w:t xml:space="preserve"> </w:t>
      </w:r>
      <w:r>
        <w:rPr>
          <w:rFonts w:ascii="Times New Roman;sans-serif" w:hAnsi="Times New Roman;sans-serif"/>
          <w:b w:val="false"/>
          <w:i/>
          <w:color w:val="000000"/>
          <w:sz w:val="20"/>
          <w:shd w:fill="FFFFFF" w:val="clear"/>
        </w:rPr>
        <w:t xml:space="preserve">Disaggregation of Income Statement Expenses </w:t>
      </w:r>
      <w:r>
        <w:rPr>
          <w:rFonts w:ascii="Times New Roman;sans-serif" w:hAnsi="Times New Roman;sans-serif"/>
          <w:b w:val="false"/>
          <w:color w:val="000000"/>
          <w:sz w:val="20"/>
          <w:shd w:fill="FFFFFF" w:val="clear"/>
        </w:rPr>
        <w:t>("ASU 2024-03"), which requires additional disclosure about specific types of expenses included in the expense captions presented on the face of the income statement, as well as disclosures about selling expenses. ASU 2024-03 is effective for fiscal years beginning after December 15, 2026, and interim periods in fiscal years beginning after December 15, 2027, with early adoption permitted. The Company is currently evaluating this guidance to determine the impact it will have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Note 3. Revenues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Disaggregation of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revenues disaggregated by revenue stream.</w:t>
      </w:r>
    </w:p>
    <w:tbl>
      <w:tblPr>
        <w:tblW w:w="7762" w:type="dxa"/>
        <w:jc w:val="center"/>
        <w:tblInd w:w="0" w:type="dxa"/>
        <w:tblLayout w:type="fixed"/>
        <w:tblCellMar>
          <w:top w:w="28" w:type="dxa"/>
          <w:left w:w="28" w:type="dxa"/>
          <w:bottom w:w="28" w:type="dxa"/>
          <w:right w:w="28" w:type="dxa"/>
        </w:tblCellMar>
      </w:tblPr>
      <w:tblGrid>
        <w:gridCol w:w="1567"/>
        <w:gridCol w:w="1378"/>
        <w:gridCol w:w="1390"/>
        <w:gridCol w:w="109"/>
        <w:gridCol w:w="109"/>
        <w:gridCol w:w="109"/>
        <w:gridCol w:w="211"/>
        <w:gridCol w:w="826"/>
        <w:gridCol w:w="109"/>
        <w:gridCol w:w="109"/>
        <w:gridCol w:w="109"/>
        <w:gridCol w:w="109"/>
        <w:gridCol w:w="211"/>
        <w:gridCol w:w="826"/>
        <w:gridCol w:w="109"/>
        <w:gridCol w:w="109"/>
        <w:gridCol w:w="109"/>
        <w:gridCol w:w="109"/>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disaggregated by revenue stream</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 backhaul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E-Rate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accounted for under leasing guidance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accounted for under leasing guidance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lease receivables were $19.0 million and $28.8 million, respectively, and receivables from contracts with customers were $21.8 million and $19.1 million, respectively.</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Assets (Unbilled Revenue) and Liabilities (Deferred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primarily consist of unbilled construction revenue where we are utilizing our costs incurred as the measure of progress of satisfying our performance obligation. Contract assets are reported within accounts receivable, net on our Condensed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months ended March 31, 2025, we recognized revenues of $1.6 million which were included in the December 31, 2024 contract liabilities balance.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accounted for under the Accounting</w:t>
      </w:r>
    </w:p>
    <w:p>
      <w:pPr>
        <w:pStyle w:val="TextBody"/>
        <w:bidi w:val="0"/>
        <w:spacing w:lineRule="auto" w:line="276" w:before="0" w:after="0"/>
        <w:jc w:val="left"/>
        <w:rPr/>
      </w:pPr>
      <w:r>
        <w:rPr>
          <w:rFonts w:ascii="Times New Roman;sans-serif" w:hAnsi="Times New Roman;sans-serif"/>
          <w:b w:val="false"/>
          <w:color w:val="000000"/>
          <w:sz w:val="20"/>
        </w:rPr>
        <w:t xml:space="preserve">Standards Codification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w:t>
      </w:r>
    </w:p>
    <w:tbl>
      <w:tblPr>
        <w:tblW w:w="6053" w:type="dxa"/>
        <w:jc w:val="center"/>
        <w:tblInd w:w="0" w:type="dxa"/>
        <w:tblLayout w:type="fixed"/>
        <w:tblCellMar>
          <w:top w:w="28" w:type="dxa"/>
          <w:left w:w="28" w:type="dxa"/>
          <w:bottom w:w="28" w:type="dxa"/>
          <w:right w:w="28" w:type="dxa"/>
        </w:tblCellMar>
      </w:tblPr>
      <w:tblGrid>
        <w:gridCol w:w="938"/>
        <w:gridCol w:w="826"/>
        <w:gridCol w:w="831"/>
        <w:gridCol w:w="109"/>
        <w:gridCol w:w="109"/>
        <w:gridCol w:w="109"/>
        <w:gridCol w:w="334"/>
        <w:gridCol w:w="738"/>
        <w:gridCol w:w="172"/>
        <w:gridCol w:w="109"/>
        <w:gridCol w:w="109"/>
        <w:gridCol w:w="109"/>
        <w:gridCol w:w="303"/>
        <w:gridCol w:w="1036"/>
        <w:gridCol w:w="221"/>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Contract Assets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Price Allocated to Remaining Performance Obligations</w:t>
      </w:r>
    </w:p>
    <w:p>
      <w:pPr>
        <w:pStyle w:val="TextBody"/>
        <w:bidi w:val="0"/>
        <w:spacing w:lineRule="auto" w:line="288" w:before="240" w:after="283"/>
        <w:jc w:val="left"/>
        <w:rPr/>
      </w:pPr>
      <w:r>
        <w:rPr>
          <w:rFonts w:ascii="Times New Roman;sans-serif" w:hAnsi="Times New Roman;sans-serif"/>
          <w:b w:val="false"/>
          <w:color w:val="000000"/>
          <w:sz w:val="20"/>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March 31, 2025, our future revenues (i.e., transaction price related to remaining performance obligations) under contract accounted for under ASC 606 totaled $594.9 million, of which $526.9 million is related to contracts that are currently being invoiced and have an average remaining contract term of 3.0 years, while $68.0 million represents our backlog for sales bookings which have yet to be installed and have an average contract term of</w:t>
      </w:r>
      <w:r>
        <w:rPr>
          <w:color w:val="000000"/>
        </w:rPr>
        <w:t xml:space="preserve"> </w:t>
      </w:r>
      <w:r>
        <w:rPr>
          <w:rFonts w:ascii="Times New Roman;sans-serif" w:hAnsi="Times New Roman;sans-serif"/>
          <w:b w:val="false"/>
          <w:color w:val="000000"/>
          <w:sz w:val="20"/>
        </w:rPr>
        <w:t>5.4 years.</w:t>
      </w:r>
      <w:r>
        <w:rPr>
          <w:color w:val="000000"/>
        </w:rPr>
        <w:t xml:space="preserve"> </w:t>
      </w:r>
      <w:r>
        <w:rPr>
          <w:rFonts w:ascii="Times New Roman;sans-serif" w:hAnsi="Times New Roman;sans-serif"/>
          <w:b w:val="false"/>
          <w:color w:val="000000"/>
          <w:sz w:val="20"/>
        </w:rPr>
        <w:t>We do not disclose the value of unsatisfied performance obligations for contracts that have an original expected duration of one year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Leases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bidi w:val="0"/>
        <w:spacing w:lineRule="auto" w:line="288" w:before="240" w:after="283"/>
        <w:jc w:val="left"/>
        <w:rPr/>
      </w:pPr>
      <w:r>
        <w:rPr>
          <w:rFonts w:ascii="Times New Roman;sans-serif" w:hAnsi="Times New Roman;sans-serif"/>
          <w:b w:val="false"/>
          <w:color w:val="000000"/>
          <w:sz w:val="20"/>
        </w:rPr>
        <w:t>We lease communications towers, ground space, colocation space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Certain lease agreements contain provisions for future rent increases. Payments due under the lease contracts include fixed payments plus, for some of our leases, variable payments.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income for the three months ended March 31, 2025 and 2024 respectively, are as follows:</w:t>
      </w:r>
    </w:p>
    <w:tbl>
      <w:tblPr>
        <w:tblW w:w="6111" w:type="dxa"/>
        <w:jc w:val="center"/>
        <w:tblInd w:w="0" w:type="dxa"/>
        <w:tblLayout w:type="fixed"/>
        <w:tblCellMar>
          <w:top w:w="28" w:type="dxa"/>
          <w:left w:w="28" w:type="dxa"/>
          <w:bottom w:w="28" w:type="dxa"/>
          <w:right w:w="28" w:type="dxa"/>
        </w:tblCellMar>
      </w:tblPr>
      <w:tblGrid>
        <w:gridCol w:w="971"/>
        <w:gridCol w:w="851"/>
        <w:gridCol w:w="862"/>
        <w:gridCol w:w="109"/>
        <w:gridCol w:w="109"/>
        <w:gridCol w:w="109"/>
        <w:gridCol w:w="211"/>
        <w:gridCol w:w="826"/>
        <w:gridCol w:w="109"/>
        <w:gridCol w:w="109"/>
        <w:gridCol w:w="109"/>
        <w:gridCol w:w="109"/>
        <w:gridCol w:w="211"/>
        <w:gridCol w:w="826"/>
        <w:gridCol w:w="109"/>
        <w:gridCol w:w="109"/>
        <w:gridCol w:w="109"/>
        <w:gridCol w:w="109"/>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income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Lease payments to be received under non-cancellable operating leases where we are the lessor for the remainder of the lease terms as of March 31, 2025 are as follows:</w:t>
      </w:r>
    </w:p>
    <w:tbl>
      <w:tblPr>
        <w:tblW w:w="9130" w:type="dxa"/>
        <w:jc w:val="center"/>
        <w:tblInd w:w="0" w:type="dxa"/>
        <w:tblLayout w:type="fixed"/>
        <w:tblCellMar>
          <w:top w:w="28" w:type="dxa"/>
          <w:left w:w="28" w:type="dxa"/>
          <w:bottom w:w="28" w:type="dxa"/>
          <w:right w:w="28" w:type="dxa"/>
        </w:tblCellMar>
      </w:tblPr>
      <w:tblGrid>
        <w:gridCol w:w="1788"/>
        <w:gridCol w:w="1503"/>
        <w:gridCol w:w="1518"/>
        <w:gridCol w:w="266"/>
        <w:gridCol w:w="266"/>
        <w:gridCol w:w="266"/>
        <w:gridCol w:w="553"/>
        <w:gridCol w:w="2566"/>
        <w:gridCol w:w="404"/>
      </w:tblGrid>
      <w:tr>
        <w:trPr/>
        <w:tc>
          <w:tcPr>
            <w:tcW w:w="178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2025⁽¹⁾</w:t>
            </w:r>
          </w:p>
        </w:tc>
      </w:tr>
      <w:tr>
        <w:trPr/>
        <w:tc>
          <w:tcPr>
            <w:tcW w:w="4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629,994 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858,884 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860,585 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860,567 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860,008 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795,011 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receivables</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4,865,049 </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30"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Total future minimum lease payments to be received include $4.0 billion relating to the Windstream Leases.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underlying assets under operating leases where we are the lessor are summarized as follows:</w:t>
      </w:r>
    </w:p>
    <w:tbl>
      <w:tblPr>
        <w:tblW w:w="7260" w:type="dxa"/>
        <w:jc w:val="center"/>
        <w:tblInd w:w="0" w:type="dxa"/>
        <w:tblLayout w:type="fixed"/>
        <w:tblCellMar>
          <w:top w:w="28" w:type="dxa"/>
          <w:left w:w="28" w:type="dxa"/>
          <w:bottom w:w="28" w:type="dxa"/>
          <w:right w:w="28" w:type="dxa"/>
        </w:tblCellMar>
      </w:tblPr>
      <w:tblGrid>
        <w:gridCol w:w="1361"/>
        <w:gridCol w:w="1195"/>
        <w:gridCol w:w="1209"/>
        <w:gridCol w:w="109"/>
        <w:gridCol w:w="109"/>
        <w:gridCol w:w="109"/>
        <w:gridCol w:w="211"/>
        <w:gridCol w:w="976"/>
        <w:gridCol w:w="109"/>
        <w:gridCol w:w="109"/>
        <w:gridCol w:w="109"/>
        <w:gridCol w:w="109"/>
        <w:gridCol w:w="243"/>
        <w:gridCol w:w="1125"/>
        <w:gridCol w:w="177"/>
      </w:tblGrid>
      <w:tr>
        <w:trPr/>
        <w:tc>
          <w:tcPr>
            <w:tcW w:w="136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4,222,895 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3,972,806 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9,128,355 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9,017,798 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(5,852,579)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assets under operating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3,165,219 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Depreciation expense for the underlying assets under operating leases where we are the lessor for the </w:t>
      </w:r>
      <w:r>
        <w:rPr>
          <w:rFonts w:ascii="Times New Roman;sans-serif" w:hAnsi="Times New Roman;sans-serif"/>
          <w:b w:val="false"/>
          <w:color w:val="000000"/>
          <w:sz w:val="20"/>
          <w:shd w:fill="FFFFFF" w:val="clear"/>
        </w:rPr>
        <w:t>three months ended March 31, 2025 and 2024</w:t>
      </w:r>
      <w:r>
        <w:rPr>
          <w:rFonts w:ascii="Times New Roman;sans-serif" w:hAnsi="Times New Roman;sans-serif"/>
          <w:b w:val="false"/>
          <w:color w:val="000000"/>
          <w:sz w:val="20"/>
        </w:rPr>
        <w:t>, respectively, is summarized as follows:</w:t>
      </w:r>
    </w:p>
    <w:tbl>
      <w:tblPr>
        <w:tblW w:w="8676" w:type="dxa"/>
        <w:jc w:val="center"/>
        <w:tblInd w:w="0" w:type="dxa"/>
        <w:tblLayout w:type="fixed"/>
        <w:tblCellMar>
          <w:top w:w="28" w:type="dxa"/>
          <w:left w:w="28" w:type="dxa"/>
          <w:bottom w:w="28" w:type="dxa"/>
          <w:right w:w="28" w:type="dxa"/>
        </w:tblCellMar>
      </w:tblPr>
      <w:tblGrid>
        <w:gridCol w:w="1972"/>
        <w:gridCol w:w="1734"/>
        <w:gridCol w:w="1753"/>
        <w:gridCol w:w="109"/>
        <w:gridCol w:w="109"/>
        <w:gridCol w:w="109"/>
        <w:gridCol w:w="211"/>
        <w:gridCol w:w="721"/>
        <w:gridCol w:w="109"/>
        <w:gridCol w:w="109"/>
        <w:gridCol w:w="109"/>
        <w:gridCol w:w="109"/>
        <w:gridCol w:w="211"/>
        <w:gridCol w:w="721"/>
        <w:gridCol w:w="109"/>
        <w:gridCol w:w="109"/>
        <w:gridCol w:w="109"/>
        <w:gridCol w:w="109"/>
        <w:gridCol w:w="154"/>
      </w:tblGrid>
      <w:tr>
        <w:trPr/>
        <w:tc>
          <w:tcPr>
            <w:tcW w:w="197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underlying assets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bidi w:val="0"/>
        <w:spacing w:lineRule="auto" w:line="288" w:before="240" w:after="283"/>
        <w:jc w:val="left"/>
        <w:rPr/>
      </w:pPr>
      <w:r>
        <w:rPr>
          <w:rFonts w:ascii="Times New Roman;sans-serif" w:hAnsi="Times New Roman;sans-serif"/>
          <w:b w:val="false"/>
          <w:color w:val="000000"/>
          <w:sz w:val="20"/>
        </w:rPr>
        <w:t>We have commitments under operating leases for communications towers, ground space, colocation space, dark fiber and buildings. We also have finance leases for dark fiber, equipment, and automobiles. Our leases have initial lease terms ranging from less than one year to 30 years, most of which include options to extend or renew the leases for less than one year to 20 years</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and some of which may include options to terminate the leases within one to six months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Certain lease agreements contain provisions for future rent increases. Payments due under the lease contracts include fixed payments plus, for some of our leases, variable payments.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have short-term lease commitments amounting to approximately $3.4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lease payments under non-cancellable leases as of March 31, 2025 are as follows:</w:t>
      </w:r>
    </w:p>
    <w:tbl>
      <w:tblPr>
        <w:tblW w:w="6322" w:type="dxa"/>
        <w:jc w:val="center"/>
        <w:tblInd w:w="0" w:type="dxa"/>
        <w:tblLayout w:type="fixed"/>
        <w:tblCellMar>
          <w:top w:w="28" w:type="dxa"/>
          <w:left w:w="28" w:type="dxa"/>
          <w:bottom w:w="28" w:type="dxa"/>
          <w:right w:w="28" w:type="dxa"/>
        </w:tblCellMar>
      </w:tblPr>
      <w:tblGrid>
        <w:gridCol w:w="1110"/>
        <w:gridCol w:w="933"/>
        <w:gridCol w:w="941"/>
        <w:gridCol w:w="109"/>
        <w:gridCol w:w="109"/>
        <w:gridCol w:w="109"/>
        <w:gridCol w:w="259"/>
        <w:gridCol w:w="1017"/>
        <w:gridCol w:w="134"/>
        <w:gridCol w:w="109"/>
        <w:gridCol w:w="109"/>
        <w:gridCol w:w="109"/>
        <w:gridCol w:w="247"/>
        <w:gridCol w:w="847"/>
        <w:gridCol w:w="180"/>
      </w:tblGrid>
      <w:tr>
        <w:trPr/>
        <w:tc>
          <w:tcPr>
            <w:tcW w:w="11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Operating Leases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Finance Leases </w:t>
            </w:r>
          </w:p>
        </w:tc>
      </w:tr>
      <w:tr>
        <w:trPr/>
        <w:tc>
          <w:tcPr>
            <w:tcW w:w="298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1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159,989 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22,426 </w:t>
            </w:r>
          </w:p>
        </w:tc>
        <w:tc>
          <w:tcPr>
            <w:tcW w:w="1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80,399 </w:t>
            </w:r>
          </w:p>
        </w:tc>
        <w:tc>
          <w:tcPr>
            <w:tcW w:w="13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16,446 </w:t>
            </w:r>
          </w:p>
        </w:tc>
        <w:tc>
          <w:tcPr>
            <w:tcW w:w="18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Fair Value of Financial Instruments</w:t>
      </w:r>
    </w:p>
    <w:p>
      <w:pPr>
        <w:pStyle w:val="TextBody"/>
        <w:bidi w:val="0"/>
        <w:spacing w:lineRule="auto" w:line="288" w:before="240" w:after="283"/>
        <w:jc w:val="left"/>
        <w:rPr/>
      </w:pPr>
      <w:r>
        <w:rPr>
          <w:rFonts w:ascii="Times New Roman;sans-serif" w:hAnsi="Times New Roman;sans-serif"/>
          <w:b w:val="false"/>
          <w:color w:val="000000"/>
          <w:sz w:val="20"/>
        </w:rPr>
        <w:t xml:space="preserve">FASB ASC 820, </w:t>
      </w:r>
      <w:r>
        <w:rPr>
          <w:rFonts w:ascii="Times New Roman;sans-serif" w:hAnsi="Times New Roman;sans-serif"/>
          <w:b w:val="false"/>
          <w:i/>
          <w:color w:val="000000"/>
          <w:sz w:val="20"/>
        </w:rPr>
        <w:t>Fair Value</w:t>
      </w:r>
      <w:r>
        <w:rPr>
          <w:color w:val="000000"/>
        </w:rPr>
        <w:t xml:space="preserve"> </w:t>
      </w:r>
      <w:r>
        <w:rPr>
          <w:rFonts w:ascii="Times New Roman;sans-serif" w:hAnsi="Times New Roman;sans-serif"/>
          <w:b w:val="false"/>
          <w:i/>
          <w:color w:val="000000"/>
          <w:sz w:val="20"/>
        </w:rPr>
        <w:t>Measurements</w:t>
      </w:r>
      <w:r>
        <w:rPr>
          <w:rFonts w:ascii="Times New Roman;sans-serif" w:hAnsi="Times New Roman;sans-serif"/>
          <w:b w:val="false"/>
          <w:color w:val="000000"/>
          <w:sz w:val="20"/>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pStyle w:val="TextBody"/>
        <w:bidi w:val="0"/>
        <w:spacing w:lineRule="auto" w:line="288" w:before="120" w:after="283"/>
        <w:jc w:val="left"/>
        <w:rPr/>
      </w:pPr>
      <w:r>
        <w:rPr>
          <w:rFonts w:ascii="Times New Roman;sans-serif" w:hAnsi="Times New Roman;sans-serif"/>
          <w:b/>
          <w:i/>
          <w:color w:val="000000"/>
          <w:sz w:val="20"/>
        </w:rPr>
        <w:t>Level 1</w:t>
      </w:r>
      <w:r>
        <w:rPr>
          <w:color w:val="000000"/>
        </w:rPr>
        <w:t xml:space="preserve"> – </w:t>
      </w:r>
      <w:r>
        <w:rPr>
          <w:rFonts w:ascii="Times New Roman;sans-serif" w:hAnsi="Times New Roman;sans-serif"/>
          <w:b w:val="false"/>
          <w:color w:val="000000"/>
          <w:sz w:val="20"/>
        </w:rPr>
        <w:t>Quoted prices (unadjusted) in active markets for identical assets or liabilities that the reporting entity can access at the assessment date;</w:t>
      </w:r>
    </w:p>
    <w:p>
      <w:pPr>
        <w:pStyle w:val="TextBody"/>
        <w:bidi w:val="0"/>
        <w:spacing w:lineRule="auto" w:line="288" w:before="120" w:after="283"/>
        <w:jc w:val="left"/>
        <w:rPr/>
      </w:pPr>
      <w:r>
        <w:rPr>
          <w:rFonts w:ascii="Times New Roman;sans-serif" w:hAnsi="Times New Roman;sans-serif"/>
          <w:b/>
          <w:i/>
          <w:color w:val="000000"/>
          <w:sz w:val="20"/>
        </w:rPr>
        <w:t>Level 2</w:t>
      </w:r>
      <w:r>
        <w:rPr>
          <w:color w:val="000000"/>
        </w:rPr>
        <w:t xml:space="preserve"> – </w:t>
      </w:r>
      <w:r>
        <w:rPr>
          <w:rFonts w:ascii="Times New Roman;sans-serif" w:hAnsi="Times New Roman;sans-serif"/>
          <w:b w:val="false"/>
          <w:color w:val="000000"/>
          <w:sz w:val="20"/>
        </w:rPr>
        <w:t>Inputs other than quoted prices included within Level 1 that are observable for the asset or liability, either directly or indirectly; and</w:t>
      </w:r>
    </w:p>
    <w:p>
      <w:pPr>
        <w:pStyle w:val="TextBody"/>
        <w:bidi w:val="0"/>
        <w:spacing w:lineRule="auto" w:line="288" w:before="120" w:after="283"/>
        <w:jc w:val="left"/>
        <w:rPr/>
      </w:pPr>
      <w:r>
        <w:rPr>
          <w:rFonts w:ascii="Times New Roman;sans-serif" w:hAnsi="Times New Roman;sans-serif"/>
          <w:b/>
          <w:i/>
          <w:color w:val="000000"/>
          <w:sz w:val="20"/>
        </w:rPr>
        <w:t>Level 3</w:t>
      </w:r>
      <w:r>
        <w:rPr>
          <w:color w:val="000000"/>
        </w:rPr>
        <w:t xml:space="preserve"> – </w:t>
      </w:r>
      <w:r>
        <w:rPr>
          <w:rFonts w:ascii="Times New Roman;sans-serif" w:hAnsi="Times New Roman;sans-serif"/>
          <w:b w:val="false"/>
          <w:color w:val="000000"/>
          <w:sz w:val="20"/>
        </w:rPr>
        <w:t>Unobservable inputs for the asset or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instruments consist of cash and cash equivalents, accounts and other receivables, our outstanding notes and other debt, settlement payable, interest and dividends payable.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our financial instruments at March 31, 2025 and December 31, 2024:</w:t>
      </w:r>
    </w:p>
    <w:tbl>
      <w:tblPr>
        <w:tblW w:w="10205" w:type="dxa"/>
        <w:jc w:val="center"/>
        <w:tblInd w:w="0" w:type="dxa"/>
        <w:tblLayout w:type="fixed"/>
        <w:tblCellMar>
          <w:top w:w="28" w:type="dxa"/>
          <w:left w:w="28" w:type="dxa"/>
          <w:bottom w:w="28" w:type="dxa"/>
          <w:right w:w="28" w:type="dxa"/>
        </w:tblCellMar>
      </w:tblPr>
      <w:tblGrid>
        <w:gridCol w:w="1154"/>
        <w:gridCol w:w="928"/>
        <w:gridCol w:w="933"/>
        <w:gridCol w:w="109"/>
        <w:gridCol w:w="109"/>
        <w:gridCol w:w="109"/>
        <w:gridCol w:w="243"/>
        <w:gridCol w:w="463"/>
        <w:gridCol w:w="468"/>
        <w:gridCol w:w="109"/>
        <w:gridCol w:w="109"/>
        <w:gridCol w:w="109"/>
        <w:gridCol w:w="377"/>
        <w:gridCol w:w="727"/>
        <w:gridCol w:w="195"/>
        <w:gridCol w:w="109"/>
        <w:gridCol w:w="109"/>
        <w:gridCol w:w="109"/>
        <w:gridCol w:w="296"/>
        <w:gridCol w:w="1373"/>
        <w:gridCol w:w="153"/>
        <w:gridCol w:w="109"/>
        <w:gridCol w:w="109"/>
        <w:gridCol w:w="109"/>
        <w:gridCol w:w="432"/>
        <w:gridCol w:w="832"/>
        <w:gridCol w:w="323"/>
      </w:tblGrid>
      <w:tr>
        <w:trPr/>
        <w:tc>
          <w:tcPr>
            <w:tcW w:w="115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9"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Markets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Prices with Other Observable </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Prices with Unobservable</w:t>
              <w:br/>
              <w:t>Inputs (Level 3)</w:t>
            </w:r>
          </w:p>
        </w:tc>
      </w:tr>
      <w:tr>
        <w:trPr/>
        <w:tc>
          <w:tcPr>
            <w:tcW w:w="3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- 10.50% due 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2,948,191 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545,372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545,372 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 due 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1,007,399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612,118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612,118 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306,469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306,469 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ABS Notes (Class A-2) - 5.88% due April 1,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ABS Notes (Class B) - 6.37% due April 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65,878 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ABS Notes (Class C) - 9.02% due April 1,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6,063,997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6,063,997 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49"/>
        <w:gridCol w:w="907"/>
        <w:gridCol w:w="912"/>
        <w:gridCol w:w="109"/>
        <w:gridCol w:w="109"/>
        <w:gridCol w:w="109"/>
        <w:gridCol w:w="211"/>
        <w:gridCol w:w="976"/>
        <w:gridCol w:w="109"/>
        <w:gridCol w:w="109"/>
        <w:gridCol w:w="109"/>
        <w:gridCol w:w="109"/>
        <w:gridCol w:w="372"/>
        <w:gridCol w:w="716"/>
        <w:gridCol w:w="192"/>
        <w:gridCol w:w="109"/>
        <w:gridCol w:w="109"/>
        <w:gridCol w:w="109"/>
        <w:gridCol w:w="290"/>
        <w:gridCol w:w="1342"/>
        <w:gridCol w:w="149"/>
        <w:gridCol w:w="109"/>
        <w:gridCol w:w="109"/>
        <w:gridCol w:w="109"/>
        <w:gridCol w:w="428"/>
        <w:gridCol w:w="824"/>
        <w:gridCol w:w="320"/>
      </w:tblGrid>
      <w:tr>
        <w:trPr/>
        <w:tc>
          <w:tcPr>
            <w:tcW w:w="114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9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80"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Markets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78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Prices with Other Observable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Prices with Unobservable</w:t>
              <w:br/>
              <w:t>Inputs (Level 3)</w:t>
            </w:r>
          </w:p>
        </w:tc>
      </w:tr>
      <w:tr>
        <w:trPr/>
        <w:tc>
          <w:tcPr>
            <w:tcW w:w="29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- 10.50% due 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3,098,766 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534,518 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 due February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ABS Loan Facility, variable rate, due September 1, 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5,950,861 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and cash equivalents, accounts and other receivables, and accounts, interest and dividends payable approximate fair values due to the short-term nature of these financial instruments.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principal balance of our outstanding notes and other debt was $6.05 billion at March 31, 2025, with a fair value of $6.02 billion. The estimated fair value of our outstanding notes and other debt was based on available external pricing data and current market rates for similar debt instruments, among other factors, which are classified as Level 2 inputs within the fair value hierarchy.</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Uniti is required to make $490.1 million of cash payments to Windstream in equal installments over 20 consecutive quarters beginning October 2020 (the “Settlement Payable”). </w:t>
      </w:r>
      <w:hyperlink w:anchor="iff1f1a04df874dc79a8c3cdc7c5437f3_76">
        <w:r>
          <w:rPr>
            <w:rStyle w:val="InternetLink"/>
            <w:rFonts w:ascii="Times New Roman;sans-serif" w:hAnsi="Times New Roman;sans-serif"/>
            <w:b w:val="false"/>
            <w:color w:val="0000FF"/>
            <w:sz w:val="20"/>
            <w:u w:val="single"/>
          </w:rPr>
          <w:t>See Note 11</w:t>
        </w:r>
      </w:hyperlink>
      <w:r>
        <w:rPr>
          <w:rFonts w:ascii="Times New Roman;sans-serif" w:hAnsi="Times New Roman;sans-serif"/>
          <w:b w:val="false"/>
          <w:color w:val="000000"/>
          <w:sz w:val="20"/>
          <w:shd w:fill="FFFFFF" w:val="clear"/>
        </w:rPr>
        <w:t xml:space="preserve">. The Settlement Payable was initially recorded at fair value, using the present value of future cash flows. The future cash flows are discounted using discount rate input based on observable market data. Accordingly, we classify inputs used as Level 2 in the fair value hierarchy. As of March 31, 2025, the remaining Settlement Payable is $48.1 million. </w:t>
      </w:r>
      <w:r>
        <w:rPr>
          <w:rFonts w:ascii="Times New Roman;sans-serif" w:hAnsi="Times New Roman;sans-serif"/>
          <w:b w:val="false"/>
          <w:color w:val="000000"/>
          <w:sz w:val="20"/>
        </w:rPr>
        <w:t>There have been no changes in the valuation methodologies used since the initial recording.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Property, Plant and Equipment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property, plant and equipment is as follows:</w:t>
      </w:r>
    </w:p>
    <w:tbl>
      <w:tblPr>
        <w:tblW w:w="8155" w:type="dxa"/>
        <w:jc w:val="center"/>
        <w:tblInd w:w="0" w:type="dxa"/>
        <w:tblLayout w:type="fixed"/>
        <w:tblCellMar>
          <w:top w:w="28" w:type="dxa"/>
          <w:left w:w="28" w:type="dxa"/>
          <w:bottom w:w="28" w:type="dxa"/>
          <w:right w:w="28" w:type="dxa"/>
        </w:tblCellMar>
      </w:tblPr>
      <w:tblGrid>
        <w:gridCol w:w="1052"/>
        <w:gridCol w:w="925"/>
        <w:gridCol w:w="932"/>
        <w:gridCol w:w="109"/>
        <w:gridCol w:w="109"/>
        <w:gridCol w:w="109"/>
        <w:gridCol w:w="474"/>
        <w:gridCol w:w="474"/>
        <w:gridCol w:w="476"/>
        <w:gridCol w:w="109"/>
        <w:gridCol w:w="109"/>
        <w:gridCol w:w="109"/>
        <w:gridCol w:w="211"/>
        <w:gridCol w:w="976"/>
        <w:gridCol w:w="109"/>
        <w:gridCol w:w="109"/>
        <w:gridCol w:w="109"/>
        <w:gridCol w:w="109"/>
        <w:gridCol w:w="243"/>
        <w:gridCol w:w="1125"/>
        <w:gridCol w:w="177"/>
      </w:tblGrid>
      <w:tr>
        <w:trPr/>
        <w:tc>
          <w:tcPr>
            <w:tcW w:w="10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Depreciable Lives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Indefinite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3 - 40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5,253,959 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5 - 7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3,972,806 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See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15 - 20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See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3 - 7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10,681,162 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(6,471,415)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4,209,747 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See our Annual Report for property, plant and equipment accounting policies.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three months ended March 31, 2025 and 2024 was $72.3 million and $70.1 million, respectively.</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CableSouth Transaction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2018, we acquired certain fiber assets from CableSouth Media, LLC (“CableSouth”) and leased back certain of those acquired assets to CableSouth pursuant to a triple-net lease.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entered into an agreement with a fund managed by Macquarie Asset Management ("MAM") pursuant to which MAM would make a structured equity investment into CableSouth in order to assist CableSouth in the acquisition of all of our previously acquired CableSouth fiber assets and the buyout of their triple-net lease for cash consideration of $40.0 million (the "CableSouth Transaction"). The Company completed the CableSouth Transaction on January 31, 2024 and recorded a $19 million gain on sale of real estate in our Condensed Consolidated Statements of Income during the three months ended March 31, 2024.</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CableSouth Transaction is included in the results of the Uniti Leasing segment, and because the sale does not represent a strategic shift that will have a major effect on operations and financial results, it does not qualify for presentation as a discontinued 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Goodwill and Intangible Assets and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occurring during the three months ended March 31, 2025 are as follows:</w:t>
      </w:r>
    </w:p>
    <w:tbl>
      <w:tblPr>
        <w:tblW w:w="7865" w:type="dxa"/>
        <w:jc w:val="center"/>
        <w:tblInd w:w="0" w:type="dxa"/>
        <w:tblLayout w:type="fixed"/>
        <w:tblCellMar>
          <w:top w:w="28" w:type="dxa"/>
          <w:left w:w="28" w:type="dxa"/>
          <w:bottom w:w="28" w:type="dxa"/>
          <w:right w:w="28" w:type="dxa"/>
        </w:tblCellMar>
      </w:tblPr>
      <w:tblGrid>
        <w:gridCol w:w="1763"/>
        <w:gridCol w:w="1551"/>
        <w:gridCol w:w="1560"/>
        <w:gridCol w:w="109"/>
        <w:gridCol w:w="109"/>
        <w:gridCol w:w="109"/>
        <w:gridCol w:w="211"/>
        <w:gridCol w:w="826"/>
        <w:gridCol w:w="109"/>
        <w:gridCol w:w="109"/>
        <w:gridCol w:w="109"/>
        <w:gridCol w:w="109"/>
        <w:gridCol w:w="211"/>
        <w:gridCol w:w="826"/>
        <w:gridCol w:w="154"/>
      </w:tblGrid>
      <w:tr>
        <w:trPr/>
        <w:tc>
          <w:tcPr>
            <w:tcW w:w="176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charges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charges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Carrying value of intangible assets and liabilities at </w:t>
      </w:r>
      <w:r>
        <w:rPr>
          <w:rFonts w:ascii="Times New Roman;sans-serif" w:hAnsi="Times New Roman;sans-serif"/>
          <w:b w:val="false"/>
          <w:color w:val="000000"/>
          <w:sz w:val="20"/>
          <w:shd w:fill="FFFFFF" w:val="clear"/>
        </w:rPr>
        <w:t>March 31, 2025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2024</w:t>
      </w:r>
      <w:r>
        <w:rPr>
          <w:color w:val="000000"/>
        </w:rPr>
        <w:t xml:space="preserve"> </w:t>
      </w:r>
      <w:r>
        <w:rPr>
          <w:rFonts w:ascii="Times New Roman;sans-serif" w:hAnsi="Times New Roman;sans-serif"/>
          <w:b w:val="false"/>
          <w:color w:val="000000"/>
          <w:sz w:val="20"/>
        </w:rPr>
        <w:t>are as follows:</w:t>
      </w:r>
    </w:p>
    <w:tbl>
      <w:tblPr>
        <w:tblW w:w="8787" w:type="dxa"/>
        <w:jc w:val="center"/>
        <w:tblInd w:w="0" w:type="dxa"/>
        <w:tblLayout w:type="fixed"/>
        <w:tblCellMar>
          <w:top w:w="28" w:type="dxa"/>
          <w:left w:w="28" w:type="dxa"/>
          <w:bottom w:w="28" w:type="dxa"/>
          <w:right w:w="28" w:type="dxa"/>
        </w:tblCellMar>
      </w:tblPr>
      <w:tblGrid>
        <w:gridCol w:w="976"/>
        <w:gridCol w:w="859"/>
        <w:gridCol w:w="865"/>
        <w:gridCol w:w="109"/>
        <w:gridCol w:w="109"/>
        <w:gridCol w:w="109"/>
        <w:gridCol w:w="211"/>
        <w:gridCol w:w="826"/>
        <w:gridCol w:w="109"/>
        <w:gridCol w:w="109"/>
        <w:gridCol w:w="109"/>
        <w:gridCol w:w="109"/>
        <w:gridCol w:w="211"/>
        <w:gridCol w:w="901"/>
        <w:gridCol w:w="109"/>
        <w:gridCol w:w="109"/>
        <w:gridCol w:w="109"/>
        <w:gridCol w:w="109"/>
        <w:gridCol w:w="211"/>
        <w:gridCol w:w="826"/>
        <w:gridCol w:w="109"/>
        <w:gridCol w:w="109"/>
        <w:gridCol w:w="109"/>
        <w:gridCol w:w="109"/>
        <w:gridCol w:w="211"/>
        <w:gridCol w:w="901"/>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6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Original</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Original</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Rights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Below-market leases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Below-market leases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remaining weighted average amortization period of the Company’s intangible assets was 13.0 years, 3.5 years, and 25.5 years for customer lists, contracts, and underlying rights, respectively. As of March 31, 2025, the total remaining weighted average amortization period for total intangible assets was 12.6 years.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months ended March 31, 2025 and 2024 was $7.4 million and $7.4 million, respectively. Amortization expense is estimated to be $29.7 million for the full year of 2025, $29.7 million in 2026, $29.7 million in 2027, $28.1 million in 2028, and $23.1 million in 2029.</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amortization of below-market leases in revenue. Revenue related to the amortization of the below-market leases for the three months ended March 31, 2025 and 2024 was $2.7 million and $2.7 million, respectively. As of March 31, 2025, the remaining weighted average amortization period of the Company’s intangible liabilities was 14.9 years. Revenue due to the amortization of the below-market leases is estimated to be $10.7 million for the full year of 2025, $10.7 million in 2026, $10.7 million in 2027, $10.2 million in 2028, and $8.8 million in 2029.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Notes and Other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debt, other than our 7.50% convertible senior notes due 2027, are obligations of the Operating Partnership and/or certain of its subsidiaries as discussed below. The Company is a guarantor of our senior notes and borrowings under our Revolving Credit Facility. The Company is the primary obligor of our 7.50% convertible senior notes due 2027, and the Operating partnership and other obligors under our senior notes guarantee such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are as follows:</w:t>
      </w:r>
    </w:p>
    <w:tbl>
      <w:tblPr>
        <w:tblW w:w="10200" w:type="dxa"/>
        <w:jc w:val="center"/>
        <w:tblInd w:w="0" w:type="dxa"/>
        <w:tblLayout w:type="fixed"/>
        <w:tblCellMar>
          <w:top w:w="28" w:type="dxa"/>
          <w:left w:w="28" w:type="dxa"/>
          <w:bottom w:w="28" w:type="dxa"/>
          <w:right w:w="28" w:type="dxa"/>
        </w:tblCellMar>
      </w:tblPr>
      <w:tblGrid>
        <w:gridCol w:w="2426"/>
        <w:gridCol w:w="2133"/>
        <w:gridCol w:w="2146"/>
        <w:gridCol w:w="109"/>
        <w:gridCol w:w="109"/>
        <w:gridCol w:w="109"/>
        <w:gridCol w:w="211"/>
        <w:gridCol w:w="976"/>
        <w:gridCol w:w="109"/>
        <w:gridCol w:w="109"/>
        <w:gridCol w:w="109"/>
        <w:gridCol w:w="109"/>
        <w:gridCol w:w="243"/>
        <w:gridCol w:w="1125"/>
        <w:gridCol w:w="177"/>
      </w:tblGrid>
      <w:tr>
        <w:trPr/>
        <w:tc>
          <w:tcPr>
            <w:tcW w:w="242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67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6,050,500 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5,861,500 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premium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less unamortized discount, premium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5,970,404 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5,783,597 </w:t>
            </w:r>
          </w:p>
        </w:tc>
        <w:tc>
          <w:tcPr>
            <w:tcW w:w="17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at March 31, 2025 and December 31, 2024 consisted of the following:</w:t>
      </w:r>
    </w:p>
    <w:tbl>
      <w:tblPr>
        <w:tblW w:w="10205" w:type="dxa"/>
        <w:jc w:val="center"/>
        <w:tblInd w:w="0" w:type="dxa"/>
        <w:tblLayout w:type="fixed"/>
        <w:tblCellMar>
          <w:top w:w="28" w:type="dxa"/>
          <w:left w:w="28" w:type="dxa"/>
          <w:bottom w:w="28" w:type="dxa"/>
          <w:right w:w="28" w:type="dxa"/>
        </w:tblCellMar>
      </w:tblPr>
      <w:tblGrid>
        <w:gridCol w:w="1517"/>
        <w:gridCol w:w="1275"/>
        <w:gridCol w:w="1289"/>
        <w:gridCol w:w="109"/>
        <w:gridCol w:w="109"/>
        <w:gridCol w:w="109"/>
        <w:gridCol w:w="211"/>
        <w:gridCol w:w="976"/>
        <w:gridCol w:w="109"/>
        <w:gridCol w:w="109"/>
        <w:gridCol w:w="109"/>
        <w:gridCol w:w="109"/>
        <w:gridCol w:w="211"/>
        <w:gridCol w:w="768"/>
        <w:gridCol w:w="109"/>
        <w:gridCol w:w="109"/>
        <w:gridCol w:w="109"/>
        <w:gridCol w:w="109"/>
        <w:gridCol w:w="211"/>
        <w:gridCol w:w="976"/>
        <w:gridCol w:w="109"/>
        <w:gridCol w:w="109"/>
        <w:gridCol w:w="109"/>
        <w:gridCol w:w="109"/>
        <w:gridCol w:w="211"/>
        <w:gridCol w:w="768"/>
        <w:gridCol w:w="157"/>
      </w:tblGrid>
      <w:tr>
        <w:trPr/>
        <w:tc>
          <w:tcPr>
            <w:tcW w:w="151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71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7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Unamortized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Discount,</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Premium and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Debt Issuance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Unamortized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Discount,</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Premium and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Debt Issuance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Costs</w:t>
            </w:r>
          </w:p>
        </w:tc>
      </w:tr>
      <w:tr>
        <w:trPr/>
        <w:tc>
          <w:tcPr>
            <w:tcW w:w="4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secured notes - 10.50%, due February 15, 2028 </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10.99%)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5.04%)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due February 15, 2029</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6.83%)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6.27%)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ABS Bridge Loan Facility variable rate, due September 1, 2025 </w:t>
            </w:r>
          </w:p>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ABS Notes (Class A-2) - 5.88%, due April 1, 2030</w:t>
            </w:r>
          </w:p>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ABS Notes (Class B) - 6.37%, due April 1, 2030</w:t>
            </w:r>
          </w:p>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ABS Notes (Class C) - 9.02%, due April 1, 2030</w:t>
            </w:r>
          </w:p>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variable rate, due September 24, 2027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(77,903)</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pPr>
      <w:r>
        <w:rPr>
          <w:rFonts w:ascii="Times New Roman;sans-serif" w:hAnsi="Times New Roman;sans-serif"/>
          <w:b w:val="false"/>
          <w:color w:val="000000"/>
          <w:sz w:val="20"/>
          <w:shd w:fill="FFFFFF" w:val="clear"/>
        </w:rPr>
        <w:br/>
        <w:t xml:space="preserve">At March 31, 2025, notes and other debt included the following: (i) the Revolving Credit Facility (as defined below) pursuant to that certain credit agreement, dated as of April 24, 2015, by and among the Operating Partnership, Uniti Group Finance 2019 Inc. and CSL Capital, LLC (hereinafter, the “Borrowers”), the guarantors party thereto, Bank of America, N.A., as administrative agent, collateral agent, swing line lender and an L/C issuer and certain other lenders named therein, as amended (the “Credit Agreement”), of which no borrowings were outstanding as of March 31, 2025; (ii) </w:t>
      </w:r>
      <w:r>
        <w:rPr>
          <w:rFonts w:ascii="Times New Roman;sans-serif" w:hAnsi="Times New Roman;sans-serif"/>
          <w:b w:val="false"/>
          <w:color w:val="000000"/>
          <w:sz w:val="20"/>
        </w:rPr>
        <w:t xml:space="preserve">$589.0 million aggregate principal amount of secured fiber network revenue term notes (the "ABS Notes") due </w:t>
      </w:r>
      <w:r>
        <w:rPr>
          <w:rFonts w:ascii="Times New Roman;sans-serif" w:hAnsi="Times New Roman;sans-serif"/>
          <w:b w:val="false"/>
          <w:color w:val="000000"/>
          <w:sz w:val="20"/>
          <w:shd w:fill="FFFFFF" w:val="clear"/>
        </w:rPr>
        <w:t>April 1, 2030</w:t>
      </w:r>
      <w:r>
        <w:rPr>
          <w:rFonts w:ascii="Times New Roman;sans-serif" w:hAnsi="Times New Roman;sans-serif"/>
          <w:b w:val="false"/>
          <w:color w:val="000000"/>
          <w:sz w:val="20"/>
        </w:rPr>
        <w:t xml:space="preserve">, consisting of $426.0 million 5.88% Series 2025-1, Class A-2 term notes, $65.0 million 6.37% Series 2025-1, Class B term notes, and $98.0 million 9.02% Series 2025-1, Class C term notes, entered into by Uniti Fiber ABS Issuer LLC and Uniti Fiber TRS Issuer LLC (collectively, the "ABS Notes Issuers"), each an indirect, bankruptcy-remote subsidiary of the Company, </w:t>
      </w:r>
      <w:r>
        <w:rPr>
          <w:rFonts w:ascii="Times New Roman;sans-serif" w:hAnsi="Times New Roman;sans-serif"/>
          <w:b w:val="false"/>
          <w:color w:val="000000"/>
          <w:sz w:val="20"/>
          <w:shd w:fill="FFFFFF" w:val="clear"/>
        </w:rPr>
        <w:t xml:space="preserve">(iii) </w:t>
      </w:r>
      <w:r>
        <w:rPr>
          <w:rFonts w:ascii="Times New Roman;sans-serif" w:hAnsi="Times New Roman;sans-serif"/>
          <w:b w:val="false"/>
          <w:color w:val="000000"/>
          <w:sz w:val="20"/>
        </w:rPr>
        <w:t>$2.8 billion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10.50% Senior Secured Notes due February 15, 2028 (the “February 2028 Secured Notes”); (iv) </w:t>
      </w:r>
      <w:r>
        <w:rPr>
          <w:rFonts w:ascii="Times New Roman;sans-serif" w:hAnsi="Times New Roman;sans-serif"/>
          <w:b w:val="false"/>
          <w:color w:val="000000"/>
          <w:sz w:val="20"/>
        </w:rPr>
        <w:t>$570.0 million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4.75% Senior Secured Notes due April 15, 2028 (the “April 2028 Secured Notes”); (v) </w:t>
      </w:r>
      <w:r>
        <w:rPr>
          <w:rFonts w:ascii="Times New Roman;sans-serif" w:hAnsi="Times New Roman;sans-serif"/>
          <w:b w:val="false"/>
          <w:color w:val="000000"/>
          <w:sz w:val="20"/>
        </w:rPr>
        <w:t>$1.1 billion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6.50% Senior Unsecured Notes due </w:t>
      </w:r>
      <w:r>
        <w:rPr>
          <w:rFonts w:ascii="Times New Roman;sans-serif" w:hAnsi="Times New Roman;sans-serif"/>
          <w:b w:val="false"/>
          <w:color w:val="000000"/>
          <w:sz w:val="20"/>
        </w:rPr>
        <w:t xml:space="preserve">February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15, 2029</w:t>
      </w:r>
      <w:r>
        <w:rPr>
          <w:color w:val="000000"/>
          <w:shd w:fill="FFFFFF" w:val="clear"/>
        </w:rPr>
        <w:t xml:space="preserve"> </w:t>
      </w:r>
      <w:r>
        <w:rPr>
          <w:rFonts w:ascii="Times New Roman;sans-serif" w:hAnsi="Times New Roman;sans-serif"/>
          <w:b w:val="false"/>
          <w:color w:val="000000"/>
          <w:sz w:val="20"/>
          <w:shd w:fill="FFFFFF" w:val="clear"/>
        </w:rPr>
        <w:t xml:space="preserve">(the “2029 Notes”); (vi) </w:t>
      </w:r>
      <w:r>
        <w:rPr>
          <w:rFonts w:ascii="Times New Roman;sans-serif" w:hAnsi="Times New Roman;sans-serif"/>
          <w:b w:val="false"/>
          <w:color w:val="000000"/>
          <w:sz w:val="20"/>
        </w:rPr>
        <w:t>$700.0 million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6.00% Senior Unsecured Notes due </w:t>
      </w:r>
      <w:r>
        <w:rPr>
          <w:rFonts w:ascii="Times New Roman;sans-serif" w:hAnsi="Times New Roman;sans-serif"/>
          <w:b w:val="false"/>
          <w:color w:val="000000"/>
          <w:sz w:val="20"/>
        </w:rPr>
        <w:t>January 15, 2030</w:t>
      </w:r>
      <w:r>
        <w:rPr>
          <w:color w:val="000000"/>
          <w:shd w:fill="FFFFFF" w:val="clear"/>
        </w:rPr>
        <w:t xml:space="preserve"> </w:t>
      </w:r>
      <w:r>
        <w:rPr>
          <w:rFonts w:ascii="Times New Roman;sans-serif" w:hAnsi="Times New Roman;sans-serif"/>
          <w:b w:val="false"/>
          <w:color w:val="000000"/>
          <w:sz w:val="20"/>
          <w:shd w:fill="FFFFFF" w:val="clear"/>
        </w:rPr>
        <w:t xml:space="preserve">(the “2030 Notes”); and (vii) </w:t>
      </w:r>
      <w:r>
        <w:rPr>
          <w:rFonts w:ascii="Times New Roman;sans-serif" w:hAnsi="Times New Roman;sans-serif"/>
          <w:b w:val="false"/>
          <w:color w:val="000000"/>
          <w:sz w:val="20"/>
        </w:rPr>
        <w:t xml:space="preserve">$306.5 million aggregate principal amount of </w:t>
      </w:r>
      <w:r>
        <w:rPr>
          <w:rFonts w:ascii="Times New Roman;sans-serif" w:hAnsi="Times New Roman;sans-serif"/>
          <w:b w:val="false"/>
          <w:color w:val="000000"/>
          <w:sz w:val="20"/>
          <w:shd w:fill="FFFFFF" w:val="clear"/>
        </w:rPr>
        <w:t>7.50%</w:t>
      </w:r>
      <w:r>
        <w:rPr>
          <w:color w:val="000000"/>
        </w:rPr>
        <w:t xml:space="preserve"> </w:t>
      </w:r>
      <w:r>
        <w:rPr>
          <w:rFonts w:ascii="Times New Roman;sans-serif" w:hAnsi="Times New Roman;sans-serif"/>
          <w:b w:val="false"/>
          <w:color w:val="000000"/>
          <w:sz w:val="20"/>
        </w:rPr>
        <w:t xml:space="preserve">Convertible Senior Notes due </w:t>
      </w:r>
      <w:r>
        <w:rPr>
          <w:rFonts w:ascii="Times New Roman;sans-serif" w:hAnsi="Times New Roman;sans-serif"/>
          <w:b w:val="false"/>
          <w:color w:val="000000"/>
          <w:sz w:val="20"/>
          <w:shd w:fill="FFFFFF" w:val="clear"/>
        </w:rPr>
        <w:t>December 1, 2027</w:t>
      </w:r>
      <w:r>
        <w:rPr>
          <w:color w:val="000000"/>
        </w:rPr>
        <w:t xml:space="preserve"> </w:t>
      </w:r>
      <w:r>
        <w:rPr>
          <w:rFonts w:ascii="Times New Roman;sans-serif" w:hAnsi="Times New Roman;sans-serif"/>
          <w:b w:val="false"/>
          <w:color w:val="000000"/>
          <w:sz w:val="20"/>
        </w:rPr>
        <w:t>(the "Convertible 2027 Notes" and collectively with the ABS Notes, February 2028 Secured Notes, April 2028 Secured Notes, 2029 Notes, and 2030 Notes, the “Notes”).</w:t>
      </w:r>
      <w:r>
        <w:rPr>
          <w:color w:val="000000"/>
          <w:shd w:fill="FFFFFF" w:val="clear"/>
        </w:rPr>
        <w:t xml:space="preserve"> </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he terms of the Notes are as described in the Company’s Annual Report.</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Agreement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Borrowers are party to the Credit Agreement, which provides for a $500 million revolving credit facility that will mature on September 24, 2027 (the “Revolving Credit Facility”) and provides us with the ability to obtain revolving loans as well as swingline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March 31, 2025, the Borrowers were in compliance with all of the covenants under the 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a rate equal to either a base rate plus an applicable margin ranging from 2.75% to 3.50% or a Term SOFR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Term SOFR borrowings and (B) the average amount available to be drawn under outstanding letters of credit during such quarter.</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Asset-Backed Notes &amp; Bridge Loan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23, 2024, Uniti Fiber Bridge Borrower LLC (the “ABS Bridge Borrower”), Uniti Fiber Bridge HoldCo LLC and Uniti Fiber GulfCo LLC (together, the “ABS Bridge Loan Parties”), each an indirect, bankruptcy-remote subsidiary of the Company, entered into a bridge loan and security agreement, dated as of February 23, 2024 (the “ABS Loan Agreement”).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ABS Loan Agreement provided for a secured, multi-draw term loan facility of up to $350 million (the “ABS Loan Facility”). As of December 31, 2024, an aggregate of $275 million principal amount of loans under the ABS Loan Facility had been drawn.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ABS Loan Facility was secured by equity in the ABS Bridge Borrower and substantially all of the assets of the ABS Bridge Loan Parties (subject to certain customary limited exceptions) and was non-recourse to the Company. Each of the ABS Bridge Loan Parties and Uniti Fiber ABS Parent LLC ("ABS Parent") was designated as an unrestricted subsidiary under the Credit Agreement and the applicable indentures governing the Company’s outstanding senior notes.</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3, 2025, the ABS Notes Issuers issued $589.0 million aggregate principal amount of the ABS Notes, consisting of $426.0 million 5.88% Series 2025-1, Class A-2 term notes, $65.0 million 6.37% Series 2025-1, Class B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$98.0 million 9.02% Series 2025-1, Class C term notes, each with an anticipated repayment date in April 2030. The ABS Notes were issued as part of a securitization transaction, pursuant to which certain of the Company’s fiber network assets and related customer contracts in the State of Florida and the Gulf Coast region of Louisiana, Mississippi and Alabama, including the assets of the ABS Bridge Loan Parties that secured the ABS Loan Facility, were contributed to the ABS Notes Issuers, Uniti Fiber GulfCo LLC and Uniti Fiber TRS AssetCo LLC (collectively, the “ABS Notes Obligors”). The cash flow from these contributed assets will be used to service the obligations under the ABS Notes.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ABS Notes were issued pursuant to an indenture, dated as of February 3, 2025 (the “ABS Notes Base Indenture”), as supplemented by a Series 2025-1 Supplement thereto, dated as of February 3, 2025 (the “Series 2025-1 Supplement” and, together with the ABS Notes Base Indenture, the "ABS Notes Indenture"), in each case by and among the ABS Notes Obligors and Wilmington Trust, National Association, as indenture trustee.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ABS Notes are secured by a security interest in substantially all of the assets (subject to customary limited exceptions) of the ABS Notes Obligors and are guaranteed by each ABS Notes Issuer’s respective parent entity (each an “ABS Guarantor” and, together with the ABS Notes Obligors, the "ABS Notes Parties"). The guarantee of each ABS Guarantor is secured by a security interest in the equity interests of the applicable ABS Notes Issuer. Neither the Company nor any subsidiary of the Company, other than the ABS Notes Parties, will guarantee or in any way be liable for the obligations under the ABS Notes. Each ABS Notes Party is a special purpose, bankruptcy remote subsidiary of the Company and is an unrestricted subsidiary under the Credit Agreement and the applicable indentures governing the Company’s outstanding senior notes.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ABS Notes are subject to a series of customary covenants and restrictions. These covenants and restrictions include (i) that the ABS Notes Issuers maintain a liquidity reserve account to be used to make required payments in respect of the ABS Notes, (ii) provisions relating to optional and mandatory prepayments, including specified make-whole payments in the case of certain optional prepayments of the ABS Notes prior to the quarterly payment date in April 2030, and (iii) covenants relating to recordkeeping, access to information and similar matters. As provided in the ABS Notes Base Indenture, the ABS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ABS Notes are also subject to certain customary events of default, including events relating to non-payment of required interest, principal or other amounts due on or with respect to the ABS Notes, failure to comply with covenants within certain time frames, certain bankruptcy events, breaches of specified representations and warranties, failure of security interests to be effective and certain judgments.</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3, 2025, Uniti used a portion of the net proceeds from the offering of the ABS Notes to repay and terminate the ABS Loan Facility and issued a notice of redemption to redeem $125.0 million aggregate principal amount of our February 2028 Secured Notes. Uniti redeemed the February 2028 Secured Notes called for redemption on February 14, 2025, at a redemption price of 103% of the redeemed principal amount plus accrued interest to, but excluding, the redemption date.</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recognized a $3.2 million loss on the extinguishment of the ABS Loan Facility and a $5.3 million loss on the partial extinguishment of the February 2028 Secured Notes within interest expense, net on the Condensed Consolidated Statements of Income, which includes $4.8 million of non-cash interest expense for the write off of the unamortized premium and deferred financing costs and $3.7 million of cash interest expense for the redemption premium.</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Deferred Financing Cost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were incurred in connection with the issuance of the Notes and our entry into the Revolving Credit Facility and the ABS Loan Facility. These costs are amortized using the effective interest method over the term of the related indebtedness and are included in interest expense in our Condensed Consolidated Statements of Income. For the three months ended March 31, 2025 and 2024, we recognized $6.0 million and $5.0 million, respectively, of non-cash interest expense related to the amortization of deferred financing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Earnings Per Share</w:t>
      </w:r>
    </w:p>
    <w:p>
      <w:pPr>
        <w:pStyle w:val="TextBody"/>
        <w:bidi w:val="0"/>
        <w:spacing w:lineRule="auto" w:line="288" w:before="240" w:after="283"/>
        <w:jc w:val="left"/>
        <w:rPr/>
      </w:pPr>
      <w:r>
        <w:rPr>
          <w:rFonts w:ascii="Times New Roman;sans-serif" w:hAnsi="Times New Roman;sans-serif"/>
          <w:b w:val="false"/>
          <w:color w:val="000000"/>
          <w:sz w:val="20"/>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Times New Roman;sans-serif" w:hAnsi="Times New Roman;sans-serif"/>
          <w:b w:val="false"/>
          <w:i/>
          <w:color w:val="000000"/>
          <w:sz w:val="20"/>
        </w:rPr>
        <w:t>Earnings per Share</w:t>
      </w:r>
      <w:r>
        <w:rPr>
          <w:color w:val="000000"/>
        </w:rPr>
        <w:t xml:space="preserve"> </w:t>
      </w:r>
      <w:r>
        <w:rPr>
          <w:rFonts w:ascii="Times New Roman;sans-serif" w:hAnsi="Times New Roman;sans-serif"/>
          <w:b w:val="false"/>
          <w:color w:val="000000"/>
          <w:sz w:val="20"/>
        </w:rPr>
        <w:t>(“ASC 260”).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dilutive effect of the 4.00% exchangeable notes that matured and were repaid on June 15, 2024 (the "Exchange Notes") and the Convertible 2027 Notes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previously issued in connection with the issuance of the Exchange Notes that terminated in June 2024 is calculated using the treasury-stock method. During the three months ended March 31, 2024, the warrants were excluded from diluted shares outstanding because the exercise price exceeded the average market price of our common stock for the reporting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computation of basic and diluted earnings per share under the two-class method:</w:t>
      </w:r>
    </w:p>
    <w:tbl>
      <w:tblPr>
        <w:tblW w:w="7581" w:type="dxa"/>
        <w:jc w:val="center"/>
        <w:tblInd w:w="0" w:type="dxa"/>
        <w:tblLayout w:type="fixed"/>
        <w:tblCellMar>
          <w:top w:w="28" w:type="dxa"/>
          <w:left w:w="28" w:type="dxa"/>
          <w:bottom w:w="28" w:type="dxa"/>
          <w:right w:w="28" w:type="dxa"/>
        </w:tblCellMar>
      </w:tblPr>
      <w:tblGrid>
        <w:gridCol w:w="1579"/>
        <w:gridCol w:w="1391"/>
        <w:gridCol w:w="1394"/>
        <w:gridCol w:w="109"/>
        <w:gridCol w:w="109"/>
        <w:gridCol w:w="109"/>
        <w:gridCol w:w="211"/>
        <w:gridCol w:w="721"/>
        <w:gridCol w:w="109"/>
        <w:gridCol w:w="109"/>
        <w:gridCol w:w="109"/>
        <w:gridCol w:w="109"/>
        <w:gridCol w:w="211"/>
        <w:gridCol w:w="721"/>
        <w:gridCol w:w="109"/>
        <w:gridCol w:w="109"/>
        <w:gridCol w:w="109"/>
        <w:gridCol w:w="109"/>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571" w:type="dxa"/>
        <w:jc w:val="center"/>
        <w:tblInd w:w="0" w:type="dxa"/>
        <w:tblLayout w:type="fixed"/>
        <w:tblCellMar>
          <w:top w:w="28" w:type="dxa"/>
          <w:left w:w="28" w:type="dxa"/>
          <w:bottom w:w="28" w:type="dxa"/>
          <w:right w:w="28" w:type="dxa"/>
        </w:tblCellMar>
      </w:tblPr>
      <w:tblGrid>
        <w:gridCol w:w="1937"/>
        <w:gridCol w:w="1707"/>
        <w:gridCol w:w="1710"/>
        <w:gridCol w:w="109"/>
        <w:gridCol w:w="109"/>
        <w:gridCol w:w="109"/>
        <w:gridCol w:w="211"/>
        <w:gridCol w:w="721"/>
        <w:gridCol w:w="109"/>
        <w:gridCol w:w="109"/>
        <w:gridCol w:w="109"/>
        <w:gridCol w:w="109"/>
        <w:gridCol w:w="211"/>
        <w:gridCol w:w="721"/>
        <w:gridCol w:w="109"/>
        <w:gridCol w:w="109"/>
        <w:gridCol w:w="109"/>
        <w:gridCol w:w="109"/>
        <w:gridCol w:w="154"/>
      </w:tblGrid>
      <w:tr>
        <w:trPr/>
        <w:tc>
          <w:tcPr>
            <w:tcW w:w="193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on if-converted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non-participating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on if-converted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dilutive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1,400,783 non-participating securities were excluded from the computation of earnings per share, as their performance conditions have not been met. For the three months ended March 31, 2025, we excluded 42,043,892 potential common shares related to the Convertible 2027 Notes from the computation of earnings per share,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Segment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who is our chief operating decision maker, manages our operations as two reportable segments, in addition to our corporate operations, which include:</w:t>
      </w:r>
    </w:p>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rFonts w:ascii="Times New Roman;sans-serif" w:hAnsi="Times New Roman;sans-serif"/>
          <w:b w:val="false"/>
          <w:color w:val="000000"/>
          <w:sz w:val="20"/>
        </w:rPr>
        <w:t>: Represents the operations of our leasing business which is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rFonts w:ascii="Times New Roman;sans-serif" w:hAnsi="Times New Roman;sans-serif"/>
          <w:b w:val="false"/>
          <w:color w:val="000000"/>
          <w:sz w:val="20"/>
        </w:rPr>
        <w:t>: Represents the operations of our fiber business which is a leading provider of infrastructure solutions, including cell site backhaul and dark fiber, to the telecommunications industry.</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Represents our corporate office and shared service functions. Certain costs and expenses, primarily related to headcount, information technology systems, insurance, professional fees and similar charges, that are directly attributable to operations of our business segments are allocated to the respective segments.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goodwill impairment charges,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executive officer, who is our chief operating decision maker, reviews Adjusted EBITDA for the purpose of making operating decisions, assessing financial performance, and deciding how to allocate resources (including employees, property, and financial or capital resources) for each segment predominantly in the annual budget and forecasting process. The chief operating decision maker considers budget-to-actual variances monthly when making decisions about allocating capital and personnel to the segments.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Selected financial data related to our segments is presented below for the three months ended March 31, 2025 and 2024:</w:t>
      </w:r>
    </w:p>
    <w:tbl>
      <w:tblPr>
        <w:tblW w:w="10026" w:type="dxa"/>
        <w:jc w:val="left"/>
        <w:tblInd w:w="0" w:type="dxa"/>
        <w:tblLayout w:type="fixed"/>
        <w:tblCellMar>
          <w:top w:w="28" w:type="dxa"/>
          <w:left w:w="28" w:type="dxa"/>
          <w:bottom w:w="28" w:type="dxa"/>
          <w:right w:w="28" w:type="dxa"/>
        </w:tblCellMar>
      </w:tblPr>
      <w:tblGrid>
        <w:gridCol w:w="1063"/>
        <w:gridCol w:w="936"/>
        <w:gridCol w:w="941"/>
        <w:gridCol w:w="109"/>
        <w:gridCol w:w="109"/>
        <w:gridCol w:w="109"/>
        <w:gridCol w:w="211"/>
        <w:gridCol w:w="826"/>
        <w:gridCol w:w="109"/>
        <w:gridCol w:w="109"/>
        <w:gridCol w:w="109"/>
        <w:gridCol w:w="109"/>
        <w:gridCol w:w="211"/>
        <w:gridCol w:w="721"/>
        <w:gridCol w:w="109"/>
        <w:gridCol w:w="109"/>
        <w:gridCol w:w="109"/>
        <w:gridCol w:w="109"/>
        <w:gridCol w:w="211"/>
        <w:gridCol w:w="691"/>
        <w:gridCol w:w="109"/>
        <w:gridCol w:w="109"/>
        <w:gridCol w:w="109"/>
        <w:gridCol w:w="109"/>
        <w:gridCol w:w="457"/>
        <w:gridCol w:w="1790"/>
        <w:gridCol w:w="33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75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293,909 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237,830 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208,060 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26" w:type="dxa"/>
        <w:jc w:val="center"/>
        <w:tblInd w:w="0" w:type="dxa"/>
        <w:tblLayout w:type="fixed"/>
        <w:tblCellMar>
          <w:top w:w="28" w:type="dxa"/>
          <w:left w:w="28" w:type="dxa"/>
          <w:bottom w:w="28" w:type="dxa"/>
          <w:right w:w="28" w:type="dxa"/>
        </w:tblCellMar>
      </w:tblPr>
      <w:tblGrid>
        <w:gridCol w:w="1063"/>
        <w:gridCol w:w="936"/>
        <w:gridCol w:w="941"/>
        <w:gridCol w:w="109"/>
        <w:gridCol w:w="109"/>
        <w:gridCol w:w="109"/>
        <w:gridCol w:w="211"/>
        <w:gridCol w:w="826"/>
        <w:gridCol w:w="109"/>
        <w:gridCol w:w="109"/>
        <w:gridCol w:w="109"/>
        <w:gridCol w:w="109"/>
        <w:gridCol w:w="211"/>
        <w:gridCol w:w="721"/>
        <w:gridCol w:w="109"/>
        <w:gridCol w:w="109"/>
        <w:gridCol w:w="109"/>
        <w:gridCol w:w="109"/>
        <w:gridCol w:w="211"/>
        <w:gridCol w:w="691"/>
        <w:gridCol w:w="109"/>
        <w:gridCol w:w="109"/>
        <w:gridCol w:w="109"/>
        <w:gridCol w:w="109"/>
        <w:gridCol w:w="457"/>
        <w:gridCol w:w="1790"/>
        <w:gridCol w:w="33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75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286,418 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228,628 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segment expenses for our reportable segments are presented below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7640" w:type="dxa"/>
        <w:jc w:val="left"/>
        <w:tblInd w:w="0" w:type="dxa"/>
        <w:tblLayout w:type="fixed"/>
        <w:tblCellMar>
          <w:top w:w="28" w:type="dxa"/>
          <w:left w:w="28" w:type="dxa"/>
          <w:bottom w:w="28" w:type="dxa"/>
          <w:right w:w="28" w:type="dxa"/>
        </w:tblCellMar>
      </w:tblPr>
      <w:tblGrid>
        <w:gridCol w:w="1759"/>
        <w:gridCol w:w="1544"/>
        <w:gridCol w:w="1556"/>
        <w:gridCol w:w="109"/>
        <w:gridCol w:w="109"/>
        <w:gridCol w:w="109"/>
        <w:gridCol w:w="211"/>
        <w:gridCol w:w="721"/>
        <w:gridCol w:w="109"/>
        <w:gridCol w:w="109"/>
        <w:gridCol w:w="109"/>
        <w:gridCol w:w="109"/>
        <w:gridCol w:w="211"/>
        <w:gridCol w:w="721"/>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(excluding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Network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Installation, Equipment, &amp; Other Non-recurring Charges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Insurance </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Professional Fees </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Included within the Operating Expense (exclusive of depreciation, accretion and amortization) line item in our Consolidated Statements of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Included within the General and Administration Expense line item in our Consolidated Statements of Income.</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 include employee salaries, related taxes and benefits, short-term cash incentive compensation and travel and entertainment expenses. Other includes office rent, IT costs, taxes and fees, advertising, other overhead expenses, and EBITDA adjustments.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7790" w:type="dxa"/>
        <w:jc w:val="left"/>
        <w:tblInd w:w="0" w:type="dxa"/>
        <w:tblLayout w:type="fixed"/>
        <w:tblCellMar>
          <w:top w:w="28" w:type="dxa"/>
          <w:left w:w="28" w:type="dxa"/>
          <w:bottom w:w="28" w:type="dxa"/>
          <w:right w:w="28" w:type="dxa"/>
        </w:tblCellMar>
      </w:tblPr>
      <w:tblGrid>
        <w:gridCol w:w="1737"/>
        <w:gridCol w:w="1525"/>
        <w:gridCol w:w="1537"/>
        <w:gridCol w:w="109"/>
        <w:gridCol w:w="109"/>
        <w:gridCol w:w="109"/>
        <w:gridCol w:w="211"/>
        <w:gridCol w:w="826"/>
        <w:gridCol w:w="109"/>
        <w:gridCol w:w="109"/>
        <w:gridCol w:w="109"/>
        <w:gridCol w:w="109"/>
        <w:gridCol w:w="211"/>
        <w:gridCol w:w="826"/>
        <w:gridCol w:w="154"/>
      </w:tblGrid>
      <w:tr>
        <w:trPr/>
        <w:tc>
          <w:tcPr>
            <w:tcW w:w="173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(excluding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Network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Included within the Operating Expense (exclusive of depreciation, accretion and amortization) line item in our Consolidated Statements of Income.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Employee-related expenses include employee salaries, related taxes and benefits, short-term cash incentive compensation and travel and entertainment expenses. Other includes insurance, professional fees, taxes and fees, other overhead expenses, and EBITDA adjustments.</w:t>
      </w:r>
    </w:p>
    <w:p>
      <w:pPr>
        <w:pStyle w:val="TextBody"/>
        <w:bidi w:val="0"/>
        <w:spacing w:before="0" w:after="0"/>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by business segment as of March 31, 2025 and December 31, 2024 are as follows:</w:t>
      </w:r>
    </w:p>
    <w:tbl>
      <w:tblPr>
        <w:tblW w:w="5924" w:type="dxa"/>
        <w:jc w:val="center"/>
        <w:tblInd w:w="0" w:type="dxa"/>
        <w:tblLayout w:type="fixed"/>
        <w:tblCellMar>
          <w:top w:w="28" w:type="dxa"/>
          <w:left w:w="28" w:type="dxa"/>
          <w:bottom w:w="28" w:type="dxa"/>
          <w:right w:w="28" w:type="dxa"/>
        </w:tblCellMar>
      </w:tblPr>
      <w:tblGrid>
        <w:gridCol w:w="879"/>
        <w:gridCol w:w="772"/>
        <w:gridCol w:w="778"/>
        <w:gridCol w:w="109"/>
        <w:gridCol w:w="109"/>
        <w:gridCol w:w="109"/>
        <w:gridCol w:w="211"/>
        <w:gridCol w:w="976"/>
        <w:gridCol w:w="109"/>
        <w:gridCol w:w="109"/>
        <w:gridCol w:w="109"/>
        <w:gridCol w:w="109"/>
        <w:gridCol w:w="243"/>
        <w:gridCol w:w="1125"/>
        <w:gridCol w:w="177"/>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3,158,309 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5,282,145 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Commitments and Contingencies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Windstream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our settlement agreement with Windstream, including entry into the Windstream Leases, we are obligated to make $490.1 million of cash payments to Windstream in equal installments over 20 consecutive quarters beginning in October 2020, and Uniti may prepay any installments due on or after the first anniversary of the settlement agreement (discounted at a 9% rate). As of March 31, 2025, the Company has made payments totaling $435.9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beginning in October 2020, we became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2024, and are limited to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During the three months ended March 31, 2025, Uniti reimbursed $175.0 million of Growth Capital Improvements, of which $175.0 million represented the reimbursement of capital improvements completed in 2024 that were previously classified as tenant funded capital improvements. As of the date of this Quarterly Report on Form 10-Q, we have reimbursed a total of $1.2 billion of Growth Capital Improvements.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have been made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12. Accumulated Other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loss by component is as follows for the three months ended March 31, 2025 and 2024:</w:t>
      </w:r>
    </w:p>
    <w:tbl>
      <w:tblPr>
        <w:tblW w:w="9277" w:type="dxa"/>
        <w:jc w:val="center"/>
        <w:tblInd w:w="0" w:type="dxa"/>
        <w:tblLayout w:type="fixed"/>
        <w:tblCellMar>
          <w:top w:w="28" w:type="dxa"/>
          <w:left w:w="28" w:type="dxa"/>
          <w:bottom w:w="28" w:type="dxa"/>
          <w:right w:w="28" w:type="dxa"/>
        </w:tblCellMar>
      </w:tblPr>
      <w:tblGrid>
        <w:gridCol w:w="2196"/>
        <w:gridCol w:w="1933"/>
        <w:gridCol w:w="1945"/>
        <w:gridCol w:w="109"/>
        <w:gridCol w:w="109"/>
        <w:gridCol w:w="109"/>
        <w:gridCol w:w="247"/>
        <w:gridCol w:w="633"/>
        <w:gridCol w:w="127"/>
        <w:gridCol w:w="127"/>
        <w:gridCol w:w="127"/>
        <w:gridCol w:w="127"/>
        <w:gridCol w:w="247"/>
        <w:gridCol w:w="633"/>
        <w:gridCol w:w="127"/>
        <w:gridCol w:w="109"/>
        <w:gridCol w:w="109"/>
        <w:gridCol w:w="109"/>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9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Note 13. Capital Stock</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The limited partnership interests in our operating partnership (commonly called “OP Units”), are exchangeable on a one-for-one basis for shares of our common stock or, at our election, cash of equivalent value. During the three months ended March 31, 2025, the Company exchanged 14,722</w:t>
      </w:r>
      <w:r>
        <w:rPr>
          <w:color w:val="000000"/>
        </w:rPr>
        <w:t xml:space="preserve"> </w:t>
      </w:r>
      <w:r>
        <w:rPr>
          <w:rFonts w:ascii="Times New Roman;sans-serif" w:hAnsi="Times New Roman;sans-serif"/>
          <w:b w:val="false"/>
          <w:color w:val="000000"/>
          <w:sz w:val="20"/>
        </w:rPr>
        <w:t>OP Units held by third parties for cash consideration of $0.1 million, representing 100% of the OP Units held by third parties with a carrying value of $0.3 million as of the exchange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14. Supplementary Unrestricted Subsidiary Information</w:t>
        <w:br/>
        <w:br/>
      </w:r>
      <w:r>
        <w:rPr>
          <w:rFonts w:ascii="Times New Roman;sans-serif" w:hAnsi="Times New Roman;sans-serif"/>
          <w:b w:val="false"/>
          <w:color w:val="000000"/>
          <w:sz w:val="20"/>
        </w:rPr>
        <w:t>During 2024, we formed the ABS Parent and the ABS Bridge Loan Parties, each an indirect, bankruptcy-remote subsidiary of the Company, and we designated ABS Parent and the ABS Bridge Loan Parties as unrestricted subsidiaries under the Credit Agreement and the applicable indentures governing the Company’s outstanding senior notes. During 2025, we formed the ABS Notes Obligors (other than Uniti Fiber GulfCo LLC, which was formed in 2024), each a subsidiary of ABS Parent and an indirect, bankruptcy-remote subsidiary of the Company. Each ABS Notes Obligor is an unrestricted subsidiary under the Credit Agreement and the applicable indentures governing the Company’s senior notes. See Note 8.</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Below are the Consolidated Balance Sheets as of March 31, 2025 and 2024, and the Consolidated Statements of Income for the three months ended March 31, 2025 and 2024, respectively, of such unrestricted subsidiaries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6"/>
        <w:gridCol w:w="1068"/>
        <w:gridCol w:w="1076"/>
        <w:gridCol w:w="109"/>
        <w:gridCol w:w="109"/>
        <w:gridCol w:w="109"/>
        <w:gridCol w:w="312"/>
        <w:gridCol w:w="1176"/>
        <w:gridCol w:w="173"/>
        <w:gridCol w:w="109"/>
        <w:gridCol w:w="109"/>
        <w:gridCol w:w="109"/>
        <w:gridCol w:w="263"/>
        <w:gridCol w:w="1172"/>
        <w:gridCol w:w="146"/>
        <w:gridCol w:w="109"/>
        <w:gridCol w:w="109"/>
        <w:gridCol w:w="109"/>
        <w:gridCol w:w="196"/>
        <w:gridCol w:w="715"/>
        <w:gridCol w:w="109"/>
        <w:gridCol w:w="109"/>
        <w:gridCol w:w="109"/>
        <w:gridCol w:w="109"/>
        <w:gridCol w:w="196"/>
        <w:gridCol w:w="871"/>
        <w:gridCol w:w="158"/>
      </w:tblGrid>
      <w:tr>
        <w:trPr/>
        <w:tc>
          <w:tcPr>
            <w:tcW w:w="12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r>
      <w:tr>
        <w:trPr/>
        <w:tc>
          <w:tcPr>
            <w:tcW w:w="3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3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445,061 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3,837,298 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4,282,359 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Straight-line revenue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132,951 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522,609 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4,694,527 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5,292,414 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1,287,734 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1,334,470 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and other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576,866 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5,414,789 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5,970,404 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652,513 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7,128,385 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7,729,868 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(129,904)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(2,433,858)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(2,437,454)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522,609 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4,694,527 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5,292,414 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8"/>
        <w:gridCol w:w="1050"/>
        <w:gridCol w:w="1058"/>
        <w:gridCol w:w="109"/>
        <w:gridCol w:w="109"/>
        <w:gridCol w:w="109"/>
        <w:gridCol w:w="309"/>
        <w:gridCol w:w="1165"/>
        <w:gridCol w:w="172"/>
        <w:gridCol w:w="109"/>
        <w:gridCol w:w="109"/>
        <w:gridCol w:w="109"/>
        <w:gridCol w:w="262"/>
        <w:gridCol w:w="1165"/>
        <w:gridCol w:w="145"/>
        <w:gridCol w:w="109"/>
        <w:gridCol w:w="109"/>
        <w:gridCol w:w="109"/>
        <w:gridCol w:w="196"/>
        <w:gridCol w:w="793"/>
        <w:gridCol w:w="109"/>
        <w:gridCol w:w="109"/>
        <w:gridCol w:w="109"/>
        <w:gridCol w:w="109"/>
        <w:gridCol w:w="196"/>
        <w:gridCol w:w="871"/>
        <w:gridCol w:w="158"/>
      </w:tblGrid>
      <w:tr>
        <w:trPr/>
        <w:tc>
          <w:tcPr>
            <w:tcW w:w="124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3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446,498 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3,763,249 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4,209,747 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153,850 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275,414 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275,414 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Straight-line revenue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126,791 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211,031 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128,045 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486,297 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4,970,246 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5,282,145 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145,703 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145,703 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1,357,431 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1,400,952 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80,504 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and other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271,329 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5,512,268 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5,783,597 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319,157 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7,418,751 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7,733,985 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167,140 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(2,448,505)</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(2,451,840)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486,297 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4,970,246 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5,282,145 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0"/>
        <w:gridCol w:w="1195"/>
        <w:gridCol w:w="1205"/>
        <w:gridCol w:w="109"/>
        <w:gridCol w:w="109"/>
        <w:gridCol w:w="109"/>
        <w:gridCol w:w="304"/>
        <w:gridCol w:w="1006"/>
        <w:gridCol w:w="170"/>
        <w:gridCol w:w="109"/>
        <w:gridCol w:w="109"/>
        <w:gridCol w:w="109"/>
        <w:gridCol w:w="265"/>
        <w:gridCol w:w="997"/>
        <w:gridCol w:w="147"/>
        <w:gridCol w:w="109"/>
        <w:gridCol w:w="109"/>
        <w:gridCol w:w="109"/>
        <w:gridCol w:w="196"/>
        <w:gridCol w:w="711"/>
        <w:gridCol w:w="109"/>
        <w:gridCol w:w="109"/>
        <w:gridCol w:w="109"/>
        <w:gridCol w:w="109"/>
        <w:gridCol w:w="197"/>
        <w:gridCol w:w="742"/>
        <w:gridCol w:w="163"/>
      </w:tblGrid>
      <w:tr>
        <w:trPr/>
        <w:tc>
          <w:tcPr>
            <w:tcW w:w="14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3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3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32,025 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273,349 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293,909 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125,691 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25,285 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 (exclusive of depreciation, accretion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32,404 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265,268 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286,207 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 and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0"/>
        <w:gridCol w:w="1201"/>
        <w:gridCol w:w="1208"/>
        <w:gridCol w:w="109"/>
        <w:gridCol w:w="109"/>
        <w:gridCol w:w="109"/>
        <w:gridCol w:w="337"/>
        <w:gridCol w:w="956"/>
        <w:gridCol w:w="188"/>
        <w:gridCol w:w="109"/>
        <w:gridCol w:w="109"/>
        <w:gridCol w:w="109"/>
        <w:gridCol w:w="265"/>
        <w:gridCol w:w="998"/>
        <w:gridCol w:w="147"/>
        <w:gridCol w:w="109"/>
        <w:gridCol w:w="109"/>
        <w:gridCol w:w="109"/>
        <w:gridCol w:w="277"/>
        <w:gridCol w:w="574"/>
        <w:gridCol w:w="155"/>
        <w:gridCol w:w="109"/>
        <w:gridCol w:w="109"/>
        <w:gridCol w:w="109"/>
        <w:gridCol w:w="197"/>
        <w:gridCol w:w="742"/>
        <w:gridCol w:w="162"/>
      </w:tblGrid>
      <w:tr>
        <w:trPr/>
        <w:tc>
          <w:tcPr>
            <w:tcW w:w="149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280,837 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286,418 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 (exclusive of depreciation, accretion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248,066 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250,433 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 and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32,771 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38,134 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41,348 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describes the principal factors affecting the results of our operations, financial condition, and changes in financial condition for the three months ended March 31, 2025. This discussion should be read in conjunction with the accompanying Condensed Consolidated Financial Statements, and the notes thereto set forth in Part I, Item 1 "Financial Statements" of this Quarterly Report on Form 10-Q and our Annual Report on Form 10-K filed with the SEC on February 21, 2025, as amended by Amendment No. 1 thereto filed on Form 10-K/A with the SEC on March 7, 2025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Company Description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(the “Company”, “Uniti”, “we”, “us” or “our”) is an independent, internally managed REIT engaged in the acquisition, construction and leasing of mission critical infrastructure in the communications industry. We are principally focused on acquiring and constructing fiber optic, copper and coaxial broadband networks and data centers.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2015, we were separated and spun-off (the “Spin-Off”) from Windstream Holdings, Inc.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pStyle w:val="TextBody"/>
        <w:bidi w:val="0"/>
        <w:spacing w:lineRule="auto" w:line="288" w:before="240" w:after="283"/>
        <w:jc w:val="left"/>
        <w:rPr/>
      </w:pPr>
      <w:r>
        <w:rPr>
          <w:rFonts w:ascii="Times New Roman;sans-serif" w:hAnsi="Times New Roman;sans-serif"/>
          <w:b w:val="false"/>
          <w:color w:val="000000"/>
          <w:sz w:val="20"/>
        </w:rPr>
        <w:t xml:space="preserve">Uniti currently operates as a REIT for U.S. federal income tax purposes. As a REIT, the Company is generally not subject to U.S. federal income taxes on income generated by its REIT operations, which includes income derived from the </w:t>
      </w:r>
      <w:r>
        <w:rPr>
          <w:rFonts w:ascii="Times New Roman;sans-serif" w:hAnsi="Times New Roman;sans-serif"/>
          <w:b w:val="false"/>
          <w:color w:val="000000"/>
          <w:sz w:val="20"/>
          <w:shd w:fill="FFFFFF" w:val="clear"/>
        </w:rPr>
        <w:t>Windstream Leases</w:t>
      </w:r>
      <w:r>
        <w:rPr>
          <w:rFonts w:ascii="Times New Roman;sans-serif" w:hAnsi="Times New Roman;sans-serif"/>
          <w:b w:val="false"/>
          <w:color w:val="000000"/>
          <w:sz w:val="20"/>
        </w:rPr>
        <w:t>. We have elected to treat the subsidiaries through which we operate our fiber business, Uniti Fiber, and certain aspects of our leasing business, Uniti Leasing, as taxable REIT subsidiaries (“TRSs”). TRSs enable us to engage in activities that result in income that does not constitute qualifying income for a REIT. Our TRSs are subject to U.S. federal, state and local corporate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March 31, 2025, we are the sole general partner of the Operating Partnership and own 100.00% of the partnership interests in the Operating Partnership. In addition, we have undertaken a series of transactions to permit us to hold certain assets through subsidiaries that are taxed as REITs, which may also facilitate future acquisition opportunities.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Merger (as defined herein) is completed, we expect to cease to qualify as a REIT and New Uniti (as defined herein) would not qualify as a REIT.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240" w:after="283"/>
        <w:jc w:val="left"/>
        <w:rPr/>
      </w:pPr>
      <w:r>
        <w:rPr>
          <w:rFonts w:ascii="Times New Roman;sans-serif" w:hAnsi="Times New Roman;sans-serif"/>
          <w:b w:val="false"/>
          <w:color w:val="000000"/>
          <w:sz w:val="20"/>
        </w:rPr>
        <w:t>We manage our operations as</w:t>
      </w:r>
      <w:r>
        <w:rPr>
          <w:color w:val="000000"/>
          <w:shd w:fill="FFFFFF" w:val="clear"/>
        </w:rPr>
        <w:t xml:space="preserve"> </w:t>
      </w:r>
      <w:r>
        <w:rPr>
          <w:rFonts w:ascii="Times New Roman;sans-serif" w:hAnsi="Times New Roman;sans-serif"/>
          <w:b w:val="false"/>
          <w:color w:val="000000"/>
          <w:sz w:val="20"/>
        </w:rPr>
        <w:t>two</w:t>
      </w:r>
      <w:r>
        <w:rPr>
          <w:color w:val="000000"/>
          <w:shd w:fill="FFFFFF" w:val="clear"/>
        </w:rPr>
        <w:t xml:space="preserve"> </w:t>
      </w:r>
      <w:r>
        <w:rPr>
          <w:rFonts w:ascii="Times New Roman;sans-serif" w:hAnsi="Times New Roman;sans-serif"/>
          <w:b w:val="false"/>
          <w:color w:val="000000"/>
          <w:sz w:val="20"/>
          <w:shd w:fill="FFFFFF" w:val="clear"/>
        </w:rPr>
        <w:t>reportable business segments, in addition to our corporate operations, which include:</w:t>
      </w:r>
    </w:p>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rFonts w:ascii="Times New Roman;sans-serif" w:hAnsi="Times New Roman;sans-serif"/>
          <w:b w:val="false"/>
          <w:color w:val="000000"/>
          <w:sz w:val="20"/>
        </w:rPr>
        <w:t>: Represents the operations of our leasing business, which is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TRSs.</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rFonts w:ascii="Times New Roman;sans-serif" w:hAnsi="Times New Roman;sans-serif"/>
          <w:b w:val="false"/>
          <w:color w:val="000000"/>
          <w:sz w:val="20"/>
        </w:rPr>
        <w:t>: Represents the operations of our fiber business which is a leading provider of infrastructure solutions, including cell site backhaul and dark fiber, to the telecommunications industry.</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rFonts w:ascii="Times New Roman;sans-serif" w:hAnsi="Times New Roman;sans-serif"/>
          <w:b w:val="false"/>
          <w:color w:val="000000"/>
          <w:sz w:val="20"/>
        </w:rPr>
        <w:t xml:space="preserve">: Represents our corporate office and shared service functions. Certain costs and expenses, primarily related to headcount, information technology systems, insurance, professional fees and similar charges, that are directly attributable to operations of our business segments are allocated to the respective segments. </w:t>
      </w:r>
    </w:p>
    <w:p>
      <w:pPr>
        <w:pStyle w:val="TextBody"/>
        <w:bidi w:val="0"/>
        <w:spacing w:lineRule="auto" w:line="288" w:before="240" w:after="283"/>
        <w:jc w:val="left"/>
        <w:rPr/>
      </w:pPr>
      <w:r>
        <w:rPr>
          <w:rFonts w:ascii="Times New Roman;sans-serif" w:hAnsi="Times New Roman;sans-serif"/>
          <w:b w:val="false"/>
          <w:color w:val="000000"/>
          <w:sz w:val="20"/>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goodwill impairment charges,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w:t>
      </w:r>
      <w:r>
        <w:rPr>
          <w:rFonts w:ascii="Times New Roman;sans-serif" w:hAnsi="Times New Roman;sans-serif"/>
          <w:b w:val="false"/>
          <w:color w:val="000000"/>
          <w:sz w:val="20"/>
          <w:shd w:fill="FFFFFF" w:val="clear"/>
        </w:rPr>
        <w:t xml:space="preserve">. For more information on Adjusted EBITDA, see “Non-GAAP Financial Measures.” </w:t>
      </w:r>
      <w:r>
        <w:rPr>
          <w:rFonts w:ascii="Times New Roman;sans-serif" w:hAnsi="Times New Roman;sans-serif"/>
          <w:b w:val="false"/>
          <w:color w:val="000000"/>
          <w:sz w:val="20"/>
        </w:rPr>
        <w:t xml:space="preserve">Detailed information about our segments can be found in </w:t>
      </w:r>
      <w:hyperlink w:anchor="iff1f1a04df874dc79a8c3cdc7c5437f3_73">
        <w:r>
          <w:rPr>
            <w:rStyle w:val="InternetLink"/>
            <w:rFonts w:ascii="Times New Roman;sans-serif" w:hAnsi="Times New Roman;sans-serif"/>
            <w:b w:val="false"/>
            <w:color w:val="0000FF"/>
            <w:sz w:val="20"/>
            <w:u w:val="single"/>
          </w:rPr>
          <w:t>Note 10</w:t>
        </w:r>
      </w:hyperlink>
      <w:r>
        <w:rPr>
          <w:color w:val="000000"/>
        </w:rPr>
        <w:t xml:space="preserve"> </w:t>
      </w:r>
      <w:r>
        <w:rPr>
          <w:rFonts w:ascii="Times New Roman;sans-serif" w:hAnsi="Times New Roman;sans-serif"/>
          <w:b w:val="false"/>
          <w:color w:val="000000"/>
          <w:sz w:val="20"/>
        </w:rPr>
        <w:t>to our accompanying Condensed Consolidated Financial Statements contained in Part I, Item 1 "Financial Statements" of this Quarterly Report on Form 10-Q.</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Significant Business Developments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Our Proposed Merger with Windstream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 2024, Uniti entered into an Agreement and Plan of Merger, by and between Uniti and Windstream, as amended by Amendment No. 1 to the Agreement and Plan of Merger, dated as of July 17, 2024 (as it may be further amended and/or restated from time to time, the “Merger Agreement”). Upon the terms and subject to the conditions set forth in the Merger Agreement and following a pre-closing reorganization of Windstream, an affiliate of Windstream identified as “Merger Sub” in the Merger Agreement will merge with and into Uniti (the “Merger”), with Uniti surviving the Merger, with the result that both of Uniti and Windstream’s successor by merger will be indirect wholly owned subsidiaries of Windstream Parent, Inc., a Delaware corporation that is currently an indirect wholly owned subsidiary of Windstream (“New Uniti”). In connection with the Merger, Windstream Parent, Inc. will be renamed Uniti Group Inc. Following the Merger, the common stock of New Uniti ("New Uniti Common Stock") is expected to be listed on the Nasdaq Global Market under the proposed symbol “UNIT.” Our Merger with Windstream is subject to customary closing conditions, including, among others, approval by our stockholders, which was obtained April 2, 2025, and receipt of required regulatory approvals.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Merger intends to reunite Windstream’s business with the underlying fiber infrastructure owned by the Company to create a premier digital infrastructure company with a strong platform for value creation. Upon consummation of the Merger, the board of directors of New Uniti will initially comprise nine members, including five directors to be appointed by Uniti. It is expected that Uniti’s existing officers will serve as initial officers of New Uniti.</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effective time of the Merger, each share of Uniti’s common stock that is issued and outstanding will automatically be cancelled and retired and converted into the right to a number of shares of New Uniti Common Stock pursuant to an exchange ratio set forth in the Merger Agreement such that the Company's and Windstream's stockholders are expected to hold approximately 62% and 38%, respectively, of the combined company before giving effect to the conversion of any outstanding convertible securities or the issuance of warrants to purchase New Uniti Common Stock referenced below.</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at the closing of the Merger, we will fund an aggregate cash payment of $425 million (less certain transaction expenses) that will be distributed to Windstream equityholders on a pro-rata basis (the “Merger Cash Consideration”). Windstream equityholders will also be entitled to pro rata distributions of (i) new shares of non-voting preferred stock of New Uniti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 million, and (ii) warrants to purchase New Uniti Common Stock, with an exercise price of $0.01 per share, subject to customary adjustments, representing in the aggregate approximately 6.9% of the pro forma share total of New Uniti. We intend to fund the Merger Cash Consideration with cash on hand and borrowings under the Revolving Credit Facility (as defined herein).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Merger with Windstream is subject to customary closing conditions, including, among others, approval by our</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and receipt of required regulatory approvals, including the expiration or early termination of the waiting period under the Hart-Scott-Rodino Antitrust Improvements Act of 1976 and the receipt of approvals from the Federal Communications Commission and certain state public utility commissions. We currently expect our Merger with Windstream to close in the second half of 2025.</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Merger, New Uniti will become an integrated telecommunications company. Initially, the legacy Uniti and Windstream organizational structures will remain separate, and the existing agreements and arrangements presently in effect between Uniti and Windstream, such as the Windstream Leases and the settlement agreement with Windstream, which requires Uniti to fund periodic settlement payments and reimburse Windstream for certain Growth Capital Improvements, will remain in place. All Windstream debt obligations would remain obligations of Windstream and our debt obligations would remain as ours, with no cross-guarantees or credit support between the Company and Windstream. For a description of the Windstream Leases and the settlement agreement with Windstream, refer to “Liquidity and Capital Resources—Windstream Leases” within Part I, Item 2 "Management’s Discussion and Analysis of Financial Condition and Results of Operations" in this Quarterly Report on Form 10-Q. In September and October 2024, Windstream undertook a series of transactions through which it amended the terms of its outstanding debt to, among other things, allow for the consolidation of Uniti's and Windstream's debt following the completion of the Merger into a single silo under a common parent entity (the "Post-Closing Reorganization"). In April of 2025, we amended our Credit Agreement (as defined herein) to modify its lien covenant to facilitate the Post-Closing Reorganization. As a result, following the completion of the Merger, Uniti may, but is not required to, consummate the Post-Closing Reorganization. If the Post-Closing Reorganization is completed, certain existing agreements and arrangements presently in effect between Uniti and Windstream, including the Windstream Leases and the settlement agreement described above, could be (but are not required to be) terminated. In addition, if the Post-Closing Reorganization is completed, each obligor under Uniti's outstanding debt (other than the ABS Notes, as defined herein) would become an obligor under Windstream's outstanding debt, and each obligor under Windstream's outstanding debt would become an obligor under Uniti's outstanding debt (other than the ABS Notes, as defined herein).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have agreed to suspend dividend payments or other distributions until the consummation of the Merger, except for the dividend paid on June 28, 2024 and those dividends reasonably required for us or our subsidiaries to maintain our status as a REIT or to avoid the payment or imposition of income or excise tax, among other customary exceptions. Finally, it is expected that, following consummation of the Merger, Uniti will cease to be a REIT and New Uniti would not qualify as a REIT.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Asset-Backed Notes &amp; Bridge Loan Facility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23, 2024, Uniti Fiber Bridge Borrower LLC (the “ABS Bridge Borrower”), Uniti Fiber Bridge HoldCo LLC and Uniti Fiber GulfCo LLC (together, the “ABS Bridge Loan Parties”), each an indirect, bankruptcy-remote subsidiary of the Company, entered into a bridge loan and security agreement, dated as of February 23, 2024 (the “ABS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ABS Loan Agreement provided for a secured, multi-draw term loan facility of up to $350.0 million (the “ABS Loan Facility”). As of December 31, 2024, an aggregate of $275.0 million principal amount of loans under the ABS Loan Facility had been drawn.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ABS Loan Facility was secured by equity in the ABS Bridge Borrower and substantially all of the assets of the ABS Bridge Loan Parties (subject to certain customary limited exceptions) and was non-recourse to the Company. Each of the ABS Bridge Loan Parties and Uniti Fiber ABS Parent LLC ("ABS Parent") was designated as an unrestricted subsidiary under the Credit Agreement and the applicable indentures governing the Company’s outstanding senior notes.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3, 2025, Uniti Fiber ABS Issuer LLC and Uniti Fiber TRS Issuer LLC (collectively, the “ABS Notes Issuers”), each an indirect, bankruptcy-remote subsidiary of the Company, issued $589.0 million aggregate principal amount of secured fiber network revenue term notes, consisting of $426.0 million 5.88% Series 2025-1, Class A-2 term notes, $65.0 million 6.37% Series 2025-1, Class B term notes and $98.0 million 9.02% Series 2025-1, Class C term notes (collectively, the “ABS Notes”), each with an anticipated repayment date in April 2030. The ABS Notes were issued as part of a securitization transaction, pursuant to which certain of the Company’s fiber network assets and related customer contracts in the State of Florida and the Gulf Coast region of Louisiana, Mississippi and Alabama, including the assets of the ABS Bridge Loan Parties that secured the ABS Loan Facility, were contributed to the ABS Notes Issuers, Uniti Fiber GulfCo LLC and Uniti Fiber TRS AssetCo LLC (collectively, the “ABS Notes Obligors”). The cash flow from these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contributed assets will be used to service the obligations under the ABS Notes.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ABS Notes were issued pursuant to an indenture, dated as of February 3, 2025 (the “ABS Notes Base Indenture”), as supplemented by a Series 2025-1 Supplement thereto, dated as of February 3, 2025 (the “Series 2025-1 Supplement), in each case by and among the ABS Notes Obligors and Wilmington Trust, National Association, as indenture trustee.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ABS Notes are secured by a security interest in substantially all of the assets (subject to customary limited exceptions) of the ABS Notes Obligors and are guaranteed by each ABS Notes Issuer’s respective parent entity (each an “ABS Guarantor” and, together with the ABS Notes Obligors, the “ABS Notes Parties”). The guarantee of each ABS Guarantor is secured by a security interest in the equity interests of the applicable ABS Notes Issuer. Neither the Company nor any subsidiary of the Company, other than the ABS Notes Parties, will guarantee or in any way be liable for the obligations under the ABS Notes. Each ABS Notes Party is a special purpose, bankruptcy remote subsidiary of the Company and is an unrestricted subsidiary under the Credit Agreement and the applicable indentures governing the Company’s outstanding senior notes.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ABS Notes are subject to a series of customary covenants and restrictions. These covenants and restrictions include (i) that the ABS Notes Issuers maintain a liquidity reserve account to be used to make required payments in respect of the ABS Notes, (ii) provisions relating to optional and mandatory prepayments, including specified make-whole payments in the case of certain optional prepayments of the ABS Notes prior to the quarterly payment date in April 2030, and (iii) covenants relating to recordkeeping, access to information and similar matters. As provided in the ABS Notes Base Indenture, the ABS Notes are also subject to rapid amortization in the event of a failure to maintain a stated debt service coverage ratio. A rapid amortization may be cured if the debt service coverage ratio exceeds a certain threshold for a certain period of time, upon which cure, regular amortization, if any, will resume. The ABS Notes are also subject to certain customary events of default, including events relating to non-payment of required interest, principal or other amounts due on or with respect to the ABS Notes, failure to comply with covenants within certain time frames, certain bankruptcy events, breaches of specified representations and warranties, failure of security interests to be effective and certain judgments.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3, 2025, Uniti used a portion of the net proceeds from the offering of the ABS Notes to repay and terminate the ABS Loan Facility and issued a notice of redemption to redeem $125.0 million aggregate principal amount of our 10.50% senior secured notes due 2028 (the “February 2028 Secured Notes”). Uniti redeemed the February 2028 Secured Notes called for redemption on February 14, 2025, at a redemption price of 103% of the redeemed principal amount plus accrued interest to, but excluding, the redemption date.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recognized a $3.2 million loss on the extinguishment of the ABS Loan Facility and a $5.3 million loss on the partial extinguishment of the February 2028 Secured Notes within interest expense, net on the Condensed Consolidated Statements of Income, which included $4.8 million of non-cash interest expense for the write off of the unamortized premium and deferred financing costs and $3.7 million of cash interest expense for the redemption premium.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2025 and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expressed as dollars and as a percentage of total revenues for the periods indicated:</w:t>
      </w:r>
    </w:p>
    <w:tbl>
      <w:tblPr>
        <w:tblW w:w="10205" w:type="dxa"/>
        <w:jc w:val="center"/>
        <w:tblInd w:w="0" w:type="dxa"/>
        <w:tblLayout w:type="fixed"/>
        <w:tblCellMar>
          <w:top w:w="28" w:type="dxa"/>
          <w:left w:w="28" w:type="dxa"/>
          <w:bottom w:w="28" w:type="dxa"/>
          <w:right w:w="28" w:type="dxa"/>
        </w:tblCellMar>
      </w:tblPr>
      <w:tblGrid>
        <w:gridCol w:w="1665"/>
        <w:gridCol w:w="1268"/>
        <w:gridCol w:w="1275"/>
        <w:gridCol w:w="109"/>
        <w:gridCol w:w="109"/>
        <w:gridCol w:w="109"/>
        <w:gridCol w:w="211"/>
        <w:gridCol w:w="826"/>
        <w:gridCol w:w="109"/>
        <w:gridCol w:w="109"/>
        <w:gridCol w:w="109"/>
        <w:gridCol w:w="109"/>
        <w:gridCol w:w="318"/>
        <w:gridCol w:w="298"/>
        <w:gridCol w:w="549"/>
        <w:gridCol w:w="109"/>
        <w:gridCol w:w="109"/>
        <w:gridCol w:w="109"/>
        <w:gridCol w:w="211"/>
        <w:gridCol w:w="826"/>
        <w:gridCol w:w="109"/>
        <w:gridCol w:w="109"/>
        <w:gridCol w:w="109"/>
        <w:gridCol w:w="109"/>
        <w:gridCol w:w="307"/>
        <w:gridCol w:w="309"/>
        <w:gridCol w:w="616"/>
      </w:tblGrid>
      <w:tr>
        <w:trPr/>
        <w:tc>
          <w:tcPr>
            <w:tcW w:w="166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Revenues</w:t>
            </w:r>
          </w:p>
        </w:tc>
      </w:tr>
      <w:tr>
        <w:trPr/>
        <w:tc>
          <w:tcPr>
            <w:tcW w:w="4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rentals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rentals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 and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revenues, Adjusted EBITDA and net income of our reportable segments for the three months ended March 31, 2025 and 2024:</w:t>
      </w:r>
    </w:p>
    <w:tbl>
      <w:tblPr>
        <w:tblW w:w="10026" w:type="dxa"/>
        <w:jc w:val="center"/>
        <w:tblInd w:w="0" w:type="dxa"/>
        <w:tblLayout w:type="fixed"/>
        <w:tblCellMar>
          <w:top w:w="28" w:type="dxa"/>
          <w:left w:w="28" w:type="dxa"/>
          <w:bottom w:w="28" w:type="dxa"/>
          <w:right w:w="28" w:type="dxa"/>
        </w:tblCellMar>
      </w:tblPr>
      <w:tblGrid>
        <w:gridCol w:w="1063"/>
        <w:gridCol w:w="936"/>
        <w:gridCol w:w="941"/>
        <w:gridCol w:w="109"/>
        <w:gridCol w:w="109"/>
        <w:gridCol w:w="109"/>
        <w:gridCol w:w="211"/>
        <w:gridCol w:w="826"/>
        <w:gridCol w:w="109"/>
        <w:gridCol w:w="109"/>
        <w:gridCol w:w="109"/>
        <w:gridCol w:w="109"/>
        <w:gridCol w:w="211"/>
        <w:gridCol w:w="721"/>
        <w:gridCol w:w="109"/>
        <w:gridCol w:w="109"/>
        <w:gridCol w:w="109"/>
        <w:gridCol w:w="109"/>
        <w:gridCol w:w="211"/>
        <w:gridCol w:w="691"/>
        <w:gridCol w:w="109"/>
        <w:gridCol w:w="109"/>
        <w:gridCol w:w="109"/>
        <w:gridCol w:w="109"/>
        <w:gridCol w:w="457"/>
        <w:gridCol w:w="1790"/>
        <w:gridCol w:w="33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7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293,909 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237,830 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bl>
    <w:tbl>
      <w:tblPr>
        <w:tblW w:w="10026" w:type="dxa"/>
        <w:jc w:val="center"/>
        <w:tblInd w:w="0" w:type="dxa"/>
        <w:tblLayout w:type="fixed"/>
        <w:tblCellMar>
          <w:top w:w="28" w:type="dxa"/>
          <w:left w:w="28" w:type="dxa"/>
          <w:bottom w:w="28" w:type="dxa"/>
          <w:right w:w="28" w:type="dxa"/>
        </w:tblCellMar>
      </w:tblPr>
      <w:tblGrid>
        <w:gridCol w:w="1063"/>
        <w:gridCol w:w="936"/>
        <w:gridCol w:w="941"/>
        <w:gridCol w:w="109"/>
        <w:gridCol w:w="109"/>
        <w:gridCol w:w="109"/>
        <w:gridCol w:w="211"/>
        <w:gridCol w:w="826"/>
        <w:gridCol w:w="109"/>
        <w:gridCol w:w="109"/>
        <w:gridCol w:w="109"/>
        <w:gridCol w:w="109"/>
        <w:gridCol w:w="211"/>
        <w:gridCol w:w="721"/>
        <w:gridCol w:w="109"/>
        <w:gridCol w:w="109"/>
        <w:gridCol w:w="109"/>
        <w:gridCol w:w="109"/>
        <w:gridCol w:w="211"/>
        <w:gridCol w:w="691"/>
        <w:gridCol w:w="109"/>
        <w:gridCol w:w="109"/>
        <w:gridCol w:w="109"/>
        <w:gridCol w:w="109"/>
        <w:gridCol w:w="457"/>
        <w:gridCol w:w="1790"/>
        <w:gridCol w:w="33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7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286,418 </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228,628 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Summary of Operating Metrics</w:t>
      </w:r>
    </w:p>
    <w:tbl>
      <w:tblPr>
        <w:tblW w:w="7039" w:type="dxa"/>
        <w:jc w:val="center"/>
        <w:tblInd w:w="0" w:type="dxa"/>
        <w:tblLayout w:type="fixed"/>
        <w:tblCellMar>
          <w:top w:w="28" w:type="dxa"/>
          <w:left w:w="28" w:type="dxa"/>
          <w:bottom w:w="28" w:type="dxa"/>
          <w:right w:w="28" w:type="dxa"/>
        </w:tblCellMar>
      </w:tblPr>
      <w:tblGrid>
        <w:gridCol w:w="700"/>
        <w:gridCol w:w="615"/>
        <w:gridCol w:w="619"/>
        <w:gridCol w:w="109"/>
        <w:gridCol w:w="109"/>
        <w:gridCol w:w="109"/>
        <w:gridCol w:w="488"/>
        <w:gridCol w:w="488"/>
        <w:gridCol w:w="156"/>
        <w:gridCol w:w="109"/>
        <w:gridCol w:w="109"/>
        <w:gridCol w:w="109"/>
        <w:gridCol w:w="488"/>
        <w:gridCol w:w="488"/>
        <w:gridCol w:w="156"/>
        <w:gridCol w:w="109"/>
        <w:gridCol w:w="109"/>
        <w:gridCol w:w="109"/>
        <w:gridCol w:w="544"/>
        <w:gridCol w:w="544"/>
        <w:gridCol w:w="772"/>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Metrics</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 / (Decrease)</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 strand miles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 strand miles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 strand miles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connections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9313" w:type="dxa"/>
        <w:jc w:val="center"/>
        <w:tblInd w:w="0" w:type="dxa"/>
        <w:tblLayout w:type="fixed"/>
        <w:tblCellMar>
          <w:top w:w="28" w:type="dxa"/>
          <w:left w:w="28" w:type="dxa"/>
          <w:bottom w:w="28" w:type="dxa"/>
          <w:right w:w="28" w:type="dxa"/>
        </w:tblCellMar>
      </w:tblPr>
      <w:tblGrid>
        <w:gridCol w:w="477"/>
        <w:gridCol w:w="419"/>
        <w:gridCol w:w="423"/>
        <w:gridCol w:w="109"/>
        <w:gridCol w:w="109"/>
        <w:gridCol w:w="109"/>
        <w:gridCol w:w="211"/>
        <w:gridCol w:w="826"/>
        <w:gridCol w:w="109"/>
        <w:gridCol w:w="109"/>
        <w:gridCol w:w="109"/>
        <w:gridCol w:w="109"/>
        <w:gridCol w:w="484"/>
        <w:gridCol w:w="484"/>
        <w:gridCol w:w="1207"/>
        <w:gridCol w:w="109"/>
        <w:gridCol w:w="109"/>
        <w:gridCol w:w="109"/>
        <w:gridCol w:w="211"/>
        <w:gridCol w:w="826"/>
        <w:gridCol w:w="109"/>
        <w:gridCol w:w="109"/>
        <w:gridCol w:w="109"/>
        <w:gridCol w:w="109"/>
        <w:gridCol w:w="451"/>
        <w:gridCol w:w="451"/>
        <w:gridCol w:w="1317"/>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revenues are primarily attributable to rental revenue from leasing our Distribution Systems to Windstream pursuant to the Windstream Leases. Under the Windstream Leases, </w:t>
      </w:r>
      <w:r>
        <w:rPr>
          <w:rFonts w:ascii="Times New Roman;sans-serif" w:hAnsi="Times New Roman;sans-serif"/>
          <w:b w:val="false"/>
          <w:color w:val="000000"/>
          <w:sz w:val="20"/>
          <w:shd w:fill="FFFFFF" w:val="clear"/>
        </w:rPr>
        <w:t xml:space="preserve">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for the full year 2025 is </w:t>
      </w:r>
      <w:r>
        <w:rPr>
          <w:rFonts w:ascii="Times New Roman;sans-serif" w:hAnsi="Times New Roman;sans-serif"/>
          <w:b w:val="false"/>
          <w:color w:val="000000"/>
          <w:sz w:val="20"/>
        </w:rPr>
        <w:t>$679.0 million</w:t>
      </w:r>
      <w:r>
        <w:rPr>
          <w:color w:val="000000"/>
          <w:shd w:fill="FFFFFF" w:val="clear"/>
        </w:rPr>
        <w:t xml:space="preserve"> </w:t>
      </w:r>
      <w:r>
        <w:rPr>
          <w:rFonts w:ascii="Times New Roman;sans-serif" w:hAnsi="Times New Roman;sans-serif"/>
          <w:b w:val="false"/>
          <w:color w:val="000000"/>
          <w:sz w:val="20"/>
          <w:shd w:fill="FFFFFF" w:val="clear"/>
        </w:rPr>
        <w:t>and is subject to annual escalation at a rate of 0.5%. For a description of the Windstream Leases, see “Liquidity and Capital Resources— Windstream Leases” below.</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rent for the first year of each renewal term under the Windstream Leases will be an amount agreed to by us and Windstream. While the agreements require that the renewal rent be "Fair Market Rent," if we are unable to agree, the renewal Fair Market Rent will be determined by an independent appraisal process. Commencing with the second year of each renewal term, the renewal rent will increase at an escalation rate of </w:t>
      </w:r>
      <w:r>
        <w:rPr>
          <w:rFonts w:ascii="Times New Roman;sans-serif" w:hAnsi="Times New Roman;sans-serif"/>
          <w:b w:val="false"/>
          <w:color w:val="000000"/>
          <w:sz w:val="20"/>
        </w:rPr>
        <w:t>0.5%</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Pursuant to the Windstream Leases, Windstream (or any successor tenant under a Windstream Lease) has the right to cause Uniti to reimburse up to an aggregate </w:t>
      </w:r>
      <w:r>
        <w:rPr>
          <w:rFonts w:ascii="Times New Roman;sans-serif" w:hAnsi="Times New Roman;sans-serif"/>
          <w:b w:val="false"/>
          <w:color w:val="000000"/>
          <w:sz w:val="20"/>
        </w:rPr>
        <w:t>$1.75 billion</w:t>
      </w:r>
      <w:r>
        <w:rPr>
          <w:color w:val="000000"/>
          <w:shd w:fill="FFFFFF" w:val="clear"/>
        </w:rPr>
        <w:t xml:space="preserve"> </w:t>
      </w:r>
      <w:r>
        <w:rPr>
          <w:rFonts w:ascii="Times New Roman;sans-serif" w:hAnsi="Times New Roman;sans-serif"/>
          <w:b w:val="false"/>
          <w:color w:val="000000"/>
          <w:sz w:val="20"/>
          <w:shd w:fill="FFFFFF" w:val="clear"/>
        </w:rPr>
        <w:t>for certain growth capital improvements in long-term value accretive fiber and related assets made by Windstream (or the applicable tenant under the Windstream Lease) to certain ILEC and CLEC properties (the “Growth Capital Improvements” or “GCIs”). Uniti’s total annual reimbursement commitments to Windstream for the Growth Capital Improvements is discussed below in “Liquidity and Capital Resources—Windstream Leases.”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Starting on the first anniversary of each installment of reimbursement for a Growth Capital Improvement, the rent payable by Windstream under the applicable Windstream Lease will increase by an amount equal to </w:t>
      </w:r>
      <w:r>
        <w:rPr>
          <w:rFonts w:ascii="Times New Roman;sans-serif" w:hAnsi="Times New Roman;sans-serif"/>
          <w:b w:val="false"/>
          <w:color w:val="000000"/>
          <w:sz w:val="20"/>
        </w:rPr>
        <w:t>8.0%</w:t>
      </w:r>
      <w:r>
        <w:rPr>
          <w:color w:val="000000"/>
          <w:shd w:fill="FFFFFF" w:val="clear"/>
        </w:rPr>
        <w:t xml:space="preserve"> </w:t>
      </w:r>
      <w:r>
        <w:rPr>
          <w:rFonts w:ascii="Times New Roman;sans-serif" w:hAnsi="Times New Roman;sans-serif"/>
          <w:b w:val="false"/>
          <w:color w:val="000000"/>
          <w:sz w:val="20"/>
          <w:shd w:fill="FFFFFF" w:val="clear"/>
        </w:rPr>
        <w:t xml:space="preserve">(the “Rent Rate”) of such installment of reimbursement. The Rent Rate will thereafter increase to </w:t>
      </w:r>
      <w:r>
        <w:rPr>
          <w:rFonts w:ascii="Times New Roman;sans-serif" w:hAnsi="Times New Roman;sans-serif"/>
          <w:b w:val="false"/>
          <w:color w:val="000000"/>
          <w:sz w:val="20"/>
        </w:rPr>
        <w:t>100.5%</w:t>
      </w:r>
      <w:r>
        <w:rPr>
          <w:color w:val="000000"/>
          <w:shd w:fill="FFFFFF" w:val="clear"/>
        </w:rPr>
        <w:t xml:space="preserve"> </w:t>
      </w:r>
      <w:r>
        <w:rPr>
          <w:rFonts w:ascii="Times New Roman;sans-serif" w:hAnsi="Times New Roman;sans-serif"/>
          <w:b w:val="false"/>
          <w:color w:val="000000"/>
          <w:sz w:val="20"/>
          <w:shd w:fill="FFFFFF" w:val="clear"/>
        </w:rPr>
        <w:t xml:space="preserve">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w:t>
      </w:r>
      <w:r>
        <w:rPr>
          <w:rFonts w:ascii="Times New Roman;sans-serif" w:hAnsi="Times New Roman;sans-serif"/>
          <w:b w:val="false"/>
          <w:color w:val="000000"/>
          <w:sz w:val="20"/>
        </w:rPr>
        <w:t>$20.0 million</w:t>
      </w:r>
      <w:r>
        <w:rPr>
          <w:color w:val="000000"/>
          <w:shd w:fill="FFFFFF" w:val="clear"/>
        </w:rPr>
        <w:t xml:space="preserve"> </w:t>
      </w:r>
      <w:r>
        <w:rPr>
          <w:rFonts w:ascii="Times New Roman;sans-serif" w:hAnsi="Times New Roman;sans-serif"/>
          <w:b w:val="false"/>
          <w:color w:val="000000"/>
          <w:sz w:val="20"/>
          <w:shd w:fill="FFFFFF" w:val="clear"/>
        </w:rPr>
        <w:t>per year. If Uniti fails to reimburse any Growth Capital Improvement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property, plant, and equipment and deferred revenue. We depreciate the property, plant, and equipment over their estimated useful lives and amortize the deferred revenue as additional leasing revenues over the same depreciable life of the TCI assets. TCIs exclude Growth Capital Improvements as and when reimbursed by Uniti.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tbl>
      <w:tblPr>
        <w:tblW w:w="9808" w:type="dxa"/>
        <w:jc w:val="center"/>
        <w:tblInd w:w="0" w:type="dxa"/>
        <w:tblLayout w:type="fixed"/>
        <w:tblCellMar>
          <w:top w:w="28" w:type="dxa"/>
          <w:left w:w="28" w:type="dxa"/>
          <w:bottom w:w="28" w:type="dxa"/>
          <w:right w:w="28" w:type="dxa"/>
        </w:tblCellMar>
      </w:tblPr>
      <w:tblGrid>
        <w:gridCol w:w="895"/>
        <w:gridCol w:w="787"/>
        <w:gridCol w:w="792"/>
        <w:gridCol w:w="109"/>
        <w:gridCol w:w="109"/>
        <w:gridCol w:w="109"/>
        <w:gridCol w:w="211"/>
        <w:gridCol w:w="826"/>
        <w:gridCol w:w="109"/>
        <w:gridCol w:w="109"/>
        <w:gridCol w:w="109"/>
        <w:gridCol w:w="109"/>
        <w:gridCol w:w="411"/>
        <w:gridCol w:w="411"/>
        <w:gridCol w:w="1023"/>
        <w:gridCol w:w="109"/>
        <w:gridCol w:w="109"/>
        <w:gridCol w:w="109"/>
        <w:gridCol w:w="211"/>
        <w:gridCol w:w="826"/>
        <w:gridCol w:w="109"/>
        <w:gridCol w:w="109"/>
        <w:gridCol w:w="109"/>
        <w:gridCol w:w="109"/>
        <w:gridCol w:w="384"/>
        <w:gridCol w:w="384"/>
        <w:gridCol w:w="1121"/>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Leasing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Windstream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TCI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straight-line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Windstream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Leasing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TCI revenue is attributable to the reclassification of $175.0 million of TCI's invested by Windstream in the second half of 2024 into Growth Capital Improvements funded by Uniti in the first quarter of 2025, partially offset by $110.2 million of TCIs invested by Windstream during the quarter ended March 31, 2025. The total amount invested in TCIs by Windstream since the inception of the Windstream Leases (including the Master Lease) was $1.3 billion as of March 31, 2025 and $1.2 billion as of March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GCI revenue is attributable to Uniti’s continued reimbursement of Growth Capital Improvements. During the three months ended March 31, 2025, Uniti reimbursed $175.0 million of Growth Capital Improvements. As of the date of this Quarterly Report on Form 10-Q, we have reimbursed a total of $1.2 billion of Growth Capital Improvements.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$21.4 million and $20.6 million of revenues from other services including non-Windstream triple-net leasing and dark fiber indefeasible rights of use arrangements for the three months ended March 31, 2025 and 2024, respectively. The increase is primarily driven by revenues from new customer arrangements.</w:t>
      </w:r>
    </w:p>
    <w:p>
      <w:pPr>
        <w:pStyle w:val="TextBody"/>
        <w:bidi w:val="0"/>
        <w:spacing w:lineRule="auto" w:line="288" w:before="240" w:after="283"/>
        <w:jc w:val="left"/>
        <w:rPr/>
      </w:pPr>
      <w:r>
        <w:rPr>
          <w:rFonts w:ascii="Times New Roman;sans-serif" w:hAnsi="Times New Roman;sans-serif"/>
          <w:b w:val="false"/>
          <w:color w:val="000000"/>
          <w:sz w:val="20"/>
        </w:rPr>
        <w:t xml:space="preserve">Because </w:t>
      </w:r>
      <w:r>
        <w:rPr>
          <w:rFonts w:ascii="Times New Roman;sans-serif" w:hAnsi="Times New Roman;sans-serif"/>
          <w:b w:val="false"/>
          <w:color w:val="000000"/>
          <w:sz w:val="20"/>
          <w:shd w:fill="FFFFFF" w:val="clear"/>
        </w:rPr>
        <w:t>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on Form 10-Q, Windstream is current on all lease payments. Moody's Investor Service's current corporate family rating for Windstream is B3 with a stable outlook. S&amp;P Global Ratings' current issuer rating for Windstream is B- with a stable outlook. In addition, in order to assist us in our continuing assessment of Windstream’s creditworthiness, we periodically receive certain confidential financial information and metrics from Windstream.</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revenues for the three months ended March 31, 2025 and 2024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tbl>
      <w:tblPr>
        <w:tblW w:w="9373" w:type="dxa"/>
        <w:jc w:val="center"/>
        <w:tblInd w:w="0" w:type="dxa"/>
        <w:tblLayout w:type="fixed"/>
        <w:tblCellMar>
          <w:top w:w="28" w:type="dxa"/>
          <w:left w:w="28" w:type="dxa"/>
          <w:bottom w:w="28" w:type="dxa"/>
          <w:right w:w="28" w:type="dxa"/>
        </w:tblCellMar>
      </w:tblPr>
      <w:tblGrid>
        <w:gridCol w:w="814"/>
        <w:gridCol w:w="715"/>
        <w:gridCol w:w="720"/>
        <w:gridCol w:w="109"/>
        <w:gridCol w:w="109"/>
        <w:gridCol w:w="109"/>
        <w:gridCol w:w="211"/>
        <w:gridCol w:w="721"/>
        <w:gridCol w:w="109"/>
        <w:gridCol w:w="109"/>
        <w:gridCol w:w="109"/>
        <w:gridCol w:w="109"/>
        <w:gridCol w:w="411"/>
        <w:gridCol w:w="411"/>
        <w:gridCol w:w="1023"/>
        <w:gridCol w:w="109"/>
        <w:gridCol w:w="109"/>
        <w:gridCol w:w="109"/>
        <w:gridCol w:w="211"/>
        <w:gridCol w:w="721"/>
        <w:gridCol w:w="109"/>
        <w:gridCol w:w="109"/>
        <w:gridCol w:w="109"/>
        <w:gridCol w:w="109"/>
        <w:gridCol w:w="384"/>
        <w:gridCol w:w="384"/>
        <w:gridCol w:w="1121"/>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 backhaul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E-Rate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Dark fiber and small cells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For the three months ended March 31, 2025, Uniti Fiber revenues totaled $71.5 million as compared to $68.8 million for the three months ended March 31, 2024. Uniti Fiber revenues increased $2.7 million, primarily attributable to a $3.9 million increase </w:t>
      </w:r>
      <w:r>
        <w:rPr>
          <w:rFonts w:ascii="Times New Roman;sans-serif" w:hAnsi="Times New Roman;sans-serif"/>
          <w:b w:val="false"/>
          <w:color w:val="000000"/>
          <w:sz w:val="20"/>
          <w:shd w:fill="FFFFFF" w:val="clear"/>
        </w:rPr>
        <w:t xml:space="preserve">in dark fiber and small cells, driven primarily by one-time revenues, and a $1.2 million increase in enterprise and wholesale, driven primarily by increased customer connections and internet services, partially offset by a $1.5 million </w:t>
      </w:r>
      <w:r>
        <w:rPr>
          <w:rFonts w:ascii="Times New Roman;sans-serif" w:hAnsi="Times New Roman;sans-serif"/>
          <w:b w:val="false"/>
          <w:color w:val="000000"/>
          <w:sz w:val="20"/>
        </w:rPr>
        <w:t>decrease in E-rate and government, driven primarily by one-time sales and installations.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10205" w:type="dxa"/>
        <w:jc w:val="center"/>
        <w:tblInd w:w="0" w:type="dxa"/>
        <w:tblLayout w:type="fixed"/>
        <w:tblCellMar>
          <w:top w:w="28" w:type="dxa"/>
          <w:left w:w="28" w:type="dxa"/>
          <w:bottom w:w="28" w:type="dxa"/>
          <w:right w:w="28" w:type="dxa"/>
        </w:tblCellMar>
      </w:tblPr>
      <w:tblGrid>
        <w:gridCol w:w="1940"/>
        <w:gridCol w:w="1685"/>
        <w:gridCol w:w="1698"/>
        <w:gridCol w:w="109"/>
        <w:gridCol w:w="109"/>
        <w:gridCol w:w="109"/>
        <w:gridCol w:w="211"/>
        <w:gridCol w:w="826"/>
        <w:gridCol w:w="109"/>
        <w:gridCol w:w="109"/>
        <w:gridCol w:w="109"/>
        <w:gridCol w:w="109"/>
        <w:gridCol w:w="211"/>
        <w:gridCol w:w="826"/>
        <w:gridCol w:w="109"/>
        <w:gridCol w:w="109"/>
        <w:gridCol w:w="109"/>
        <w:gridCol w:w="109"/>
        <w:gridCol w:w="311"/>
        <w:gridCol w:w="1067"/>
        <w:gridCol w:w="231"/>
      </w:tblGrid>
      <w:tr>
        <w:trPr/>
        <w:tc>
          <w:tcPr>
            <w:tcW w:w="194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5"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53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 Notes &amp;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10,684 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premium/discount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deferred financing costs and debt premium/discount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Interest expense for the three months ended March 31, 2025 increased $14.8 million compared to the three months ended March 31, 2024. The increase in cash interest of $10.7 million</w:t>
      </w:r>
      <w:r>
        <w:rPr>
          <w:color w:val="000000"/>
        </w:rPr>
        <w:t xml:space="preserve"> </w:t>
      </w:r>
      <w:r>
        <w:rPr>
          <w:rFonts w:ascii="Times New Roman;sans-serif" w:hAnsi="Times New Roman;sans-serif"/>
          <w:b w:val="false"/>
          <w:color w:val="000000"/>
          <w:sz w:val="20"/>
        </w:rPr>
        <w:t>is primarily attributable to increases in cash interest of $6.2 million related to the 10.5% Senior Secured Notes due February 15, 2028 (the "February 2028 Secured Notes") issued on May 17, 2024 and $6.3 million related to the March 1, 2024 draw on the ABS Loan Facility and the February 3, 2025 issuance of the ABS Notes, as well as $3.7 million related to the call premium on the partial redemption of the February 2028 Secured Notes on February 14, 2025, partially offset by decreases in cash interest of $3.4 million related to our Revolving Credit Facility and $1.2 million related to the termination of the Exchangeable Notes on June 15, 2024. The increase in non-cash interest of $4.1 million</w:t>
      </w:r>
      <w:r>
        <w:rPr>
          <w:color w:val="000000"/>
        </w:rPr>
        <w:t xml:space="preserve"> </w:t>
      </w:r>
      <w:r>
        <w:rPr>
          <w:rFonts w:ascii="Times New Roman;sans-serif" w:hAnsi="Times New Roman;sans-serif"/>
          <w:b w:val="false"/>
          <w:color w:val="000000"/>
          <w:sz w:val="20"/>
        </w:rPr>
        <w:t>is primarily attributable to the write-off of deferred financing costs and debt premium in connection with the termination of the ABS Loan Facility of $3.2 million and the partial redemption of the February 2028 Secured Notes of $1.6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 Expense</w:t>
      </w:r>
    </w:p>
    <w:tbl>
      <w:tblPr>
        <w:tblW w:w="9197" w:type="dxa"/>
        <w:jc w:val="center"/>
        <w:tblInd w:w="0" w:type="dxa"/>
        <w:tblLayout w:type="fixed"/>
        <w:tblCellMar>
          <w:top w:w="28" w:type="dxa"/>
          <w:left w:w="28" w:type="dxa"/>
          <w:bottom w:w="28" w:type="dxa"/>
          <w:right w:w="28" w:type="dxa"/>
        </w:tblCellMar>
      </w:tblPr>
      <w:tblGrid>
        <w:gridCol w:w="1621"/>
        <w:gridCol w:w="1424"/>
        <w:gridCol w:w="1439"/>
        <w:gridCol w:w="109"/>
        <w:gridCol w:w="109"/>
        <w:gridCol w:w="109"/>
        <w:gridCol w:w="211"/>
        <w:gridCol w:w="721"/>
        <w:gridCol w:w="109"/>
        <w:gridCol w:w="109"/>
        <w:gridCol w:w="109"/>
        <w:gridCol w:w="109"/>
        <w:gridCol w:w="211"/>
        <w:gridCol w:w="721"/>
        <w:gridCol w:w="109"/>
        <w:gridCol w:w="109"/>
        <w:gridCol w:w="109"/>
        <w:gridCol w:w="109"/>
        <w:gridCol w:w="355"/>
        <w:gridCol w:w="1036"/>
        <w:gridCol w:w="259"/>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6"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Uniti Leasing depreciation expense increased $1.9 million for the three months ended March 31, 2025 compared to the three months ended March 31, 2024, primarily attributable to asset additions since March 31, 2024.</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depreciation expense increased $0.3 million for the three months ended March 31, 2025 compared to the three months ended March 31, 2024, primarily attributable to asset additions since March 31,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compensation costs, including stock-based compensation awards, professional and legal services, corporate office costs and other costs associated with administrative activities of our segments.</w:t>
      </w:r>
    </w:p>
    <w:tbl>
      <w:tblPr>
        <w:tblW w:w="10205" w:type="dxa"/>
        <w:jc w:val="center"/>
        <w:tblInd w:w="0" w:type="dxa"/>
        <w:tblLayout w:type="fixed"/>
        <w:tblCellMar>
          <w:top w:w="28" w:type="dxa"/>
          <w:left w:w="28" w:type="dxa"/>
          <w:bottom w:w="28" w:type="dxa"/>
          <w:right w:w="28" w:type="dxa"/>
        </w:tblCellMar>
      </w:tblPr>
      <w:tblGrid>
        <w:gridCol w:w="1161"/>
        <w:gridCol w:w="1020"/>
        <w:gridCol w:w="1029"/>
        <w:gridCol w:w="109"/>
        <w:gridCol w:w="109"/>
        <w:gridCol w:w="109"/>
        <w:gridCol w:w="211"/>
        <w:gridCol w:w="721"/>
        <w:gridCol w:w="109"/>
        <w:gridCol w:w="109"/>
        <w:gridCol w:w="109"/>
        <w:gridCol w:w="109"/>
        <w:gridCol w:w="396"/>
        <w:gridCol w:w="396"/>
        <w:gridCol w:w="987"/>
        <w:gridCol w:w="109"/>
        <w:gridCol w:w="109"/>
        <w:gridCol w:w="109"/>
        <w:gridCol w:w="211"/>
        <w:gridCol w:w="721"/>
        <w:gridCol w:w="109"/>
        <w:gridCol w:w="109"/>
        <w:gridCol w:w="109"/>
        <w:gridCol w:w="109"/>
        <w:gridCol w:w="370"/>
        <w:gridCol w:w="370"/>
        <w:gridCol w:w="1086"/>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Uniti Leasing general and administrative expense increased $0.2 million for the three months ended March 31, 2025 compared to the three months ended March 31, 2024, primarily attributable to an increase in personnel expenses.</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general and administrative expense increased $0.2 million for the three months ended March 31, 2025 compared to the three months ended March 31, 2024, primarily attributable to an increase in personnel expenses.</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color w:val="000000"/>
        </w:rPr>
        <w:t xml:space="preserve"> – </w:t>
      </w:r>
      <w:r>
        <w:rPr>
          <w:rFonts w:ascii="Times New Roman;sans-serif" w:hAnsi="Times New Roman;sans-serif"/>
          <w:b w:val="false"/>
          <w:color w:val="000000"/>
          <w:sz w:val="20"/>
        </w:rPr>
        <w:t>Corporate general and administrative expense decreased $0.3 million for the three months ended March 31, 2025 compared to the three months ended March 31, 2024, primarily attributable to a decrease in personnel expenses of $0.5 million, partially offset by an increase in professional fees of $0.3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expenses consist of network related costs, such as dark fiber and tower rents, lit service and maintenance expense and costs associated with our construction activities.</w:t>
      </w:r>
    </w:p>
    <w:tbl>
      <w:tblPr>
        <w:tblW w:w="10205" w:type="dxa"/>
        <w:jc w:val="center"/>
        <w:tblInd w:w="0" w:type="dxa"/>
        <w:tblLayout w:type="fixed"/>
        <w:tblCellMar>
          <w:top w:w="28" w:type="dxa"/>
          <w:left w:w="28" w:type="dxa"/>
          <w:bottom w:w="28" w:type="dxa"/>
          <w:right w:w="28" w:type="dxa"/>
        </w:tblCellMar>
      </w:tblPr>
      <w:tblGrid>
        <w:gridCol w:w="938"/>
        <w:gridCol w:w="825"/>
        <w:gridCol w:w="834"/>
        <w:gridCol w:w="109"/>
        <w:gridCol w:w="109"/>
        <w:gridCol w:w="109"/>
        <w:gridCol w:w="211"/>
        <w:gridCol w:w="721"/>
        <w:gridCol w:w="109"/>
        <w:gridCol w:w="109"/>
        <w:gridCol w:w="109"/>
        <w:gridCol w:w="109"/>
        <w:gridCol w:w="466"/>
        <w:gridCol w:w="463"/>
        <w:gridCol w:w="1155"/>
        <w:gridCol w:w="109"/>
        <w:gridCol w:w="109"/>
        <w:gridCol w:w="109"/>
        <w:gridCol w:w="211"/>
        <w:gridCol w:w="721"/>
        <w:gridCol w:w="109"/>
        <w:gridCol w:w="109"/>
        <w:gridCol w:w="109"/>
        <w:gridCol w:w="109"/>
        <w:gridCol w:w="437"/>
        <w:gridCol w:w="432"/>
        <w:gridCol w:w="1265"/>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2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operating expense decreased $0.5 million for the </w:t>
      </w:r>
      <w:r>
        <w:rPr>
          <w:rFonts w:ascii="Times New Roman;sans-serif" w:hAnsi="Times New Roman;sans-serif"/>
          <w:b w:val="false"/>
          <w:color w:val="000000"/>
          <w:sz w:val="20"/>
          <w:shd w:fill="FFFFFF" w:val="clear"/>
        </w:rPr>
        <w:t xml:space="preserve">three months ended March 31, 2025 as compared to the three months ended March 31, 2024, primarily </w:t>
      </w:r>
      <w:r>
        <w:rPr>
          <w:rFonts w:ascii="Times New Roman;sans-serif" w:hAnsi="Times New Roman;sans-serif"/>
          <w:b w:val="false"/>
          <w:color w:val="000000"/>
          <w:sz w:val="20"/>
        </w:rPr>
        <w:t>attributable</w:t>
      </w:r>
      <w:r>
        <w:rPr>
          <w:color w:val="000000"/>
          <w:shd w:fill="FFFFFF" w:val="clear"/>
        </w:rPr>
        <w:t xml:space="preserve"> </w:t>
      </w:r>
      <w:r>
        <w:rPr>
          <w:rFonts w:ascii="Times New Roman;sans-serif" w:hAnsi="Times New Roman;sans-serif"/>
          <w:b w:val="false"/>
          <w:color w:val="000000"/>
          <w:sz w:val="20"/>
          <w:shd w:fill="FFFFFF" w:val="clear"/>
        </w:rPr>
        <w:t>to a decrease in personnel expenses of $0.2 million, network repairs and maintenance expense of $0.1 million, and leased asset cost of $0.1 million.</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shd w:fill="FFFFFF" w:val="clear"/>
        </w:rPr>
        <w:t xml:space="preserve"> – </w:t>
      </w:r>
      <w:r>
        <w:rPr>
          <w:rFonts w:ascii="Times New Roman;sans-serif" w:hAnsi="Times New Roman;sans-serif"/>
          <w:b w:val="false"/>
          <w:color w:val="000000"/>
          <w:sz w:val="20"/>
          <w:shd w:fill="FFFFFF" w:val="clear"/>
        </w:rPr>
        <w:t xml:space="preserve">Uniti Fiber operating expense </w:t>
      </w:r>
      <w:r>
        <w:rPr>
          <w:rFonts w:ascii="Times New Roman;sans-serif" w:hAnsi="Times New Roman;sans-serif"/>
          <w:b w:val="false"/>
          <w:color w:val="000000"/>
          <w:sz w:val="20"/>
        </w:rPr>
        <w:t>decreased $2.3 million</w:t>
      </w:r>
      <w:r>
        <w:rPr>
          <w:color w:val="000000"/>
          <w:shd w:fill="FFFFFF" w:val="clear"/>
        </w:rPr>
        <w:t xml:space="preserve"> </w:t>
      </w:r>
      <w:r>
        <w:rPr>
          <w:rFonts w:ascii="Times New Roman;sans-serif" w:hAnsi="Times New Roman;sans-serif"/>
          <w:b w:val="false"/>
          <w:color w:val="000000"/>
          <w:sz w:val="20"/>
          <w:shd w:fill="FFFFFF" w:val="clear"/>
        </w:rPr>
        <w:t xml:space="preserve">for the three months ended March 31, 2025 compared to the three months ended March 31, 2024, primarily </w:t>
      </w:r>
      <w:r>
        <w:rPr>
          <w:rFonts w:ascii="Times New Roman;sans-serif" w:hAnsi="Times New Roman;sans-serif"/>
          <w:b w:val="false"/>
          <w:color w:val="000000"/>
          <w:sz w:val="20"/>
        </w:rPr>
        <w:t>attributable</w:t>
      </w:r>
      <w:r>
        <w:rPr>
          <w:color w:val="000000"/>
          <w:shd w:fill="FFFFFF" w:val="clear"/>
        </w:rPr>
        <w:t xml:space="preserve"> </w:t>
      </w:r>
      <w:r>
        <w:rPr>
          <w:rFonts w:ascii="Times New Roman;sans-serif" w:hAnsi="Times New Roman;sans-serif"/>
          <w:b w:val="false"/>
          <w:color w:val="000000"/>
          <w:sz w:val="20"/>
          <w:shd w:fill="FFFFFF" w:val="clear"/>
        </w:rPr>
        <w:t>to a decrease in</w:t>
      </w:r>
      <w:r>
        <w:rPr>
          <w:color w:val="000000"/>
        </w:rPr>
        <w:t xml:space="preserve"> </w:t>
      </w:r>
      <w:r>
        <w:rPr>
          <w:rFonts w:ascii="Times New Roman;sans-serif" w:hAnsi="Times New Roman;sans-serif"/>
          <w:b w:val="false"/>
          <w:color w:val="000000"/>
          <w:sz w:val="20"/>
        </w:rPr>
        <w:t>non-recurring equipment and installation expenses of $1.7 million, a decrease in off-net expenses of $0.6 million, and a decrease in personnel expense of $0.5 million, partially offset by an increase in repair and maintenance expense of $0.7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Transaction Related and Other Costs</w:t>
      </w:r>
    </w:p>
    <w:p>
      <w:pPr>
        <w:pStyle w:val="TextBody"/>
        <w:bidi w:val="0"/>
        <w:spacing w:lineRule="auto" w:line="288" w:before="240" w:after="283"/>
        <w:jc w:val="left"/>
        <w:rPr/>
      </w:pPr>
      <w:r>
        <w:rPr>
          <w:rFonts w:ascii="Times New Roman;sans-serif" w:hAnsi="Times New Roman;sans-serif"/>
          <w:b w:val="false"/>
          <w:color w:val="000000"/>
          <w:sz w:val="20"/>
        </w:rPr>
        <w:t xml:space="preserve">Transaction related and other costs include incremental acquisition, pursuit, transaction and integration costs (including unsuccessful acquisition pursuit costs). For the three months ended March 31, 2025, we incurred $7.8 million of transaction related and other costs, compared to $5.7 million of such costs during the </w:t>
      </w:r>
      <w:r>
        <w:rPr>
          <w:rFonts w:ascii="Times New Roman;sans-serif" w:hAnsi="Times New Roman;sans-serif"/>
          <w:b w:val="false"/>
          <w:color w:val="000000"/>
          <w:sz w:val="20"/>
          <w:shd w:fill="FFFFFF" w:val="clear"/>
        </w:rPr>
        <w:t>three months ended March 31, 2024</w:t>
      </w:r>
      <w:r>
        <w:rPr>
          <w:rFonts w:ascii="Times New Roman;sans-serif" w:hAnsi="Times New Roman;sans-serif"/>
          <w:b w:val="false"/>
          <w:color w:val="000000"/>
          <w:sz w:val="20"/>
        </w:rPr>
        <w:t>. The increase is primarily attributable to costs associated with the Merger.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benefit recorded for the three months ended March 31, 2025 and 2024, respectively, is related to the tax impact of the following:</w:t>
      </w:r>
    </w:p>
    <w:tbl>
      <w:tblPr>
        <w:tblW w:w="6250" w:type="dxa"/>
        <w:jc w:val="center"/>
        <w:tblInd w:w="0" w:type="dxa"/>
        <w:tblLayout w:type="fixed"/>
        <w:tblCellMar>
          <w:top w:w="28" w:type="dxa"/>
          <w:left w:w="28" w:type="dxa"/>
          <w:bottom w:w="28" w:type="dxa"/>
          <w:right w:w="28" w:type="dxa"/>
        </w:tblCellMar>
      </w:tblPr>
      <w:tblGrid>
        <w:gridCol w:w="1258"/>
        <w:gridCol w:w="1107"/>
        <w:gridCol w:w="1115"/>
        <w:gridCol w:w="109"/>
        <w:gridCol w:w="109"/>
        <w:gridCol w:w="109"/>
        <w:gridCol w:w="215"/>
        <w:gridCol w:w="706"/>
        <w:gridCol w:w="111"/>
        <w:gridCol w:w="111"/>
        <w:gridCol w:w="111"/>
        <w:gridCol w:w="111"/>
        <w:gridCol w:w="215"/>
        <w:gridCol w:w="706"/>
        <w:gridCol w:w="157"/>
      </w:tblGrid>
      <w:tr>
        <w:trPr/>
        <w:tc>
          <w:tcPr>
            <w:tcW w:w="125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loss (Uniti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undistributed REIT taxable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REIT state and local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We</w:t>
      </w:r>
      <w:r>
        <w:rPr>
          <w:color w:val="000000"/>
          <w:shd w:fill="FFFFFF" w:val="clear"/>
        </w:rPr>
        <w:t xml:space="preserve"> </w:t>
      </w:r>
      <w:r>
        <w:rPr>
          <w:rFonts w:ascii="Times New Roman;sans-serif" w:hAnsi="Times New Roman;sans-serif"/>
          <w:b w:val="false"/>
          <w:color w:val="000000"/>
          <w:sz w:val="20"/>
          <w:shd w:fill="FFFFFF" w:val="clear"/>
        </w:rPr>
        <w:t>define “EBITDA” as net income, as defined by GAAP, before interest expense, provision for income taxes and depreciation and amortization. We define “Adjusted EBITDA” as EBITDA before stock-based compensation expense and the impact, which may be recurring in nature, of incremental acquisition, pursuit, transaction and integration costs (including unsuccessful acquisition pursuit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defines AFFO, as FFO excluding (i) Transaction Related and Other Costs; (ii) costs related to the litigation settlement with Windstream, accretion on our settlement obligation, and gains on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r>
        <w:rPr>
          <w:rFonts w:ascii="Times New Roman;sans-serif" w:hAnsi="Times New Roman;sans-serif"/>
          <w:b w:val="false"/>
          <w:color w:val="000000"/>
          <w:sz w:val="24"/>
          <w:shd w:fill="FFFFFF" w:val="clear"/>
        </w:rPr>
        <w:t xml:space="preserve">. </w:t>
      </w:r>
    </w:p>
    <w:p>
      <w:pPr>
        <w:pStyle w:val="TextBody"/>
        <w:bidi w:val="0"/>
        <w:spacing w:lineRule="auto" w:line="288" w:before="240" w:after="283"/>
        <w:jc w:val="left"/>
        <w:rPr/>
      </w:pPr>
      <w:r>
        <w:rPr>
          <w:rFonts w:ascii="Times New Roman;sans-serif" w:hAnsi="Times New Roman;sans-serif"/>
          <w:b w:val="false"/>
          <w:color w:val="000000"/>
          <w:sz w:val="20"/>
        </w:rPr>
        <w:t xml:space="preserve">Further, </w:t>
      </w:r>
      <w:r>
        <w:rPr>
          <w:rFonts w:ascii="Times New Roman;sans-serif" w:hAnsi="Times New Roman;sans-serif"/>
          <w:b w:val="false"/>
          <w:color w:val="000000"/>
          <w:sz w:val="20"/>
          <w:shd w:fill="FFFFFF" w:val="clear"/>
        </w:rPr>
        <w:t>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our net income to EBITDA and Adjusted EBITDA for the three months ended March 31, 2025 and 2024 is as follows:</w:t>
      </w:r>
    </w:p>
    <w:tbl>
      <w:tblPr>
        <w:tblW w:w="6040" w:type="dxa"/>
        <w:jc w:val="center"/>
        <w:tblInd w:w="0" w:type="dxa"/>
        <w:tblLayout w:type="fixed"/>
        <w:tblCellMar>
          <w:top w:w="28" w:type="dxa"/>
          <w:left w:w="28" w:type="dxa"/>
          <w:bottom w:w="28" w:type="dxa"/>
          <w:right w:w="28" w:type="dxa"/>
        </w:tblCellMar>
      </w:tblPr>
      <w:tblGrid>
        <w:gridCol w:w="1062"/>
        <w:gridCol w:w="934"/>
        <w:gridCol w:w="944"/>
        <w:gridCol w:w="211"/>
        <w:gridCol w:w="826"/>
        <w:gridCol w:w="109"/>
        <w:gridCol w:w="109"/>
        <w:gridCol w:w="109"/>
        <w:gridCol w:w="109"/>
        <w:gridCol w:w="211"/>
        <w:gridCol w:w="826"/>
        <w:gridCol w:w="109"/>
        <w:gridCol w:w="109"/>
        <w:gridCol w:w="109"/>
        <w:gridCol w:w="109"/>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net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A reconciliation of Other expense (income), net as reported in our Condensed Consolidated Statements of Income to Other, net is as follows:</w:t>
      </w:r>
    </w:p>
    <w:tbl>
      <w:tblPr>
        <w:tblW w:w="6836" w:type="dxa"/>
        <w:jc w:val="left"/>
        <w:tblInd w:w="0" w:type="dxa"/>
        <w:tblLayout w:type="fixed"/>
        <w:tblCellMar>
          <w:top w:w="28" w:type="dxa"/>
          <w:left w:w="28" w:type="dxa"/>
          <w:bottom w:w="28" w:type="dxa"/>
          <w:right w:w="28" w:type="dxa"/>
        </w:tblCellMar>
      </w:tblPr>
      <w:tblGrid>
        <w:gridCol w:w="1431"/>
        <w:gridCol w:w="1260"/>
        <w:gridCol w:w="1268"/>
        <w:gridCol w:w="247"/>
        <w:gridCol w:w="546"/>
        <w:gridCol w:w="127"/>
        <w:gridCol w:w="127"/>
        <w:gridCol w:w="127"/>
        <w:gridCol w:w="127"/>
        <w:gridCol w:w="247"/>
        <w:gridCol w:w="721"/>
        <w:gridCol w:w="127"/>
        <w:gridCol w:w="109"/>
        <w:gridCol w:w="109"/>
        <w:gridCol w:w="109"/>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non-cash rights-of-use assets </w:t>
            </w:r>
            <w:r>
              <w:rPr>
                <w:rFonts w:ascii="Times New Roman;sans-serif" w:hAnsi="Times New Roman;sans-serif"/>
                <w:b w:val="false"/>
                <w:color w:val="000000"/>
                <w:sz w:val="13"/>
              </w:rPr>
              <w:t>(a)</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Severance costs </w:t>
            </w:r>
            <w:r>
              <w:rPr>
                <w:rFonts w:ascii="Times New Roman;sans-serif" w:hAnsi="Times New Roman;sans-serif"/>
                <w:b w:val="false"/>
                <w:color w:val="000000"/>
                <w:sz w:val="13"/>
              </w:rPr>
              <w:t>(b)</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Included within Operating expense (exclusive of depreciation, accretion and amortization) in our Condensed Consolidated Statements of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Included within the General and administrative expense line item in our Condensed Consolidated Statements of Income.</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our net income attributable to common shareholders to FFO and AFFO for the three months ended March 31, 2025 and 2024 is as follows:</w:t>
      </w:r>
    </w:p>
    <w:tbl>
      <w:tblPr>
        <w:tblW w:w="8994" w:type="dxa"/>
        <w:jc w:val="left"/>
        <w:tblInd w:w="0" w:type="dxa"/>
        <w:tblLayout w:type="fixed"/>
        <w:tblCellMar>
          <w:top w:w="28" w:type="dxa"/>
          <w:left w:w="28" w:type="dxa"/>
          <w:bottom w:w="28" w:type="dxa"/>
          <w:right w:w="28" w:type="dxa"/>
        </w:tblCellMar>
      </w:tblPr>
      <w:tblGrid>
        <w:gridCol w:w="2210"/>
        <w:gridCol w:w="1937"/>
        <w:gridCol w:w="1957"/>
        <w:gridCol w:w="211"/>
        <w:gridCol w:w="721"/>
        <w:gridCol w:w="109"/>
        <w:gridCol w:w="109"/>
        <w:gridCol w:w="109"/>
        <w:gridCol w:w="109"/>
        <w:gridCol w:w="211"/>
        <w:gridCol w:w="721"/>
        <w:gridCol w:w="109"/>
        <w:gridCol w:w="109"/>
        <w:gridCol w:w="109"/>
        <w:gridCol w:w="109"/>
        <w:gridCol w:w="154"/>
      </w:tblGrid>
      <w:tr>
        <w:trPr/>
        <w:tc>
          <w:tcPr>
            <w:tcW w:w="2210"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FFO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deferred financing costs and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Non-real estate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revenues and amortization of below-market lease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TCI revenue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liquidity needs are to fund operating expenses, meet debt service obligations, fund investment activities, including capital expenditures, and to fund the Merger Cash Consideration.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$435.9 million of the $490.1 million due under the settlement agreement.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2024, and are limited to $175 million per year in 2025 and 2026; and $125 million per year in 2027 through 2029.</w:t>
      </w:r>
    </w:p>
    <w:p>
      <w:pPr>
        <w:pStyle w:val="TextBody"/>
        <w:bidi w:val="0"/>
        <w:spacing w:lineRule="auto" w:line="288" w:before="240" w:after="283"/>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party thereto, Bank of America, N.A., as administrative agent, collateral agent, swing line lender and an L/C issuer and certain other lenders named therein (the "Credit Agreement"), and proceeds from the issuance of debt and equity securities</w:t>
      </w:r>
      <w:r>
        <w:rPr>
          <w:rFonts w:ascii="Times New Roman;sans-serif" w:hAnsi="Times New Roman;sans-serif"/>
          <w:b w:val="false"/>
          <w:color w:val="000000"/>
          <w:sz w:val="20"/>
        </w:rPr>
        <w:t>. See “—Outlook” for additional information concerning our near-term and long-term liquidity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total cash and cash equivalents of $130.3 million, including $38.3 million of restricted cash and cash equivalents, and $500.0 million of borrowing availability under our revolving credit facility maturing on September 24, 2027 under the Credit Agreement (the “Revolving Credit Facility”). Subsequent to March 31, 2025, there have been no material outlays of funds outside of our scheduled interest payments. 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significant restrictions on our ability to pay dividends. See “—Dividends.”</w:t>
      </w:r>
    </w:p>
    <w:tbl>
      <w:tblPr>
        <w:tblW w:w="6230" w:type="dxa"/>
        <w:jc w:val="center"/>
        <w:tblInd w:w="0" w:type="dxa"/>
        <w:tblLayout w:type="fixed"/>
        <w:tblCellMar>
          <w:top w:w="28" w:type="dxa"/>
          <w:left w:w="28" w:type="dxa"/>
          <w:bottom w:w="28" w:type="dxa"/>
          <w:right w:w="28" w:type="dxa"/>
        </w:tblCellMar>
      </w:tblPr>
      <w:tblGrid>
        <w:gridCol w:w="1253"/>
        <w:gridCol w:w="1102"/>
        <w:gridCol w:w="1109"/>
        <w:gridCol w:w="109"/>
        <w:gridCol w:w="109"/>
        <w:gridCol w:w="109"/>
        <w:gridCol w:w="229"/>
        <w:gridCol w:w="671"/>
        <w:gridCol w:w="118"/>
        <w:gridCol w:w="118"/>
        <w:gridCol w:w="118"/>
        <w:gridCol w:w="118"/>
        <w:gridCol w:w="229"/>
        <w:gridCol w:w="671"/>
        <w:gridCol w:w="167"/>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Net 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$8.6 million and $6.2 million for the three months ended March 31, 2025 and 2024, respectively. The increase in net cash provided by operating activities during the three months ended March 31, 2025 is primarily </w:t>
      </w:r>
      <w:r>
        <w:rPr>
          <w:rFonts w:ascii="Times New Roman;sans-serif" w:hAnsi="Times New Roman;sans-serif"/>
          <w:b w:val="false"/>
          <w:color w:val="000000"/>
          <w:sz w:val="20"/>
          <w:shd w:fill="FFFFFF" w:val="clear"/>
        </w:rPr>
        <w:t>attributable to changes in working capital, including the timing of interest payments.</w:t>
      </w:r>
    </w:p>
    <w:tbl>
      <w:tblPr>
        <w:tblW w:w="6801" w:type="dxa"/>
        <w:jc w:val="left"/>
        <w:tblInd w:w="0" w:type="dxa"/>
        <w:tblLayout w:type="fixed"/>
        <w:tblCellMar>
          <w:top w:w="28" w:type="dxa"/>
          <w:left w:w="28" w:type="dxa"/>
          <w:bottom w:w="28" w:type="dxa"/>
          <w:right w:w="28" w:type="dxa"/>
        </w:tblCellMar>
      </w:tblPr>
      <w:tblGrid>
        <w:gridCol w:w="1324"/>
        <w:gridCol w:w="1164"/>
        <w:gridCol w:w="1172"/>
        <w:gridCol w:w="109"/>
        <w:gridCol w:w="109"/>
        <w:gridCol w:w="109"/>
        <w:gridCol w:w="211"/>
        <w:gridCol w:w="901"/>
        <w:gridCol w:w="109"/>
        <w:gridCol w:w="109"/>
        <w:gridCol w:w="109"/>
        <w:gridCol w:w="109"/>
        <w:gridCol w:w="211"/>
        <w:gridCol w:w="901"/>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other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unconsolidated entity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Net cash used in investing activities increased $120.1 million for the three months ended March 31, 2025 </w:t>
      </w:r>
      <w:r>
        <w:rPr>
          <w:rFonts w:ascii="Times New Roman;sans-serif" w:hAnsi="Times New Roman;sans-serif"/>
          <w:b w:val="false"/>
          <w:color w:val="000000"/>
          <w:sz w:val="20"/>
          <w:shd w:fill="FFFFFF" w:val="clear"/>
        </w:rPr>
        <w:t>compared to the three months ended March 31, 2024</w:t>
      </w:r>
      <w:r>
        <w:rPr>
          <w:rFonts w:ascii="Times New Roman;sans-serif" w:hAnsi="Times New Roman;sans-serif"/>
          <w:b w:val="false"/>
          <w:color w:val="000000"/>
          <w:sz w:val="20"/>
        </w:rPr>
        <w:t>, primarily driven by the proceeds received in 2024 from the sales of our investment in BB Fiber Holdings LLC of $40.0 million and the CableSouth network of $40.0 million, and an increase in Uniti Leasing Growth Capital Improvements of $43.7 million during the three months ended March 31, 2025. Capital expenditures are primarily related to our Uniti Fiber and Uniti Leasing businesses for deployment of network assets, as described below under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tbl>
      <w:tblPr>
        <w:tblW w:w="8480" w:type="dxa"/>
        <w:jc w:val="center"/>
        <w:tblInd w:w="0" w:type="dxa"/>
        <w:tblLayout w:type="fixed"/>
        <w:tblCellMar>
          <w:top w:w="28" w:type="dxa"/>
          <w:left w:w="28" w:type="dxa"/>
          <w:bottom w:w="28" w:type="dxa"/>
          <w:right w:w="28" w:type="dxa"/>
        </w:tblCellMar>
      </w:tblPr>
      <w:tblGrid>
        <w:gridCol w:w="1995"/>
        <w:gridCol w:w="1757"/>
        <w:gridCol w:w="1767"/>
        <w:gridCol w:w="109"/>
        <w:gridCol w:w="109"/>
        <w:gridCol w:w="109"/>
        <w:gridCol w:w="211"/>
        <w:gridCol w:w="901"/>
        <w:gridCol w:w="109"/>
        <w:gridCol w:w="109"/>
        <w:gridCol w:w="109"/>
        <w:gridCol w:w="109"/>
        <w:gridCol w:w="211"/>
        <w:gridCol w:w="721"/>
        <w:gridCol w:w="154"/>
      </w:tblGrid>
      <w:tr>
        <w:trPr/>
        <w:tc>
          <w:tcPr>
            <w:tcW w:w="1995"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ABS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Net cash provided by financing activities was $145.5 million for the three months ended March 31, 2025, which was primarily related to $589.0 million of proceeds from issuance of the ABS Notes, partially offset by $400.0 million related to the repayment of the ABS Loan Facility of $275.0 million and the partial redemption of the February 2028 Secured Notes of $125.0 million, repayments of the Settlement Payable of $24.5 million, and payments for financing costs of $12.5 million.</w:t>
      </w:r>
      <w:r>
        <w:rPr>
          <w:color w:val="212529"/>
          <w:shd w:fill="FFFFFF" w:val="clear"/>
        </w:rPr>
        <w:t xml:space="preserve"> </w:t>
      </w:r>
      <w:r>
        <w:rPr>
          <w:rFonts w:ascii="Times New Roman;sans-serif" w:hAnsi="Times New Roman;sans-serif"/>
          <w:b w:val="false"/>
          <w:color w:val="212529"/>
          <w:sz w:val="20"/>
          <w:shd w:fill="FFFFFF" w:val="clear"/>
        </w:rPr>
        <w:t>Net c</w:t>
      </w:r>
      <w:r>
        <w:rPr>
          <w:rFonts w:ascii="Times New Roman;sans-serif" w:hAnsi="Times New Roman;sans-serif"/>
          <w:b w:val="false"/>
          <w:color w:val="000000"/>
          <w:sz w:val="20"/>
          <w:shd w:fill="FFFFFF" w:val="clear"/>
        </w:rPr>
        <w:t xml:space="preserve">ash provided by financing activities was $69.9 million for the three months ended March 31, 2024, which was primarily related to proceeds from issuance of the ABS Loan Facility of </w:t>
      </w:r>
      <w:r>
        <w:rPr>
          <w:rFonts w:ascii="Times New Roman;sans-serif" w:hAnsi="Times New Roman;sans-serif"/>
          <w:b w:val="false"/>
          <w:color w:val="000000"/>
          <w:sz w:val="20"/>
        </w:rPr>
        <w:t>$275.0 million</w:t>
      </w:r>
      <w:r>
        <w:rPr>
          <w:rFonts w:ascii="Times New Roman;sans-serif" w:hAnsi="Times New Roman;sans-serif"/>
          <w:b w:val="false"/>
          <w:color w:val="212529"/>
          <w:sz w:val="20"/>
          <w:shd w:fill="FFFFFF" w:val="clear"/>
        </w:rPr>
        <w:t xml:space="preserve">, partially offset by </w:t>
      </w:r>
      <w:r>
        <w:rPr>
          <w:rFonts w:ascii="Times New Roman;sans-serif" w:hAnsi="Times New Roman;sans-serif"/>
          <w:b w:val="false"/>
          <w:color w:val="000000"/>
          <w:sz w:val="20"/>
          <w:shd w:fill="FFFFFF" w:val="clear"/>
        </w:rPr>
        <w:t xml:space="preserve">net borrowings under the Revolving Credit Facility of $135.0 million, </w:t>
      </w:r>
      <w:r>
        <w:rPr>
          <w:rFonts w:ascii="Times New Roman;sans-serif" w:hAnsi="Times New Roman;sans-serif"/>
          <w:b w:val="false"/>
          <w:color w:val="212529"/>
          <w:sz w:val="20"/>
          <w:shd w:fill="FFFFFF" w:val="clear"/>
        </w:rPr>
        <w:t xml:space="preserve">dividend payments of </w:t>
      </w:r>
      <w:r>
        <w:rPr>
          <w:rFonts w:ascii="Times New Roman;sans-serif" w:hAnsi="Times New Roman;sans-serif"/>
          <w:b w:val="false"/>
          <w:color w:val="000000"/>
          <w:sz w:val="20"/>
        </w:rPr>
        <w:t>$35.8 million, r</w:t>
      </w:r>
      <w:r>
        <w:rPr>
          <w:rFonts w:ascii="Times New Roman;sans-serif" w:hAnsi="Times New Roman;sans-serif"/>
          <w:b w:val="false"/>
          <w:color w:val="212529"/>
          <w:sz w:val="20"/>
          <w:shd w:fill="FFFFFF" w:val="clear"/>
        </w:rPr>
        <w:t>epayments of the Settlement Payable of $24.5 million, and payments for financing costs of $7.9 million.</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term of the Windstream Leases expires on April 30, 2030. The aggregate initial annual rent under the Windstream Leases is $663.0 million.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October 2020, pursuant to the Windstream Leases, Windstream (or any successor tenant under a Windstream Lease) has the right to cause Uniti to reimburse up to an aggregate $1.75 billion of Growth Capital Improvements through 2029.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2024, and are limited to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and Windstream have entered into separate ILEC and CLEC Equipment Loan and Security Agreements (collectively the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have been made as of March 31, 2025.</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Up-REIT Operating Partnership Units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would expect to eliminate this structure when we complete the Windstream combination.</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Outlook</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continuing to invest in our network infrastructure across our Uniti Leasing and Uniti Fiber portfolios. We also expect to fund the $425 million (less certain transaction expenses) cash consideration in our Merger with Windstream, as well as obligations to Windstream, including (i) $490.1 million of settlement payments payable over time (of which $49.0 million remains to be paid as of March 31, 2025) and (ii) an aggregate of up to $1.75 billion for certain growth capital improvements (of which $550.0 million remains to be paid as of March 31, 2025). We anticipate that we will partially finance these needs, as well as operating expenses (including our debt service obligations), from our cash on hand, borrowings under our Revolving Credit Facility and cash flows provided by operating activities. As of March 31, 2025, we had $500.0 million in borrowing availability under our Revolving Credit Facility. In addition, we anticipate our cash on hand and borrowing availability under the Revolving Credit Facility, combined with our cash flows provided by operating activities, will be sufficient to fund our business operations, reimbursement commitments for Growth Capital Improvements and obligations under the settlement agreement with Windstream, and debt service over the next twelve months. However, we may need to access the capital markets to generate additional funds to fund such expenditures. On a longer-term basis, the Company believes the same sources of liquidity and capital will be sufficient to satisfy these liquidity needs and anticipated capital expenditures, which we anticipate will be in line with historic amounts. See “Liquidity and Capital Resources” and “—Capital Expenditures” for additional information. A significant portion of the Company's indebtedness matures within the next three years, and the Company expects that it will need to refinance or repay its indebtedness at maturity by raising additional capital (which could include a combination of equity offerings and/or debt offerings) or instead seek to extend the applicable maturity dates of its indebtedness. We closely monitor the equity and debt markets and may seek to access them promptly if and when we determine market conditions are appropriate.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several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bl>
      <w:tblPr>
        <w:tblW w:w="8514" w:type="dxa"/>
        <w:jc w:val="center"/>
        <w:tblInd w:w="0" w:type="dxa"/>
        <w:tblLayout w:type="fixed"/>
        <w:tblCellMar>
          <w:top w:w="28" w:type="dxa"/>
          <w:left w:w="28" w:type="dxa"/>
          <w:bottom w:w="28" w:type="dxa"/>
          <w:right w:w="28" w:type="dxa"/>
        </w:tblCellMar>
      </w:tblPr>
      <w:tblGrid>
        <w:gridCol w:w="910"/>
        <w:gridCol w:w="800"/>
        <w:gridCol w:w="809"/>
        <w:gridCol w:w="109"/>
        <w:gridCol w:w="109"/>
        <w:gridCol w:w="109"/>
        <w:gridCol w:w="211"/>
        <w:gridCol w:w="826"/>
        <w:gridCol w:w="109"/>
        <w:gridCol w:w="109"/>
        <w:gridCol w:w="109"/>
        <w:gridCol w:w="109"/>
        <w:gridCol w:w="233"/>
        <w:gridCol w:w="681"/>
        <w:gridCol w:w="122"/>
        <w:gridCol w:w="109"/>
        <w:gridCol w:w="109"/>
        <w:gridCol w:w="109"/>
        <w:gridCol w:w="109"/>
        <w:gridCol w:w="109"/>
        <w:gridCol w:w="294"/>
        <w:gridCol w:w="649"/>
        <w:gridCol w:w="153"/>
        <w:gridCol w:w="109"/>
        <w:gridCol w:w="109"/>
        <w:gridCol w:w="109"/>
        <w:gridCol w:w="211"/>
        <w:gridCol w:w="826"/>
        <w:gridCol w:w="154"/>
      </w:tblGrid>
      <w:tr>
        <w:trPr/>
        <w:tc>
          <w:tcPr>
            <w:tcW w:w="9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1518"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Success Based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Maintenance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Non-Network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capital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We categorize our capital expenditures as either (i) success-based, (ii) maintenance, or (iii) non-network. We define success-based capital expenditures as those related to installing existing or anticipated contractual customer service orders. Maintenance capital expenditures are those necessary to keep existing network elements fully operational. We anticipate continuing to invest in our network infrastructure across our Uniti Leasing and Uniti Fiber businesses and expect that cash on hand and cash flows provided by operating activities will be sufficient to support these investments. </w:t>
      </w:r>
      <w:r>
        <w:rPr>
          <w:rFonts w:ascii="Times New Roman;sans-serif" w:hAnsi="Times New Roman;sans-serif"/>
          <w:b w:val="false"/>
          <w:color w:val="000000"/>
          <w:sz w:val="20"/>
          <w:shd w:fill="FFFFFF" w:val="clear"/>
        </w:rPr>
        <w:t xml:space="preserve">We have the right, but not the obligation (except for Growth Capital Improvements), to </w:t>
      </w:r>
      <w:r>
        <w:rPr>
          <w:rFonts w:ascii="Times New Roman;sans-serif" w:hAnsi="Times New Roman;sans-serif"/>
          <w:b w:val="false"/>
          <w:color w:val="000000"/>
          <w:sz w:val="20"/>
        </w:rPr>
        <w:t>reimburse</w:t>
      </w:r>
      <w:r>
        <w:rPr>
          <w:color w:val="000000"/>
          <w:shd w:fill="FFFFFF" w:val="clear"/>
        </w:rPr>
        <w:t xml:space="preserve"> </w:t>
      </w:r>
      <w:r>
        <w:rPr>
          <w:rFonts w:ascii="Times New Roman;sans-serif" w:hAnsi="Times New Roman;sans-serif"/>
          <w:b w:val="false"/>
          <w:color w:val="000000"/>
          <w:sz w:val="20"/>
          <w:shd w:fill="FFFFFF" w:val="clear"/>
        </w:rPr>
        <w:t>growth capital expenditures in certain of our lease arrangements where we are the lessor.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Uniti’s total annual reimbursement commitments to Windstream for the Growth Capital Improvements is discussed above in this Part I, Item 2 “Management’s Discussion and Analysis of Financial Condition and Results of Operations” in “Liquidity and Capital Resources—Windstream Leases.” Growth Capital Improvements are treated as success-based capital improvements based on the rents paid with respect to such amounts.</w:t>
      </w:r>
    </w:p>
    <w:p>
      <w:pPr>
        <w:pStyle w:val="TextBody"/>
        <w:bidi w:val="0"/>
        <w:spacing w:lineRule="auto" w:line="288" w:before="240" w:after="283"/>
        <w:jc w:val="left"/>
        <w:rPr/>
      </w:pPr>
      <w:r>
        <w:rPr>
          <w:rFonts w:ascii="Times New Roman;sans-serif" w:hAnsi="Times New Roman;sans-serif"/>
          <w:b w:val="false"/>
          <w:color w:val="000000"/>
          <w:sz w:val="20"/>
        </w:rPr>
        <w:t xml:space="preserve">If circumstances warrant, </w:t>
      </w:r>
      <w:r>
        <w:rPr>
          <w:rFonts w:ascii="Times New Roman;sans-serif" w:hAnsi="Times New Roman;sans-serif"/>
          <w:b w:val="false"/>
          <w:color w:val="000000"/>
          <w:sz w:val="20"/>
          <w:shd w:fill="FFFFFF" w:val="clear"/>
        </w:rPr>
        <w:t>we may need to take measures to conserve cash, which may include a suspension, delay or reduction in success-based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ABS Entities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we formed the ABS Parent and the ABS Bridge Loan Parties, each an indirect, bankruptcy-remote subsidiary of the Company, and we designated ABS Parent and the ABS Bridge Loan Parties as unrestricted subsidiaries under the Credit Agreement and the applicable indentures governing the Company’s outstanding senior notes. During 2025, we formed the ABS Notes Obligors (other than Uniti Fiber GulfCo LLC, which was formed in 2024), each a subsidiary of ABS Parent and an indirect, bankruptcy-remote subsidiary of the Company. Each ABS Notes Obligor is an unrestricted subsidiary under the Credit Agreement and the applicable indentures governing the Company’s senior notes.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For additional information concerning the financial position and results of operations of ABS Parent and its subsidiaries (all unrestricted subsidiaries as of March 31, 2025), please </w:t>
      </w:r>
      <w:hyperlink w:anchor="iff1f1a04df874dc79a8c3cdc7c5437f3_543">
        <w:r>
          <w:rPr>
            <w:rStyle w:val="InternetLink"/>
            <w:rFonts w:ascii="Times New Roman;sans-serif" w:hAnsi="Times New Roman;sans-serif"/>
            <w:b w:val="false"/>
            <w:color w:val="0000FF"/>
            <w:sz w:val="20"/>
            <w:u w:val="single"/>
          </w:rPr>
          <w:t>see Note 14</w:t>
        </w:r>
      </w:hyperlink>
      <w:r>
        <w:rPr>
          <w:color w:val="000000"/>
        </w:rPr>
        <w:t xml:space="preserve"> </w:t>
      </w:r>
      <w:r>
        <w:rPr>
          <w:rFonts w:ascii="Times New Roman;sans-serif" w:hAnsi="Times New Roman;sans-serif"/>
          <w:b w:val="false"/>
          <w:color w:val="000000"/>
          <w:sz w:val="20"/>
        </w:rPr>
        <w:t>to our accompanying Condensed Consolidated Financial Statements contained in Part I, Item 1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 xml:space="preserve">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cash dividends or we may make a portion of the required dividend in the form of a taxable distribution of stock or debt securities</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 xml:space="preserve">Under the Merger Agreement with Windstream, we have agreed to suspend dividend payments or other distributions until the consummation of the Merger, except for the dividend paid on June 28, 2024 and those dividends reasonably required for us or our subsidiaries to maintain its status as a REIT or to avoid the payment or imposition of income or excise tax, among other customary exceptions. Any </w:t>
      </w:r>
      <w:r>
        <w:rPr>
          <w:rFonts w:ascii="Times New Roman;sans-serif" w:hAnsi="Times New Roman;sans-serif"/>
          <w:b w:val="false"/>
          <w:color w:val="000000"/>
          <w:sz w:val="20"/>
          <w:shd w:fill="FFFFFF" w:val="clear"/>
        </w:rPr>
        <w:t xml:space="preserve">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on our critical accounting estimates, see “Management’s Discussion and Analysis of Financial Condition and Results of Operations” and the notes to our audited financial statements included in our Annual Report. As of March 31, 2025, there has been no material change to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Guidance</w:t>
      </w:r>
    </w:p>
    <w:p>
      <w:pPr>
        <w:pStyle w:val="TextBody"/>
        <w:bidi w:val="0"/>
        <w:spacing w:lineRule="auto" w:line="288" w:before="240" w:after="283"/>
        <w:jc w:val="left"/>
        <w:rPr/>
      </w:pPr>
      <w:r>
        <w:rPr>
          <w:rFonts w:ascii="Times New Roman;sans-serif" w:hAnsi="Times New Roman;sans-serif"/>
          <w:b w:val="false"/>
          <w:color w:val="000000"/>
          <w:sz w:val="20"/>
        </w:rPr>
        <w:t xml:space="preserve">New accounting rules and disclosures can impact our reported results and comparability of our financial statements. </w:t>
      </w:r>
      <w:hyperlink w:anchor="iff1f1a04df874dc79a8c3cdc7c5437f3_43">
        <w:r>
          <w:rPr>
            <w:rStyle w:val="InternetLink"/>
            <w:rFonts w:ascii="Times New Roman;sans-serif" w:hAnsi="Times New Roman;sans-serif"/>
            <w:b w:val="false"/>
            <w:color w:val="0000FF"/>
            <w:sz w:val="20"/>
            <w:u w:val="single"/>
          </w:rPr>
          <w:t>See Note 2</w:t>
        </w:r>
      </w:hyperlink>
      <w:r>
        <w:rPr>
          <w:color w:val="000000"/>
        </w:rPr>
        <w:t xml:space="preserve"> </w:t>
      </w:r>
      <w:r>
        <w:rPr>
          <w:rFonts w:ascii="Times New Roman;sans-serif" w:hAnsi="Times New Roman;sans-serif"/>
          <w:b w:val="false"/>
          <w:color w:val="000000"/>
          <w:sz w:val="20"/>
        </w:rPr>
        <w:t>to our accompanying Condensed Consolidated Financial Statements contained in Part I, Item 1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information reported under Part II, Item 7A "Quantitative and Qualitative Disclosures About Market Risk"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Disclosure Controls and Procedures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have established disclosure controls and procedures, as such term is defined in Rule 13a-15(e)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management, with the participation of our principal executive officer and principal financial officer, evaluated the effectiveness of our disclosure controls and procedures as of March 31, 2025, and based on this evaluation, our principal executive officer and principal financial officer concluded that our disclosure controls and procedures were effective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240" w:after="283"/>
        <w:jc w:val="left"/>
        <w:rPr/>
      </w:pPr>
      <w:r>
        <w:rPr>
          <w:rFonts w:ascii="Times New Roman;sans-serif" w:hAnsi="Times New Roman;sans-serif"/>
          <w:b w:val="false"/>
          <w:color w:val="000000"/>
          <w:sz w:val="20"/>
        </w:rPr>
        <w:t xml:space="preserve">There </w:t>
      </w:r>
      <w:r>
        <w:rPr>
          <w:rFonts w:ascii="Times New Roman;sans-serif" w:hAnsi="Times New Roman;sans-serif"/>
          <w:b w:val="false"/>
          <w:color w:val="000000"/>
          <w:sz w:val="20"/>
          <w:shd w:fill="FFFFFF" w:val="clear"/>
        </w:rPr>
        <w:t>were no changes in our internal control over financial reporting, as such term is defined in Rule 13a-15(f) under the Exchange Act, that occurred during the quarter ended March 31, 2025 that have materially affected, or are reasonably likely to materially affect, our internal control over financial reporting</w:t>
      </w:r>
      <w:r>
        <w:rPr>
          <w:rFonts w:ascii="Times New Roman;sans-serif" w:hAnsi="Times New Roman;sans-serif"/>
          <w:b w:val="false"/>
          <w:color w:val="000000"/>
          <w:sz w:val="20"/>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 </w:t>
      </w:r>
      <w:r>
        <w:rPr>
          <w:rFonts w:ascii="Times New Roman;sans-serif" w:hAnsi="Times New Roman;sans-serif"/>
          <w:b w:val="false"/>
          <w:color w:val="000000"/>
          <w:sz w:val="20"/>
        </w:rPr>
        <w:t>description of legal proceedings can be found in</w:t>
      </w:r>
      <w:hyperlink w:anchor="iff1f1a04df874dc79a8c3cdc7c5437f3_76">
        <w:r>
          <w:rPr>
            <w:rStyle w:val="InternetLink"/>
            <w:color w:val="0000FF"/>
            <w:u w:val="single"/>
          </w:rPr>
          <w:t xml:space="preserve"> </w:t>
        </w:r>
      </w:hyperlink>
      <w:hyperlink w:anchor="iff1f1a04df874dc79a8c3cdc7c5437f3_76">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color w:val="000000"/>
          <w:sz w:val="20"/>
          <w:shd w:fill="FFFFFF" w:val="clear"/>
        </w:rPr>
        <w:t>- Commitments and Contingencies</w:t>
      </w:r>
      <w:r>
        <w:rPr>
          <w:color w:val="000000"/>
        </w:rPr>
        <w:t xml:space="preserve"> </w:t>
      </w:r>
      <w:r>
        <w:rPr>
          <w:rFonts w:ascii="Times New Roman;sans-serif" w:hAnsi="Times New Roman;sans-serif"/>
          <w:b w:val="false"/>
          <w:color w:val="000000"/>
          <w:sz w:val="20"/>
        </w:rPr>
        <w:t>to our Condensed Consolidated Financial Statements, included in Part I, Item 1 "Financial Statements" of this Quarterly Report on Form 10-Q,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affecting our business that were discussed in Part I, Item 1A "Risk Factors”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r>
        <w:rPr>
          <w:rFonts w:ascii="Times New Roman;sans-serif" w:hAnsi="Times New Roman;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574"/>
        <w:gridCol w:w="444"/>
        <w:gridCol w:w="450"/>
        <w:gridCol w:w="109"/>
        <w:gridCol w:w="109"/>
        <w:gridCol w:w="109"/>
        <w:gridCol w:w="629"/>
        <w:gridCol w:w="440"/>
        <w:gridCol w:w="441"/>
        <w:gridCol w:w="109"/>
        <w:gridCol w:w="109"/>
        <w:gridCol w:w="109"/>
        <w:gridCol w:w="314"/>
        <w:gridCol w:w="761"/>
        <w:gridCol w:w="162"/>
        <w:gridCol w:w="109"/>
        <w:gridCol w:w="109"/>
        <w:gridCol w:w="109"/>
        <w:gridCol w:w="774"/>
        <w:gridCol w:w="774"/>
        <w:gridCol w:w="776"/>
        <w:gridCol w:w="109"/>
        <w:gridCol w:w="109"/>
        <w:gridCol w:w="109"/>
        <w:gridCol w:w="689"/>
        <w:gridCol w:w="689"/>
        <w:gridCol w:w="980"/>
      </w:tblGrid>
      <w:tr>
        <w:trPr/>
        <w:tc>
          <w:tcPr>
            <w:tcW w:w="57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Price Paid per Share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of Shares that May Yet Be Purchased Under the Plans or Programs</w:t>
            </w:r>
          </w:p>
        </w:tc>
      </w:tr>
      <w:tr>
        <w:trPr/>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to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31,285 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to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to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240" w:after="283"/>
        <w:jc w:val="left"/>
        <w:rPr/>
      </w:pPr>
      <w:r>
        <w:rPr>
          <w:rFonts w:ascii="Times New Roman;sans-serif" w:hAnsi="Times New Roman;sans-serif"/>
          <w:b w:val="false"/>
          <w:color w:val="000000"/>
          <w:sz w:val="16"/>
          <w:shd w:fill="FFFFFF" w:val="clear"/>
        </w:rPr>
        <w:t>(1)</w:t>
      </w:r>
      <w:r>
        <w:rPr>
          <w:color w:val="000000"/>
          <w:shd w:fill="FFFFFF" w:val="clear"/>
        </w:rPr>
        <w:t xml:space="preserve"> </w:t>
      </w:r>
      <w:r>
        <w:rPr>
          <w:rFonts w:ascii="Times New Roman;sans-serif" w:hAnsi="Times New Roman;sans-serif"/>
          <w:b w:val="false"/>
          <w:color w:val="000000"/>
          <w:sz w:val="20"/>
          <w:shd w:fill="FFFFFF" w:val="clear"/>
        </w:rPr>
        <w:t>The average price paid per share is the weighted average of the fair market prices at which we calculated the number of shares withheld to cover tax withholdings for the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 During the three months ended March 31, 2025, none of the Company’s directors or officers (as defined in Rule 16a-1(f) under the Exchange Act) adopted or terminated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61"/>
        <w:gridCol w:w="230"/>
        <w:gridCol w:w="231"/>
        <w:gridCol w:w="109"/>
        <w:gridCol w:w="109"/>
        <w:gridCol w:w="109"/>
        <w:gridCol w:w="2917"/>
        <w:gridCol w:w="2563"/>
        <w:gridCol w:w="3676"/>
      </w:tblGrid>
      <w:tr>
        <w:trPr/>
        <w:tc>
          <w:tcPr>
            <w:tcW w:w="2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2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Agreement and Plan of Merger, dated as of May 3, 2024, by and between Uniti Group Inc. and Windstream Holdings II, LLC (incorporated by reference to Exhibit 2.1 to the Company’s Current Report on Form 8-K dated and filed with the SEC as of May 3, 2024 (File No. 001-36708))</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rPr>
                <w:t>Amendment No. 1 to Agreement and Plan of Merger, dated July 17, 2024, by and between Uniti Group Inc. and Windstream Holdings II, LLC (incorporated by reference to Exhibit 2.2 to the Company's Quarterly Report on Form 10-Q dated and filed with the SEC as of August 1,2024 (File No. 001-36708))</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31.htm">
              <w:r>
                <w:rPr>
                  <w:rStyle w:val="InternetLink"/>
                  <w:rFonts w:ascii="Times New Roman;sans-serif" w:hAnsi="Times New Roman;sans-serif"/>
                  <w:b w:val="false"/>
                  <w:color w:val="0000FF"/>
                  <w:sz w:val="20"/>
                  <w:u w:val="single"/>
                </w:rPr>
                <w:t>Articles of Amendment of Uniti Group Inc.</w:t>
              </w:r>
            </w:hyperlink>
            <w:r>
              <w:rPr>
                <w:color w:val="000000"/>
              </w:rPr>
              <w:t xml:space="preserve"> </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FF"/>
                  <w:sz w:val="20"/>
                  <w:u w:val="single"/>
                </w:rPr>
                <w:t>Base Indenture, dated as of February 3, 2025, by and among Uniti Fiber ABS Issuer LLC, Uniti Fiber TRS Issuer LLC, Uniti Fiber GulfCo LLC, Uniti Fiber TRS AssetCo LLC and Wilmington Trust, National Association, as indenture trustee (incorporated by reference to Exhibit 4.1 to the Company's Current Report on Form 8-K filed with the SEC as of February 3, 2025 (File No. 001-36708))</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ans-serif" w:hAnsi="Times New Roman;sans-serif"/>
                  <w:b w:val="false"/>
                  <w:color w:val="0000FF"/>
                  <w:sz w:val="20"/>
                  <w:u w:val="single"/>
                </w:rPr>
                <w:t>Series 2025-1 Supplement, dated as of February 3, 2025, by and among Uniti Fiber ABS Issuer LLC, Uniti Fiber TRS Issuer LLC, Uniti Fiber GulfCo LLC, Uniti Fiber TRS AssetCo LLC and Wilmington Trust, National Association, as indenture trustee (incorporated by reference to Exhibit 4.2 to the Company's Current Report on Form 8-K filed with the SEC as of February 3, 2025 (File No. 001-36708))</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FF"/>
                  <w:sz w:val="20"/>
                  <w:u w:val="single"/>
                </w:rPr>
                <w:t>Form of Restricted Shares Agreement for executive officers (incorporated by reference to Exhibit 10.1 to the Company’s Current Report on Form 8-K filed with the SEC as of April 17, 2025 (File No. 001-36708))</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ans-serif" w:hAnsi="Times New Roman;sans-serif"/>
                  <w:b w:val="false"/>
                  <w:color w:val="0000FF"/>
                  <w:sz w:val="20"/>
                  <w:u w:val="single"/>
                </w:rPr>
                <w:t>Form of Performance-Based Restricted Stock Unit Agreement for executive officers (incorporated by reference to Exhibit 10.2 to the Company’s Current Report on Form 8-K filed with the SEC as of April 17, 2025 (File No. 001-36708))</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1031q25.htm">
              <w:r>
                <w:rPr>
                  <w:rStyle w:val="InternetLink"/>
                  <w:rFonts w:ascii="Times New Roman;sans-serif" w:hAnsi="Times New Roman;sans-serif"/>
                  <w:b w:val="false"/>
                  <w:color w:val="0000FF"/>
                  <w:sz w:val="20"/>
                  <w:u w:val="single"/>
                </w:rPr>
                <w:t>Amendment No. 10 to the Credit Agreement, dated as of April 22, 2025, among Uniti Group LP, Uniti Group Finance Inc. and CSL Capital, LLC, as borrowers, the guarantor party thereto, the lenders party thereto, and Bank of America, N. A., as administrative agent and collateral agent.</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111q25.htm">
              <w:r>
                <w:rPr>
                  <w:rStyle w:val="InternetLink"/>
                  <w:rFonts w:ascii="Times New Roman;sans-serif" w:hAnsi="Times New Roman;sans-serif"/>
                  <w:b w:val="false"/>
                  <w:color w:val="0000E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121q25.htm">
              <w:r>
                <w:rPr>
                  <w:rStyle w:val="InternetLink"/>
                  <w:rFonts w:ascii="Times New Roman;sans-serif" w:hAnsi="Times New Roman;sans-serif"/>
                  <w:b w:val="false"/>
                  <w:color w:val="0000E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211q25.htm">
              <w:r>
                <w:rPr>
                  <w:rStyle w:val="InternetLink"/>
                  <w:rFonts w:ascii="Times New Roman;sans-serif" w:hAnsi="Times New Roman;sans-serif"/>
                  <w:b w:val="false"/>
                  <w:color w:val="0000EE"/>
                  <w:sz w:val="20"/>
                  <w:u w:val="single"/>
                </w:rPr>
                <w:t>Certification of Principal Executive Officer Pursuant to 18 U.S.C. Section 1350, as Adopted Pursuant to Section 906 of the Sarbanes-Oxley Act of 2002.</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221q25.htm">
              <w:r>
                <w:rPr>
                  <w:rStyle w:val="InternetLink"/>
                  <w:rFonts w:ascii="Times New Roman;sans-serif" w:hAnsi="Times New Roman;sans-serif"/>
                  <w:b w:val="false"/>
                  <w:color w:val="0000EE"/>
                  <w:sz w:val="20"/>
                  <w:u w:val="single"/>
                </w:rPr>
                <w:t>Certification of Principal Financial Officer Pursuant to 18 U.S.C. Section 1350, as Adopted Pursuant to Section 906 of the Sarbanes-Oxley Act of 2002.</w:t>
              </w:r>
            </w:hyperlink>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7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tbl>
      <w:tblPr>
        <w:tblW w:w="7796" w:type="dxa"/>
        <w:jc w:val="center"/>
        <w:tblInd w:w="0" w:type="dxa"/>
        <w:tblLayout w:type="fixed"/>
        <w:tblCellMar>
          <w:top w:w="28" w:type="dxa"/>
          <w:left w:w="28" w:type="dxa"/>
          <w:bottom w:w="28" w:type="dxa"/>
          <w:right w:w="28" w:type="dxa"/>
        </w:tblCellMar>
      </w:tblPr>
      <w:tblGrid>
        <w:gridCol w:w="314"/>
        <w:gridCol w:w="277"/>
        <w:gridCol w:w="279"/>
        <w:gridCol w:w="109"/>
        <w:gridCol w:w="109"/>
        <w:gridCol w:w="109"/>
        <w:gridCol w:w="1929"/>
        <w:gridCol w:w="1929"/>
        <w:gridCol w:w="2741"/>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1"/>
        <w:gridCol w:w="2901"/>
        <w:gridCol w:w="40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and similar attachments have been omitted from this filing pursuant to Item 601(a)(5) of Regulation S-K. A copy of any omitted schedule or similar attachment will be furnished to the Securities and Exchange Commission upon request.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ff1f1a04df874dc79a8c3cdc7c5437f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403"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838"/>
        <w:gridCol w:w="838"/>
        <w:gridCol w:w="838"/>
        <w:gridCol w:w="838"/>
        <w:gridCol w:w="838"/>
        <w:gridCol w:w="11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Paul E. Bullington</w:t>
              <w:br/>
              <w:t>Senior Vice President – Chief Financial Officer and Treasurer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T. Black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Travis T. Black</w:t>
              <w:br/>
              <w:t>Senior Vice President –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30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ARTICLES OF AMENDMENT</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UNITI GROUP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April 4, 2025</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4"/>
        </w:rPr>
        <w:t>Uniti Group Inc., a Maryland Corporation (the “</w:t>
      </w:r>
      <w:r>
        <w:rPr>
          <w:rFonts w:ascii="Times New Roman;sans-serif" w:hAnsi="Times New Roman;sans-serif"/>
          <w:b w:val="false"/>
          <w:color w:val="000000"/>
          <w:sz w:val="24"/>
          <w:u w:val="single"/>
        </w:rPr>
        <w:t>Corporation</w:t>
      </w:r>
      <w:r>
        <w:rPr>
          <w:color w:val="000000"/>
        </w:rPr>
        <w:t>”</w:t>
      </w:r>
      <w:r>
        <w:rPr>
          <w:rFonts w:ascii="Times New Roman;sans-serif" w:hAnsi="Times New Roman;sans-serif"/>
          <w:b w:val="false"/>
          <w:color w:val="000000"/>
          <w:sz w:val="24"/>
        </w:rPr>
        <w:t>), hereby certifies to the State Department of Assessments and Taxation of Maryland (the “</w:t>
      </w:r>
      <w:r>
        <w:rPr>
          <w:rFonts w:ascii="Times New Roman;sans-serif" w:hAnsi="Times New Roman;sans-serif"/>
          <w:b w:val="false"/>
          <w:color w:val="000000"/>
          <w:sz w:val="24"/>
          <w:u w:val="single"/>
        </w:rPr>
        <w:t>Department</w:t>
      </w:r>
      <w:r>
        <w:rPr>
          <w:color w:val="000000"/>
        </w:rPr>
        <w:t>”</w:t>
      </w:r>
      <w:r>
        <w:rPr>
          <w:rFonts w:ascii="Times New Roman;sans-serif" w:hAnsi="Times New Roman;sans-serif"/>
          <w:b w:val="false"/>
          <w:color w:val="000000"/>
          <w:sz w:val="24"/>
        </w:rPr>
        <w:t>) that:</w:t>
      </w:r>
    </w:p>
    <w:p>
      <w:pPr>
        <w:pStyle w:val="TextBody"/>
        <w:bidi w:val="0"/>
        <w:spacing w:before="0" w:after="0"/>
        <w:ind w:left="0" w:right="0" w:firstLine="72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The Articles of Amendment and Restatement of the Corporation (the “</w:t>
      </w:r>
      <w:r>
        <w:rPr>
          <w:rFonts w:ascii="Times New Roman;sans-serif" w:hAnsi="Times New Roman;sans-serif"/>
          <w:b w:val="false"/>
          <w:color w:val="000000"/>
          <w:sz w:val="24"/>
          <w:u w:val="single"/>
        </w:rPr>
        <w:t>Articles</w:t>
      </w:r>
      <w:r>
        <w:rPr>
          <w:color w:val="000000"/>
        </w:rPr>
        <w:t>”</w:t>
      </w:r>
      <w:r>
        <w:rPr>
          <w:rFonts w:ascii="Times New Roman;sans-serif" w:hAnsi="Times New Roman;sans-serif"/>
          <w:b w:val="false"/>
          <w:color w:val="000000"/>
          <w:sz w:val="24"/>
        </w:rPr>
        <w:t>) are hereby amended by adding a new ARTICLE THIRTEEN as follows: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ARTICLE THIRTEEN</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To the fullest extent permitted by law, (i) the Corporation is designated as the stockholders’ sole and exclusive agent with the exclusive right to pursue and recover any remedies on behalf of stockholders under that certain Agreement and Plan of Merger, dated as of May 3, 2024 (as it may be amended from time to time, the “Merger Agreement”), by and between the Corporation and Windstream Holdings II, LLC, a Delaware limited liability company, including under Section 12.06 thereof, pursuant to which, in the event that specific performance is not sought or granted as a remedy, the Corporation may pursue and recover damages or other amounts set forth in Section 12.06 of the Merger Agreement, and (ii) any amounts or damages recovered by the Corporation on behalf of the stockholders, whether through judgment, settlement or otherwise, shall, in the sole discretion of the Board of Directors, be distributed to the stockholders by a dividend, stock repurchase or buyback or in any other manner.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The foregoing amendment to the Articles has been duly approved and advised by the Board of Directors of the Corporation and approved by the stockholders of the Corporation as required by law.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These Articles of Amendment shall become effective at the time the Department accepts these Articles of Amendment for record.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The undersigned officer of the Corporation acknowledges these Articles of Amendment to be the corporate act of the Corporation and, as to all matters or facts required to be verified under oath, the undersigned acknowledges that, to the best of his knowledge, information and belief, these matters are true in all material respects and that this statement is made under the penalties of perjury. </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Signatures appear on the following page</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7495"/>
                <wp:effectExtent l="0" t="0" r="0" b="0"/>
                <wp:wrapNone/>
                <wp:docPr id="58" name="Frame58"/>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#100078938v4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#100078938v4    </w:t>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4"/>
        </w:rPr>
        <w:t xml:space="preserve">IN WITNESS WHEREOF, the undersigned has caused these Articles of Amendment to be signed in its name and on its behalf by its President and Chief Executive Officer and attested to by its Executive Vice President, General Counsel &amp; Secretary as of the date first written above. </w:t>
      </w:r>
    </w:p>
    <w:p>
      <w:pPr>
        <w:pStyle w:val="TextBody"/>
        <w:bidi w:val="0"/>
        <w:spacing w:before="0" w:after="240"/>
        <w:jc w:val="left"/>
        <w:rPr/>
      </w:pPr>
      <w:r>
        <w:rPr/>
      </w:r>
    </w:p>
    <w:tbl>
      <w:tblPr>
        <w:tblW w:w="6628" w:type="dxa"/>
        <w:jc w:val="left"/>
        <w:tblInd w:w="0" w:type="dxa"/>
        <w:tblLayout w:type="fixed"/>
        <w:tblCellMar>
          <w:top w:w="28" w:type="dxa"/>
          <w:left w:w="28" w:type="dxa"/>
          <w:bottom w:w="28" w:type="dxa"/>
          <w:right w:w="28" w:type="dxa"/>
        </w:tblCellMar>
      </w:tblPr>
      <w:tblGrid>
        <w:gridCol w:w="167"/>
        <w:gridCol w:w="148"/>
        <w:gridCol w:w="150"/>
        <w:gridCol w:w="244"/>
        <w:gridCol w:w="244"/>
        <w:gridCol w:w="246"/>
        <w:gridCol w:w="1570"/>
        <w:gridCol w:w="1570"/>
        <w:gridCol w:w="2289"/>
      </w:tblGrid>
      <w:tr>
        <w:trPr/>
        <w:tc>
          <w:tcPr>
            <w:tcW w:w="16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r>
      <w:tr>
        <w:trPr/>
        <w:tc>
          <w:tcPr>
            <w:tcW w:w="6628" w:type="dxa"/>
            <w:gridSpan w:val="9"/>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ans-serif" w:hAnsi="Times New Roman;sans-serif"/>
                <w:b/>
                <w:color w:val="000000"/>
                <w:sz w:val="24"/>
              </w:rPr>
              <w:t>ATTEST</w:t>
            </w:r>
            <w:r>
              <w:rPr>
                <w:rFonts w:ascii="Times New Roman;sans-serif" w:hAnsi="Times New Roman;sans-serif"/>
                <w:b w:val="false"/>
                <w:color w:val="000000"/>
                <w:sz w:val="24"/>
              </w:rPr>
              <w:t>:</w:t>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5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Daniel L. Heard</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 General Counsel &amp; Secretary</w:t>
            </w:r>
          </w:p>
        </w:tc>
      </w:tr>
    </w:tbl>
    <w:tbl>
      <w:tblPr>
        <w:tblW w:w="5271" w:type="dxa"/>
        <w:jc w:val="left"/>
        <w:tblInd w:w="0" w:type="dxa"/>
        <w:tblLayout w:type="fixed"/>
        <w:tblCellMar>
          <w:top w:w="28" w:type="dxa"/>
          <w:left w:w="28" w:type="dxa"/>
          <w:bottom w:w="28" w:type="dxa"/>
          <w:right w:w="28" w:type="dxa"/>
        </w:tblCellMar>
      </w:tblPr>
      <w:tblGrid>
        <w:gridCol w:w="282"/>
        <w:gridCol w:w="248"/>
        <w:gridCol w:w="248"/>
        <w:gridCol w:w="248"/>
        <w:gridCol w:w="248"/>
        <w:gridCol w:w="248"/>
        <w:gridCol w:w="1096"/>
        <w:gridCol w:w="1096"/>
        <w:gridCol w:w="1557"/>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52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UNITI GROUP INC.</w:t>
            </w:r>
          </w:p>
        </w:tc>
      </w:tr>
      <w:tr>
        <w:trPr/>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37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Kenneth A. Gunderman</w:t>
            </w:r>
          </w:p>
        </w:tc>
      </w:tr>
      <w:tr>
        <w:trPr/>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President and Chief Executive Officer</w:t>
            </w:r>
          </w:p>
        </w:tc>
      </w:tr>
    </w:tbl>
    <w:p>
      <w:pPr>
        <w:pStyle w:val="TextBody"/>
        <w:bidi w:val="0"/>
        <w:spacing w:before="0" w:after="0"/>
        <w:jc w:val="left"/>
        <w:rPr/>
      </w:pPr>
      <w:r>
        <w:rPr/>
      </w:r>
    </w:p>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12420"/>
                <wp:effectExtent l="0" t="0" r="0" b="0"/>
                <wp:wrapNone/>
                <wp:docPr id="59" name="Frame59"/>
                <a:graphic xmlns:a="http://schemas.openxmlformats.org/drawingml/2006/main">
                  <a:graphicData uri="http://schemas.microsoft.com/office/word/2010/wordprocessingShape">
                    <wps:wsp>
                      <wps:cNvSpPr txBox="1"/>
                      <wps:spPr>
                        <a:xfrm>
                          <a:off x="0" y="0"/>
                          <a:ext cx="6480175" cy="31242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Articles of Amendment</w:t>
                            </w:r>
                            <w:r>
                              <w:rPr>
                                <w:rFonts w:ascii="Times New Roman;sans-serif" w:hAnsi="Times New Roman;sans-serif"/>
                                <w:b w:val="false"/>
                                <w:color w:val="000000"/>
                                <w:sz w:val="24"/>
                              </w:rPr>
                              <w:t>]</w:t>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#100078938v4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Articles of Amendment</w:t>
                      </w:r>
                      <w:r>
                        <w:rPr>
                          <w:rFonts w:ascii="Times New Roman;sans-serif" w:hAnsi="Times New Roman;sans-serif"/>
                          <w:b w:val="false"/>
                          <w:color w:val="000000"/>
                          <w:sz w:val="24"/>
                        </w:rPr>
                        <w:t>]</w:t>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#100078938v4    </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AMENDMENT NO. 10</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2"/>
        </w:rPr>
        <w:t>This Amendment No. 10 (this “</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Amendment No. 10</w:t>
      </w:r>
      <w:r>
        <w:rPr>
          <w:color w:val="000000"/>
        </w:rPr>
        <w:t>”</w:t>
      </w:r>
      <w:r>
        <w:rPr>
          <w:rFonts w:ascii="Times New Roman;sans-serif" w:hAnsi="Times New Roman;sans-serif"/>
          <w:b w:val="false"/>
          <w:color w:val="000000"/>
          <w:sz w:val="22"/>
        </w:rPr>
        <w:t>), dated as of April 22, 2025, to the Credit Agreement, dated as of April 24, 2015 (as amended by Amendment No. 1 thereto dated October 21, 2016, as further amended by Amendment No. 2 dated February 9, 2017, as further amended by Amendment No. 3 dated April 27, 2017, as further amended or otherwise modified by Amendment No. 4 and Limited Waiver dated March 18, 2019, as further amended by Amendment No. 5 dated June 24, 2019, as further amended by Amendment No. 6 and Limited Waiver dated February 10, 2020, as further amended by Amendment No. 7 dated December 10, 2020, as further amended by Amendment No. 8 dated March 24, 2023, as further amended by Amendment No. 9 dated as of June 17, 2024, and, after giving effect to the Borrower Assumption Agreement and Joinder, dated as of May 9, 2017,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capitalized terms used in this Amendment No. 10 and not otherwise defined herein shall have the respective meanings given thereto in the Credit Agreement, as amended hereby), is made by and among Uniti Group Inc. (f/k/a Communications Sales &amp; Leasing, Inc.), a Maryland corporation (“</w:t>
      </w:r>
      <w:r>
        <w:rPr>
          <w:rFonts w:ascii="Times New Roman;sans-serif" w:hAnsi="Times New Roman;sans-serif"/>
          <w:b w:val="false"/>
          <w:color w:val="000000"/>
          <w:sz w:val="22"/>
          <w:u w:val="single"/>
        </w:rPr>
        <w:t>Holdings</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val="false"/>
          <w:color w:val="000000"/>
          <w:sz w:val="22"/>
          <w:u w:val="single"/>
        </w:rPr>
        <w:t>Parent Guarantor</w:t>
      </w:r>
      <w:r>
        <w:rPr>
          <w:color w:val="000000"/>
        </w:rPr>
        <w:t>”</w:t>
      </w:r>
      <w:r>
        <w:rPr>
          <w:rFonts w:ascii="Times New Roman;sans-serif" w:hAnsi="Times New Roman;sans-serif"/>
          <w:b w:val="false"/>
          <w:color w:val="000000"/>
          <w:sz w:val="22"/>
        </w:rPr>
        <w:t>), Uniti Group LP, a Delaware limited partnership (the “</w:t>
      </w:r>
      <w:r>
        <w:rPr>
          <w:rFonts w:ascii="Times New Roman;sans-serif" w:hAnsi="Times New Roman;sans-serif"/>
          <w:b w:val="false"/>
          <w:color w:val="000000"/>
          <w:sz w:val="22"/>
          <w:u w:val="single"/>
        </w:rPr>
        <w:t>Assumed Borrower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Parent</w:t>
      </w:r>
      <w:r>
        <w:rPr>
          <w:color w:val="000000"/>
        </w:rPr>
        <w:t>”</w:t>
      </w:r>
      <w:r>
        <w:rPr>
          <w:rFonts w:ascii="Times New Roman;sans-serif" w:hAnsi="Times New Roman;sans-serif"/>
          <w:b w:val="false"/>
          <w:color w:val="000000"/>
          <w:sz w:val="22"/>
        </w:rPr>
        <w:t>), Uniti Group Finance 2019 Inc. (f/k/a Uniti Group Finance Inc.), a Delaware corporation (“</w:t>
      </w:r>
      <w:r>
        <w:rPr>
          <w:rFonts w:ascii="Times New Roman;sans-serif" w:hAnsi="Times New Roman;sans-serif"/>
          <w:b w:val="false"/>
          <w:color w:val="000000"/>
          <w:sz w:val="22"/>
          <w:u w:val="single"/>
        </w:rPr>
        <w:t>FinCo</w:t>
      </w:r>
      <w:r>
        <w:rPr>
          <w:color w:val="000000"/>
        </w:rPr>
        <w:t>”</w:t>
      </w:r>
      <w:r>
        <w:rPr>
          <w:rFonts w:ascii="Times New Roman;sans-serif" w:hAnsi="Times New Roman;sans-serif"/>
          <w:b w:val="false"/>
          <w:color w:val="000000"/>
          <w:sz w:val="22"/>
        </w:rPr>
        <w:t>), CSL CAPITAL, LLC (“</w:t>
      </w:r>
      <w:r>
        <w:rPr>
          <w:rFonts w:ascii="Times New Roman;sans-serif" w:hAnsi="Times New Roman;sans-serif"/>
          <w:b w:val="false"/>
          <w:color w:val="000000"/>
          <w:sz w:val="22"/>
          <w:u w:val="single"/>
        </w:rPr>
        <w:t>CSL Capital</w:t>
      </w:r>
      <w:r>
        <w:rPr>
          <w:color w:val="000000"/>
        </w:rPr>
        <w:t xml:space="preserve">” </w:t>
      </w:r>
      <w:r>
        <w:rPr>
          <w:rFonts w:ascii="Times New Roman;sans-serif" w:hAnsi="Times New Roman;sans-serif"/>
          <w:b w:val="false"/>
          <w:color w:val="000000"/>
          <w:sz w:val="22"/>
        </w:rPr>
        <w:t>and, collectively with the Parent and Finco, the “</w:t>
      </w:r>
      <w:r>
        <w:rPr>
          <w:rFonts w:ascii="Times New Roman;sans-serif" w:hAnsi="Times New Roman;sans-serif"/>
          <w:b w:val="false"/>
          <w:color w:val="000000"/>
          <w:sz w:val="22"/>
          <w:u w:val="single"/>
        </w:rPr>
        <w:t>Borrowers</w:t>
      </w:r>
      <w:r>
        <w:rPr>
          <w:color w:val="000000"/>
        </w:rPr>
        <w:t>”</w:t>
      </w:r>
      <w:r>
        <w:rPr>
          <w:rFonts w:ascii="Times New Roman;sans-serif" w:hAnsi="Times New Roman;sans-serif"/>
          <w:b w:val="false"/>
          <w:color w:val="000000"/>
          <w:sz w:val="22"/>
        </w:rPr>
        <w:t>), the Lenders party hereto and Bank of America, N.A., as Administrative Agent and Collateral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240"/>
        <w:jc w:val="center"/>
        <w:rPr/>
      </w:pPr>
      <w:r>
        <w:rPr>
          <w:rFonts w:ascii="Times New Roman;sans-serif" w:hAnsi="Times New Roman;sans-serif"/>
          <w:b/>
          <w:color w:val="000000"/>
          <w:sz w:val="22"/>
          <w:u w:val="single"/>
        </w:rPr>
        <w:t>W I T N E S S E T H</w:t>
      </w:r>
      <w:r>
        <w:rPr>
          <w:rFonts w:ascii="Times New Roman;sans-serif" w:hAnsi="Times New Roman;sans-serif"/>
          <w:b/>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Borrower desires to make certain amendments to the Credit Agreement in contemplation of the closing of the Merger pursuant to the WIN Merger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pursuant to Section 10.01 of the Credit Agreement, the Loan Parties and the Required Lenders may amend or waive any provision of the Credit Agreement or any other Loan Document pursuant to an agreement in writing; and</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pursuant to Section 10.01 of the Credit Agreement, the Loan Parties and each of the undersigned Lenders, together constituting the Required Lenders, are willing to amend the Credit Agreement to make certain amendments to the Credit Agreement on the terms and conditions set forth herein;</w:t>
      </w:r>
    </w:p>
    <w:p>
      <w:pPr>
        <w:pStyle w:val="TextBody"/>
        <w:bidi w:val="0"/>
        <w:spacing w:lineRule="auto" w:line="288" w:before="0" w:after="24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premises and further valuable consideration, the receipt and sufficiency of which is hereby acknowledged, the parties hereto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Amendments to the Credit Agreement</w:t>
      </w:r>
      <w:r>
        <w:rPr>
          <w:rFonts w:ascii="Times New Roman;sans-serif" w:hAnsi="Times New Roman;sans-serif"/>
          <w:b w:val="false"/>
          <w:color w:val="000000"/>
          <w:sz w:val="22"/>
        </w:rPr>
        <w:t xml:space="preserve">. The Credit Agreement is, effective as of the Amendment No. 10 Effective Date (as defined below), hereby amended as follows: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(a)Section 1.01 of the Credit Agreement is hereby amended by the adding following definitions in appropriate alphabetical order:</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Permitted Reorganization</w:t>
      </w:r>
      <w:r>
        <w:rPr>
          <w:color w:val="000000"/>
        </w:rPr>
        <w:t xml:space="preserve">” </w:t>
      </w:r>
      <w:r>
        <w:rPr>
          <w:rFonts w:ascii="Times New Roman;sans-serif" w:hAnsi="Times New Roman;sans-serif"/>
          <w:b w:val="false"/>
          <w:color w:val="000000"/>
          <w:sz w:val="22"/>
        </w:rPr>
        <w:t xml:space="preserve">means (i) the merger of a Windstream Parent Entity of the Windstream Borrower with and into Holdings and the merger of the Windstream Borrower with and into a Subsidiary of Holdings or (ii) any other transaction that results in any Loan Party being an obligor on the Windstream Existing Debt Agreements and the borrower on the Windstream Existing Debt being an obligor on the Credit Agreement obligations and which the Borrower designates as a Permitted Reorganization, so that in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35965"/>
                <wp:effectExtent l="0" t="0" r="0" b="0"/>
                <wp:wrapNone/>
                <wp:docPr id="60" name="Frame6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each case, after giving effect to the Permitted Reorganization, the obligors of the Indebtedness under the Credit Agreement and the obligors of the Indebtedness under the Windstream Existing Debt Agreements will be the same (after giving effect to the execution of any joinders, supplements and other instruments in connection therewith and any applicable grace periods relating thereto) as the obligors under the Windstream Existing Debt Agreements;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immediately after giving effect to such transactions, no Event of Default shall have occurred and be continuing and such transaction shall not have the effect of releasing the Liens on all or substantially all of the Collateral which secured the Obligations.</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Permitted Reorganization Effective Date</w:t>
      </w:r>
      <w:r>
        <w:rPr>
          <w:color w:val="000000"/>
        </w:rPr>
        <w:t xml:space="preserve">” </w:t>
      </w:r>
      <w:r>
        <w:rPr>
          <w:rFonts w:ascii="Times New Roman;sans-serif" w:hAnsi="Times New Roman;sans-serif"/>
          <w:b w:val="false"/>
          <w:color w:val="000000"/>
          <w:sz w:val="22"/>
        </w:rPr>
        <w:t>means the date on which the Permitted Reorganization is consummated in all material respects, as determined by the Borrower and notified in writing to the Administrative Agent.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Windstream Borrower</w:t>
      </w:r>
      <w:r>
        <w:rPr>
          <w:color w:val="000000"/>
        </w:rPr>
        <w:t xml:space="preserve">” </w:t>
      </w:r>
      <w:r>
        <w:rPr>
          <w:rFonts w:ascii="Times New Roman;sans-serif" w:hAnsi="Times New Roman;sans-serif"/>
          <w:b w:val="false"/>
          <w:color w:val="000000"/>
          <w:sz w:val="22"/>
        </w:rPr>
        <w:t xml:space="preserve">has the meaning set forth in the definition of “Windstream Credit Agreement”. </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Windstream Credit Agreement</w:t>
      </w:r>
      <w:r>
        <w:rPr>
          <w:color w:val="000000"/>
        </w:rPr>
        <w:t xml:space="preserve">” </w:t>
      </w:r>
      <w:r>
        <w:rPr>
          <w:rFonts w:ascii="Times New Roman;sans-serif" w:hAnsi="Times New Roman;sans-serif"/>
          <w:b w:val="false"/>
          <w:color w:val="000000"/>
          <w:sz w:val="22"/>
        </w:rPr>
        <w:t>means that certain Credit Agreement, dated as of September 21, 2020 (as amended by Amendment No. 1 to Credit Agreement, dated November 9, 2020, Amendment No. 2, dated November 23, 2022, Amendment No. 3 to Credit Agreement, dated as of October 4, 2024 and as further amended, restated, amended and restated, supplemented or otherwise modified, refinanced or replaced from time to time) by and among Windstream Services, LLC, a Delaware limited liability company (the “</w:t>
      </w:r>
      <w:r>
        <w:rPr>
          <w:rFonts w:ascii="Times New Roman;sans-serif" w:hAnsi="Times New Roman;sans-serif"/>
          <w:b/>
          <w:color w:val="000000"/>
          <w:sz w:val="22"/>
        </w:rPr>
        <w:t>Windstream Borrower</w:t>
      </w:r>
      <w:r>
        <w:rPr>
          <w:color w:val="000000"/>
        </w:rPr>
        <w:t>”</w:t>
      </w:r>
      <w:r>
        <w:rPr>
          <w:rFonts w:ascii="Times New Roman;sans-serif" w:hAnsi="Times New Roman;sans-serif"/>
          <w:b w:val="false"/>
          <w:color w:val="000000"/>
          <w:sz w:val="22"/>
        </w:rPr>
        <w:t>), Windstream Holdings II, LLC, a Delaware limited liability company (“</w:t>
      </w:r>
      <w:r>
        <w:rPr>
          <w:rFonts w:ascii="Times New Roman;sans-serif" w:hAnsi="Times New Roman;sans-serif"/>
          <w:b/>
          <w:color w:val="000000"/>
          <w:sz w:val="22"/>
        </w:rPr>
        <w:t>Windstream Holdings</w:t>
      </w:r>
      <w:r>
        <w:rPr>
          <w:color w:val="000000"/>
        </w:rPr>
        <w:t>”</w:t>
      </w:r>
      <w:r>
        <w:rPr>
          <w:rFonts w:ascii="Times New Roman;sans-serif" w:hAnsi="Times New Roman;sans-serif"/>
          <w:b w:val="false"/>
          <w:color w:val="000000"/>
          <w:sz w:val="22"/>
        </w:rPr>
        <w:t>), the other loan parties party thereto, JPMorgan Chase Bank, N.A. as administrative agent, and each other lender party thereto;</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Windstream Existing Debt</w:t>
      </w:r>
      <w:r>
        <w:rPr>
          <w:color w:val="000000"/>
        </w:rPr>
        <w:t xml:space="preserve">” </w:t>
      </w:r>
      <w:r>
        <w:rPr>
          <w:rFonts w:ascii="Times New Roman;sans-serif" w:hAnsi="Times New Roman;sans-serif"/>
          <w:b w:val="false"/>
          <w:color w:val="000000"/>
          <w:sz w:val="22"/>
        </w:rPr>
        <w:t>means all Indebtedness outstanding under each of the Windstream Existing Debt Agreements on the Permitted Reorganization Effective Date.</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Windstream Existing Debt Agreements</w:t>
      </w:r>
      <w:r>
        <w:rPr>
          <w:color w:val="000000"/>
        </w:rPr>
        <w:t xml:space="preserve">” </w:t>
      </w:r>
      <w:r>
        <w:rPr>
          <w:rFonts w:ascii="Times New Roman;sans-serif" w:hAnsi="Times New Roman;sans-serif"/>
          <w:b w:val="false"/>
          <w:color w:val="000000"/>
          <w:sz w:val="22"/>
        </w:rPr>
        <w:t>means each of: (i) the Windstream Credit Agreement, (ii) that certain Indenture, dated as of August 25, 2020 (as supplemented by the First Supplemental Indenture, dated as of September 21, 2020, as supplemented by the Second Supplemental Indenture, dated as of September 18, 2024 and as further amended, restated, amended and restated, supplemented or otherwise modified, refinanced or replaced from time to time), by and among the Windstream Borrower, as issuer (the “</w:t>
      </w:r>
      <w:r>
        <w:rPr>
          <w:rFonts w:ascii="Times New Roman;sans-serif" w:hAnsi="Times New Roman;sans-serif"/>
          <w:b/>
          <w:color w:val="000000"/>
          <w:sz w:val="22"/>
        </w:rPr>
        <w:t>Issuer</w:t>
      </w:r>
      <w:r>
        <w:rPr>
          <w:color w:val="000000"/>
        </w:rPr>
        <w:t>”</w:t>
      </w:r>
      <w:r>
        <w:rPr>
          <w:rFonts w:ascii="Times New Roman;sans-serif" w:hAnsi="Times New Roman;sans-serif"/>
          <w:b w:val="false"/>
          <w:color w:val="000000"/>
          <w:sz w:val="22"/>
        </w:rPr>
        <w:t>), Windstream Escrow Finance Corp., a Delaware corporation, as co-issuer (the “</w:t>
      </w:r>
      <w:r>
        <w:rPr>
          <w:rFonts w:ascii="Times New Roman;sans-serif" w:hAnsi="Times New Roman;sans-serif"/>
          <w:b/>
          <w:color w:val="000000"/>
          <w:sz w:val="22"/>
        </w:rPr>
        <w:t>Co-Issuer</w:t>
      </w:r>
      <w:r>
        <w:rPr>
          <w:color w:val="000000"/>
        </w:rPr>
        <w:t xml:space="preserve">” </w:t>
      </w:r>
      <w:r>
        <w:rPr>
          <w:rFonts w:ascii="Times New Roman;sans-serif" w:hAnsi="Times New Roman;sans-serif"/>
          <w:b w:val="false"/>
          <w:color w:val="000000"/>
          <w:sz w:val="22"/>
        </w:rPr>
        <w:t>and, together with the Issuer, the “</w:t>
      </w:r>
      <w:r>
        <w:rPr>
          <w:rFonts w:ascii="Times New Roman;sans-serif" w:hAnsi="Times New Roman;sans-serif"/>
          <w:b/>
          <w:color w:val="000000"/>
          <w:sz w:val="22"/>
        </w:rPr>
        <w:t>Issuers</w:t>
      </w:r>
      <w:r>
        <w:rPr>
          <w:color w:val="000000"/>
        </w:rPr>
        <w:t>”</w:t>
      </w:r>
      <w:r>
        <w:rPr>
          <w:rFonts w:ascii="Times New Roman;sans-serif" w:hAnsi="Times New Roman;sans-serif"/>
          <w:b w:val="false"/>
          <w:color w:val="000000"/>
          <w:sz w:val="22"/>
        </w:rPr>
        <w:t>), the guarantors party thereto from time to time and Wilmington Trust, National Association (“</w:t>
      </w:r>
      <w:r>
        <w:rPr>
          <w:rFonts w:ascii="Times New Roman;sans-serif" w:hAnsi="Times New Roman;sans-serif"/>
          <w:b/>
          <w:color w:val="000000"/>
          <w:sz w:val="22"/>
        </w:rPr>
        <w:t>WTNA</w:t>
      </w:r>
      <w:r>
        <w:rPr>
          <w:color w:val="000000"/>
        </w:rPr>
        <w:t>”</w:t>
      </w:r>
      <w:r>
        <w:rPr>
          <w:rFonts w:ascii="Times New Roman;sans-serif" w:hAnsi="Times New Roman;sans-serif"/>
          <w:b w:val="false"/>
          <w:color w:val="000000"/>
          <w:sz w:val="22"/>
        </w:rPr>
        <w:t>), as Trustee and Notes Collateral Agent (each as defined therein), (iii) that certain Indenture, dated as of October 4, 2024 (as supplemented by the First Supplemental Indenture, dated as of December 23, 2024 and as further amended, restated, amended and restated, supplemented or otherwise modified, refinanced or replaced from time to time), by and among the Issuers, the guarantors party thereto from time to time and WTNA, as Trustee and Notes Collateral Agent (each as defined therein) and (iv) each other agreement evidencing Indebtedness of Windstream Holdings or any of its Restricted Subsidiaries (as such term is defined in the Windstream Credit Agreement) permitted to be incurred under the WIN Merger Agreement that is outstanding as of the Permitted Reorganization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53110"/>
                <wp:effectExtent l="0" t="0" r="0" b="0"/>
                <wp:wrapNone/>
                <wp:docPr id="61" name="Frame61"/>
                <a:graphic xmlns:a="http://schemas.openxmlformats.org/drawingml/2006/main">
                  <a:graphicData uri="http://schemas.microsoft.com/office/word/2010/wordprocessingShape">
                    <wps:wsp>
                      <wps:cNvSpPr txBox="1"/>
                      <wps:spPr>
                        <a:xfrm>
                          <a:off x="0" y="0"/>
                          <a:ext cx="6480175" cy="75311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color w:val="000000"/>
          <w:sz w:val="22"/>
        </w:rPr>
        <w:t>Windstream Holdings</w:t>
      </w:r>
      <w:r>
        <w:rPr>
          <w:color w:val="000000"/>
        </w:rPr>
        <w:t xml:space="preserve">” </w:t>
      </w:r>
      <w:r>
        <w:rPr>
          <w:rFonts w:ascii="Times New Roman;sans-serif" w:hAnsi="Times New Roman;sans-serif"/>
          <w:b w:val="false"/>
          <w:color w:val="000000"/>
          <w:sz w:val="22"/>
        </w:rPr>
        <w:t>has the meaning set forth in the definition of “Windstream Credit Agreement”.</w:t>
      </w:r>
    </w:p>
    <w:p>
      <w:pPr>
        <w:pStyle w:val="TextBody"/>
        <w:bidi w:val="0"/>
        <w:spacing w:lineRule="auto" w:line="288" w:before="0" w:after="240"/>
        <w:jc w:val="both"/>
        <w:rPr/>
      </w:pPr>
      <w:r>
        <w:rPr>
          <w:color w:val="000000"/>
        </w:rPr>
        <w:t>“</w:t>
      </w:r>
      <w:r>
        <w:rPr>
          <w:rFonts w:ascii="Times New Roman;sans-serif" w:hAnsi="Times New Roman;sans-serif"/>
          <w:b/>
          <w:color w:val="000000"/>
          <w:sz w:val="22"/>
        </w:rPr>
        <w:t>Windstream Parent Entity</w:t>
      </w:r>
      <w:r>
        <w:rPr>
          <w:color w:val="000000"/>
        </w:rPr>
        <w:t xml:space="preserve">” </w:t>
      </w:r>
      <w:r>
        <w:rPr>
          <w:rFonts w:ascii="Times New Roman;sans-serif" w:hAnsi="Times New Roman;sans-serif"/>
          <w:b w:val="false"/>
          <w:color w:val="000000"/>
          <w:sz w:val="22"/>
        </w:rPr>
        <w:t>means any direct or indirect parent of Windstream Holdings or the Windstream Borrower.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(b)Section 7.01 of the Credit Agreement is hereby amended to add a subsection 7.01(mm) as follows:</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2"/>
        </w:rPr>
        <w:t>on or after the Permitted Reorganization Effective Date, Liens securing Indebtedness of Parent, the Borrower and/or any Subsidiary (including, for the avoidance of doubt, Windstream Holdings and/or any of its Restricted Subsidiaries (as such term is defined in the Windstream Credit Agreement)) that is Windstream Existing Debt (including any Windstream Existing Debt assumed by Parent, the Borrower or any Subsidiary)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with respect to any Windstream Existing Debt incurred on or after the Amendment No. 10 Effective Date pursuant to a provision of the Windstream Existing Debt Agreements that was not in existence before the occurrence of the Amendment No. 10 Effective Date, such Windstream Existing Debt shall be permitted pursuant to this clause (x) of Section 7.01(mm) only if agreed to by the Required Lenders, </w:t>
      </w:r>
      <w:r>
        <w:rPr>
          <w:rFonts w:ascii="Times New Roman;sans-serif" w:hAnsi="Times New Roman;sans-serif"/>
          <w:b w:val="false"/>
          <w:i/>
          <w:color w:val="000000"/>
          <w:sz w:val="22"/>
        </w:rPr>
        <w:t>provided further,</w:t>
      </w:r>
      <w:r>
        <w:rPr>
          <w:color w:val="000000"/>
        </w:rPr>
        <w:t xml:space="preserve"> </w:t>
      </w:r>
      <w:r>
        <w:rPr>
          <w:rFonts w:ascii="Times New Roman;sans-serif" w:hAnsi="Times New Roman;sans-serif"/>
          <w:b w:val="false"/>
          <w:color w:val="000000"/>
          <w:sz w:val="22"/>
        </w:rPr>
        <w:t>that such Liens on the Collateral shall be subject to the Intercreditor Agreement or a Second Lien Intercreditor Agreement, as applicable);”</w:t>
      </w:r>
    </w:p>
    <w:p>
      <w:pPr>
        <w:pStyle w:val="TextBody"/>
        <w:bidi w:val="0"/>
        <w:spacing w:lineRule="auto" w:line="288" w:before="0" w:after="240"/>
        <w:ind w:left="0" w:right="0" w:firstLine="60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Conditions Precedent to Effectiveness of the Amendments</w:t>
      </w:r>
      <w:r>
        <w:rPr>
          <w:rFonts w:ascii="Times New Roman;sans-serif" w:hAnsi="Times New Roman;sans-serif"/>
          <w:b w:val="false"/>
          <w:color w:val="000000"/>
          <w:sz w:val="22"/>
        </w:rPr>
        <w:t>. The amendments set forth in Section 1 hereof shall become effective on the date (the “</w:t>
      </w:r>
      <w:r>
        <w:rPr>
          <w:rFonts w:ascii="Times New Roman;sans-serif" w:hAnsi="Times New Roman;sans-serif"/>
          <w:b w:val="false"/>
          <w:color w:val="000000"/>
          <w:sz w:val="22"/>
          <w:u w:val="single"/>
        </w:rPr>
        <w:t>Amendment No. 10 Effective Date</w:t>
      </w:r>
      <w:r>
        <w:rPr>
          <w:color w:val="000000"/>
        </w:rPr>
        <w:t>”</w:t>
      </w:r>
      <w:r>
        <w:rPr>
          <w:rFonts w:ascii="Times New Roman;sans-serif" w:hAnsi="Times New Roman;sans-serif"/>
          <w:b w:val="false"/>
          <w:color w:val="000000"/>
          <w:sz w:val="22"/>
        </w:rPr>
        <w:t>) when the Administrative Agent shall have received a counterpart signature page of this Amendment No. 10 duly executed by each of the Parent Guarantor, the Borrowers, the Guarantors, the Administrative Agent and Lenders constituting the Required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Each Loan Party represents and warrants to the Administrative Agent and the Lenders as of the Amendment No. 10 Effective Date:</w:t>
      </w:r>
    </w:p>
    <w:p>
      <w:pPr>
        <w:pStyle w:val="TextBody"/>
        <w:bidi w:val="0"/>
        <w:spacing w:lineRule="auto" w:line="288" w:before="0" w:after="240"/>
        <w:jc w:val="both"/>
        <w:rPr/>
      </w:pPr>
      <w:r>
        <w:rPr>
          <w:rFonts w:ascii="Times New Roman;sans-serif" w:hAnsi="Times New Roman;sans-serif"/>
          <w:b w:val="false"/>
          <w:color w:val="000000"/>
          <w:sz w:val="22"/>
        </w:rPr>
        <w:t xml:space="preserve">(i)        the representations and warranties of each Loan Party contained in Article 5 of the Credit Agreement and in each other Loan Document (including, for the avoidance of doubt, this Amendment No. 10) are true and correct in all material respects as of the date hereof (except to the extent that such representations and warranties specifically refer to an earlier date, in which case they were true and correct as of such earlier date);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to the extent that such representations and warranties are qualified by materiality, material adverse effect or similar language, they are true and correct in all respects;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(ii)    no Default or Event of Default exists or will result from this Amendment No. 10; and</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this Amendment No. 10 has been duly authorized, executed and delivered by each Loan Party and each of this Amendment No. 10 and the Credit Agreement, as amended, extended or otherwise modified hereby, constitutes a legal, valid and binding obligation of each such Loan Party, enforceable against each such Loan Party in accordance with its terms, except as such enforceability may be limited by Debtor Relief Laws and by general principles of equity.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53110"/>
                <wp:effectExtent l="0" t="0" r="0" b="0"/>
                <wp:wrapNone/>
                <wp:docPr id="62" name="Frame62"/>
                <a:graphic xmlns:a="http://schemas.openxmlformats.org/drawingml/2006/main">
                  <a:graphicData uri="http://schemas.microsoft.com/office/word/2010/wordprocessingShape">
                    <wps:wsp>
                      <wps:cNvSpPr txBox="1"/>
                      <wps:spPr>
                        <a:xfrm>
                          <a:off x="0" y="0"/>
                          <a:ext cx="6480175" cy="75311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Borrowers agree to pay all reasonable and documented out-of-pocket costs and expenses of the Administrative Agent (including the reasonable and documented fees and expenses of Cahill Gordon &amp; Reindel LLP, counsel to the Administrative Agent) in connection with the preparation, execution, delivery and administration of this Amendment No. 10, the other instruments and documents to be delivered hereunder and related matters with respect to the Loan Documents and transactions contemplated 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5.     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AMENDMENT NO. 10 SHALL BE GOVERNED BY AND CONSTRUED IN ACCORDANCE WITH THE LAW OF THE STATE OF NEW YORK.</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2"/>
        </w:rPr>
        <w:t xml:space="preserve">6.     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Amendment No. 10 may be signed in any number of counterparts, each of which shall be an original, with the same effect as if the signatures thereto and hereto were upon the same instrument. This Amendment No. 10 may be in the form of an Electronic Record and may be executed using Electronic Signatures (including, without limitation, facsimile and .pdf) and shall be considered an original, and shall have the same legal effect, validity and enforceability as a paper record.  This Amendment No. 10 may be executed in as many counterparts as necessary or convenient, including both paper and electronic counterparts, but all such counterparts are one and the same Amendment No. 10.  For the avoidance of doubt, the authorization under this paragraph may include, without limitation, use or acceptance by the Extended Revolving Credit Lenders of a manually signed paper Communication which has been converted into electronic form (such as scanned into PDF format), or an electronically signed Communication converted into another format, for transmission, delivery and/or retention.</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WAIVER OF RIGHT OF TRIAL BY JURY</w:t>
      </w:r>
      <w:r>
        <w:rPr>
          <w:rFonts w:ascii="Times New Roman;sans-serif" w:hAnsi="Times New Roman;sans-serif"/>
          <w:b w:val="false"/>
          <w:color w:val="000000"/>
          <w:sz w:val="22"/>
        </w:rPr>
        <w:t xml:space="preserve">. SECTION 10.16 OF THE CREDIT AGREEMENT IS INCORPORATED HEREIN BY REFERENCE,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Effect of Amendment No. 10</w:t>
      </w:r>
      <w:r>
        <w:rPr>
          <w:rFonts w:ascii="Times New Roman;sans-serif" w:hAnsi="Times New Roman;sans-serif"/>
          <w:b w:val="false"/>
          <w:color w:val="000000"/>
          <w:sz w:val="22"/>
        </w:rPr>
        <w:t xml:space="preserve">. Except as expressly set forth herein, (i) this Amendment No. 10 (including, without limitation, the occurrence of the Amendment No. 10 Effective Date) shall not by implication or otherwise limit, impair, constitute a waiver of (including, without limitation, any Default or Event of Default) or otherwise affect the rights and remedies of the Lenders, the Administrative Agent or any other Agent,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Each and every term, condition, obligation, covenant and agreement contained in the Credit Agreement or any other Loan Document, is hereby ratified and re-affirmed in all respects and shall continue in full force and effect as amended, extended or otherwise modified hereby.  This Amendment No. 10 shall constitute a Loan Document and a Loan Extension Agreement for all purposes and from and after the Amendment No. 10 Effective Date, all references to the Credit Agreement in any Loan Document and all references in the Credit Agreement to “this Agreement”, “hereunder”, “hereof” or words of like import referring to the Credit Agreement, shall, unless expressly provided otherwise, refer to the Credit Agreement as amended, extended or otherwise modified hereby.  </w:t>
      </w:r>
    </w:p>
    <w:p>
      <w:pPr>
        <w:pStyle w:val="TextBody"/>
        <w:bidi w:val="0"/>
        <w:spacing w:lineRule="auto" w:line="288" w:before="180" w:after="283"/>
        <w:jc w:val="center"/>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53110"/>
                <wp:effectExtent l="0" t="0" r="0" b="0"/>
                <wp:wrapNone/>
                <wp:docPr id="63" name="Frame63"/>
                <a:graphic xmlns:a="http://schemas.openxmlformats.org/drawingml/2006/main">
                  <a:graphicData uri="http://schemas.microsoft.com/office/word/2010/wordprocessingShape">
                    <wps:wsp>
                      <wps:cNvSpPr txBox="1"/>
                      <wps:spPr>
                        <a:xfrm>
                          <a:off x="0" y="0"/>
                          <a:ext cx="6480175" cy="75311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Amendment No. 10 to be duly executed as of the date first above written.</w:t>
      </w:r>
    </w:p>
    <w:tbl>
      <w:tblPr>
        <w:tblW w:w="7233" w:type="dxa"/>
        <w:jc w:val="left"/>
        <w:tblInd w:w="0" w:type="dxa"/>
        <w:tblLayout w:type="fixed"/>
        <w:tblCellMar>
          <w:top w:w="28" w:type="dxa"/>
          <w:left w:w="28" w:type="dxa"/>
          <w:bottom w:w="28" w:type="dxa"/>
          <w:right w:w="28" w:type="dxa"/>
        </w:tblCellMar>
      </w:tblPr>
      <w:tblGrid>
        <w:gridCol w:w="365"/>
        <w:gridCol w:w="322"/>
        <w:gridCol w:w="322"/>
        <w:gridCol w:w="1817"/>
        <w:gridCol w:w="1817"/>
        <w:gridCol w:w="2590"/>
      </w:tblGrid>
      <w:tr>
        <w:trPr/>
        <w:tc>
          <w:tcPr>
            <w:tcW w:w="3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r>
      <w:tr>
        <w:trPr/>
        <w:tc>
          <w:tcPr>
            <w:tcW w:w="72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UNITI GROUP INC.</w:t>
            </w:r>
          </w:p>
        </w:tc>
      </w:tr>
      <w:tr>
        <w:trPr/>
        <w:tc>
          <w:tcPr>
            <w:tcW w:w="72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bl>
    <w:p>
      <w:pPr>
        <w:pStyle w:val="TextBody"/>
        <w:bidi w:val="0"/>
        <w:spacing w:lineRule="auto" w:line="288" w:before="0" w:after="0"/>
        <w:jc w:val="left"/>
        <w:rPr>
          <w:color w:val="000000"/>
        </w:rPr>
      </w:pPr>
      <w:r>
        <w:rPr>
          <w:color w:val="000000"/>
        </w:rPr>
        <w:t>                        </w:t>
      </w:r>
    </w:p>
    <w:tbl>
      <w:tblPr>
        <w:tblW w:w="8282" w:type="dxa"/>
        <w:jc w:val="left"/>
        <w:tblInd w:w="0" w:type="dxa"/>
        <w:tblLayout w:type="fixed"/>
        <w:tblCellMar>
          <w:top w:w="28" w:type="dxa"/>
          <w:left w:w="28" w:type="dxa"/>
          <w:bottom w:w="28" w:type="dxa"/>
          <w:right w:w="28" w:type="dxa"/>
        </w:tblCellMar>
      </w:tblPr>
      <w:tblGrid>
        <w:gridCol w:w="746"/>
        <w:gridCol w:w="656"/>
        <w:gridCol w:w="656"/>
        <w:gridCol w:w="1817"/>
        <w:gridCol w:w="1817"/>
        <w:gridCol w:w="2590"/>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r>
      <w:tr>
        <w:trPr/>
        <w:tc>
          <w:tcPr>
            <w:tcW w:w="82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UNITI GROUP LP</w:t>
            </w:r>
          </w:p>
        </w:tc>
      </w:tr>
      <w:tr>
        <w:trPr/>
        <w:tc>
          <w:tcPr>
            <w:tcW w:w="828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UNITI GROUP INC., its general partner</w:t>
            </w:r>
          </w:p>
        </w:tc>
      </w:tr>
      <w:tr>
        <w:trPr/>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bl>
    <w:p>
      <w:pPr>
        <w:pStyle w:val="TextBody"/>
        <w:bidi w:val="0"/>
        <w:spacing w:lineRule="auto" w:line="288" w:before="0" w:after="0"/>
        <w:jc w:val="left"/>
        <w:rPr>
          <w:color w:val="000000"/>
        </w:rPr>
      </w:pPr>
      <w:r>
        <w:rPr>
          <w:color w:val="000000"/>
        </w:rPr>
        <w:t>                        </w:t>
      </w:r>
    </w:p>
    <w:tbl>
      <w:tblPr>
        <w:tblW w:w="7988" w:type="dxa"/>
        <w:jc w:val="left"/>
        <w:tblInd w:w="0" w:type="dxa"/>
        <w:tblLayout w:type="fixed"/>
        <w:tblCellMar>
          <w:top w:w="28" w:type="dxa"/>
          <w:left w:w="28" w:type="dxa"/>
          <w:bottom w:w="28" w:type="dxa"/>
          <w:right w:w="28" w:type="dxa"/>
        </w:tblCellMar>
      </w:tblPr>
      <w:tblGrid>
        <w:gridCol w:w="640"/>
        <w:gridCol w:w="562"/>
        <w:gridCol w:w="562"/>
        <w:gridCol w:w="1818"/>
        <w:gridCol w:w="1818"/>
        <w:gridCol w:w="2588"/>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r>
      <w:tr>
        <w:trPr/>
        <w:tc>
          <w:tcPr>
            <w:tcW w:w="79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UNITI GROUP FINANCE 2019 INC.</w:t>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bl>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554"/>
        <w:gridCol w:w="486"/>
        <w:gridCol w:w="486"/>
        <w:gridCol w:w="1813"/>
        <w:gridCol w:w="1813"/>
        <w:gridCol w:w="2599"/>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r>
      <w:tr>
        <w:trPr/>
        <w:tc>
          <w:tcPr>
            <w:tcW w:w="77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UNITI FIBER HOLDINGS INC.</w:t>
            </w:r>
          </w:p>
        </w:tc>
      </w:tr>
      <w:tr>
        <w:trPr/>
        <w:tc>
          <w:tcPr>
            <w:tcW w:w="77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67665"/>
                <wp:effectExtent l="0" t="0" r="0" b="0"/>
                <wp:wrapNone/>
                <wp:docPr id="64" name="Frame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ind w:left="0" w:right="0" w:hanging="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7232" w:type="dxa"/>
        <w:jc w:val="left"/>
        <w:tblInd w:w="0" w:type="dxa"/>
        <w:tblLayout w:type="fixed"/>
        <w:tblCellMar>
          <w:top w:w="28" w:type="dxa"/>
          <w:left w:w="28" w:type="dxa"/>
          <w:bottom w:w="28" w:type="dxa"/>
          <w:right w:w="28" w:type="dxa"/>
        </w:tblCellMar>
      </w:tblPr>
      <w:tblGrid>
        <w:gridCol w:w="366"/>
        <w:gridCol w:w="321"/>
        <w:gridCol w:w="321"/>
        <w:gridCol w:w="1809"/>
        <w:gridCol w:w="1809"/>
        <w:gridCol w:w="2606"/>
      </w:tblGrid>
      <w:tr>
        <w:trPr/>
        <w:tc>
          <w:tcPr>
            <w:tcW w:w="3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72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CSL CAPITAL, LLC</w:t>
            </w:r>
          </w:p>
        </w:tc>
      </w:tr>
      <w:tr>
        <w:trPr/>
        <w:tc>
          <w:tcPr>
            <w:tcW w:w="72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67665"/>
                <wp:effectExtent l="0" t="0" r="0" b="0"/>
                <wp:wrapNone/>
                <wp:docPr id="65" name="Frame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ind w:left="0" w:right="0" w:hanging="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CONTACT NETWORK,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NATIONAL GP,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ALABAMA SYSTEM,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ARKANSAS SYSTEM,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FLORIDA SYSTEM,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KENTUCKY SYSTEM,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IOWA SYSTEM,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MISSISSIPPI SYSTEM,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MISSOURI SYSTEM,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NEW MEXICO SYSTEM,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OHIO SYSTEM,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OKLAHOMA SYSTEM,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REALTY,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TEXAS SYSTEM,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NORTH CAROLINA REALTY GP,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TENNESSEE REALTY PARTNER,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TENNESSEE REALTY,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HUNT TELECOMMUNICATIONS,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INFORMATION TRANSPORT SOLUTIONS,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NEXUS SYSTEMS,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PEG BANDWIDTH DC, LLC</w:t>
        <w:br/>
        <w:t>PEG BANDWIDTH DE, LLC</w:t>
        <w:br/>
        <w:t>PEG BANDWIDTH LA, LLC</w:t>
        <w:br/>
        <w:t>PEG BANDWIDTH MS, LLC</w:t>
        <w:br/>
        <w:t>PEG BANDWIDTH TX, LLC</w:t>
        <w:br/>
        <w:t>PEG BANDWIDTH VA,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UNITI DARK FIBER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UNITI FIBER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UNITI GROUP HOLDCO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UNITI LEASING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UNITI LEASING X LLC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UNITI LEASING XI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UNITI LEASING XII LLC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UNITI TOWERS NMS HOLDINGS LLC,</w:t>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each as a Guarantor</w:t>
      </w:r>
    </w:p>
    <w:tbl>
      <w:tblPr>
        <w:tblW w:w="6674" w:type="dxa"/>
        <w:jc w:val="left"/>
        <w:tblInd w:w="0" w:type="dxa"/>
        <w:tblLayout w:type="fixed"/>
        <w:tblCellMar>
          <w:top w:w="28" w:type="dxa"/>
          <w:left w:w="28" w:type="dxa"/>
          <w:bottom w:w="28" w:type="dxa"/>
          <w:right w:w="28" w:type="dxa"/>
        </w:tblCellMar>
      </w:tblPr>
      <w:tblGrid>
        <w:gridCol w:w="162"/>
        <w:gridCol w:w="143"/>
        <w:gridCol w:w="145"/>
        <w:gridCol w:w="1821"/>
        <w:gridCol w:w="1821"/>
        <w:gridCol w:w="2582"/>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r>
      <w:tr>
        <w:trPr/>
        <w:tc>
          <w:tcPr>
            <w:tcW w:w="66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0"/>
              <w:ind w:left="0" w:right="0" w:hanging="720"/>
              <w:jc w:val="left"/>
              <w:rPr/>
            </w:pPr>
            <w:r>
              <w:rPr/>
            </w:r>
          </w:p>
        </w:tc>
      </w:tr>
    </w:tbl>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67665"/>
                <wp:effectExtent l="0" t="0" r="0" b="0"/>
                <wp:wrapNone/>
                <wp:docPr id="66" name="Frame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ind w:left="0" w:right="0" w:hanging="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5"/>
        <w:gridCol w:w="286"/>
        <w:gridCol w:w="286"/>
        <w:gridCol w:w="535"/>
        <w:gridCol w:w="532"/>
        <w:gridCol w:w="530"/>
        <w:gridCol w:w="531"/>
        <w:gridCol w:w="530"/>
        <w:gridCol w:w="530"/>
        <w:gridCol w:w="1778"/>
        <w:gridCol w:w="1778"/>
        <w:gridCol w:w="2564"/>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NATIONAL, LP, as a Guarantor</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CSL NATIONAL GP, LLC, as its general partner</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20"/>
        <w:gridCol w:w="369"/>
        <w:gridCol w:w="369"/>
        <w:gridCol w:w="667"/>
        <w:gridCol w:w="609"/>
        <w:gridCol w:w="609"/>
        <w:gridCol w:w="619"/>
        <w:gridCol w:w="609"/>
        <w:gridCol w:w="609"/>
        <w:gridCol w:w="1607"/>
        <w:gridCol w:w="1607"/>
        <w:gridCol w:w="2111"/>
      </w:tblGrid>
      <w:tr>
        <w:trPr/>
        <w:tc>
          <w:tcPr>
            <w:tcW w:w="4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NORTH CAROLINA REALTY, LP, as a Guarantor</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CSL NORTH CAROLINA REALTY GP, LLC, as its general partner</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9"/>
        <w:gridCol w:w="368"/>
        <w:gridCol w:w="368"/>
        <w:gridCol w:w="668"/>
        <w:gridCol w:w="610"/>
        <w:gridCol w:w="610"/>
        <w:gridCol w:w="619"/>
        <w:gridCol w:w="610"/>
        <w:gridCol w:w="610"/>
        <w:gridCol w:w="1609"/>
        <w:gridCol w:w="1609"/>
        <w:gridCol w:w="2105"/>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NORTH CAROLINA SYSTEM, LP, as a Guarantor</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CSL NORTH CAROLINA REALTY GP, LLC, as its general partner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67665"/>
                <wp:effectExtent l="0" t="0" r="0" b="0"/>
                <wp:wrapNone/>
                <wp:docPr id="67" name="Frame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ind w:left="0" w:right="0" w:hanging="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5"/>
        <w:gridCol w:w="294"/>
        <w:gridCol w:w="294"/>
        <w:gridCol w:w="546"/>
        <w:gridCol w:w="542"/>
        <w:gridCol w:w="538"/>
        <w:gridCol w:w="540"/>
        <w:gridCol w:w="538"/>
        <w:gridCol w:w="538"/>
        <w:gridCol w:w="1771"/>
        <w:gridCol w:w="1771"/>
        <w:gridCol w:w="2498"/>
      </w:tblGrid>
      <w:tr>
        <w:trPr/>
        <w:tc>
          <w:tcPr>
            <w:tcW w:w="3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UNITI HOLDINGS LP, as a Guarantor</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UNITI HOLDINGS GP LLC, as its general partner</w:t>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bl>
    <w:p>
      <w:pPr>
        <w:pStyle w:val="TextBody"/>
        <w:bidi w:val="0"/>
        <w:spacing w:before="0" w:after="0"/>
        <w:jc w:val="left"/>
        <w:rPr/>
      </w:pPr>
      <w:r>
        <w:rPr/>
      </w:r>
    </w:p>
    <w:tbl>
      <w:tblPr>
        <w:tblW w:w="10195" w:type="dxa"/>
        <w:jc w:val="left"/>
        <w:tblInd w:w="0" w:type="dxa"/>
        <w:tblLayout w:type="fixed"/>
        <w:tblCellMar>
          <w:top w:w="28" w:type="dxa"/>
          <w:left w:w="28" w:type="dxa"/>
          <w:bottom w:w="28" w:type="dxa"/>
          <w:right w:w="28" w:type="dxa"/>
        </w:tblCellMar>
      </w:tblPr>
      <w:tblGrid>
        <w:gridCol w:w="311"/>
        <w:gridCol w:w="273"/>
        <w:gridCol w:w="273"/>
        <w:gridCol w:w="519"/>
        <w:gridCol w:w="519"/>
        <w:gridCol w:w="519"/>
        <w:gridCol w:w="519"/>
        <w:gridCol w:w="519"/>
        <w:gridCol w:w="519"/>
        <w:gridCol w:w="1823"/>
        <w:gridCol w:w="1823"/>
        <w:gridCol w:w="2578"/>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r>
      <w:tr>
        <w:trPr/>
        <w:tc>
          <w:tcPr>
            <w:tcW w:w="10195"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UNITI LATAM LP, as a Guarantor</w:t>
            </w:r>
          </w:p>
        </w:tc>
      </w:tr>
      <w:tr>
        <w:trPr/>
        <w:tc>
          <w:tcPr>
            <w:tcW w:w="1019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UNITI LATAM GP LLC, as its general partner</w:t>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9"/>
        <w:gridCol w:w="325"/>
        <w:gridCol w:w="325"/>
        <w:gridCol w:w="545"/>
        <w:gridCol w:w="545"/>
        <w:gridCol w:w="545"/>
        <w:gridCol w:w="549"/>
        <w:gridCol w:w="545"/>
        <w:gridCol w:w="545"/>
        <w:gridCol w:w="1735"/>
        <w:gridCol w:w="1735"/>
        <w:gridCol w:w="2442"/>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UNITI QRS HOLDINGS LP, as a Guarantor</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UNITI QRS Holdings GP LLC, as its general partner</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bl>
    <w:p>
      <w:pPr>
        <w:pStyle w:val="TextBody"/>
        <w:bidi w:val="0"/>
        <w:spacing w:before="0" w:after="180"/>
        <w:ind w:left="0" w:right="0" w:firstLine="720"/>
        <w:jc w:val="left"/>
        <w:rPr/>
      </w:pPr>
      <w:r>
        <w:rPr/>
      </w:r>
    </w:p>
    <w:p>
      <w:pPr>
        <w:pStyle w:val="TextBody"/>
        <w:bidi w:val="0"/>
        <w:spacing w:before="0" w:after="18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67665"/>
                <wp:effectExtent l="0" t="0" r="0" b="0"/>
                <wp:wrapNone/>
                <wp:docPr id="68" name="Frame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ind w:left="0" w:right="0" w:hanging="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tbl>
      <w:tblPr>
        <w:tblW w:w="8428" w:type="dxa"/>
        <w:jc w:val="left"/>
        <w:tblInd w:w="0" w:type="dxa"/>
        <w:tblLayout w:type="fixed"/>
        <w:tblCellMar>
          <w:top w:w="28" w:type="dxa"/>
          <w:left w:w="28" w:type="dxa"/>
          <w:bottom w:w="28" w:type="dxa"/>
          <w:right w:w="28" w:type="dxa"/>
        </w:tblCellMar>
      </w:tblPr>
      <w:tblGrid>
        <w:gridCol w:w="799"/>
        <w:gridCol w:w="702"/>
        <w:gridCol w:w="702"/>
        <w:gridCol w:w="1820"/>
        <w:gridCol w:w="1820"/>
        <w:gridCol w:w="2585"/>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r>
      <w:tr>
        <w:trPr/>
        <w:tc>
          <w:tcPr>
            <w:tcW w:w="842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UNITI GROUP FINANCE INC.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UNITI NATIONAL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UINITI FIBER 2020 LLC</w:t>
              <w:br/>
              <w:t>SOUTHERN LIGHT,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ANS CONNECT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GEORGIA REALTY,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CSL GEORGIA SYSTEM,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PEG BANDWIDTH MA,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PEG BANDWIDTH MD,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PEG BANDWIDTH NJ,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PEG BANDWIDTH PA, LLC</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PEG BANDWIDTH NY TELEPHONE CORP., </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each as a Guarantor</w:t>
            </w:r>
          </w:p>
        </w:tc>
      </w:tr>
      <w:tr>
        <w:trPr/>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Daniel Heard</w:t>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Daniel Heard</w:t>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Title:    Executive Vice President, General Counsel and Secretary</w:t>
            </w:r>
          </w:p>
        </w:tc>
      </w:tr>
    </w:tbl>
    <w:p>
      <w:pPr>
        <w:pStyle w:val="TextBody"/>
        <w:bidi w:val="0"/>
        <w:spacing w:before="0" w:after="0"/>
        <w:jc w:val="left"/>
        <w:rPr/>
      </w:pPr>
      <w:r>
        <w:rPr/>
      </w:r>
    </w:p>
    <w:p>
      <w:pPr>
        <w:pStyle w:val="TextBody"/>
        <w:bidi w:val="0"/>
        <w:spacing w:before="0" w:after="180"/>
        <w:ind w:left="0" w:right="0" w:firstLine="720"/>
        <w:jc w:val="left"/>
        <w:rPr/>
      </w:pPr>
      <w:r>
        <w:rPr/>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67665"/>
                <wp:effectExtent l="0" t="0" r="0" b="0"/>
                <wp:wrapNone/>
                <wp:docPr id="69" name="Frame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ind w:left="0" w:right="0" w:hanging="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4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6465" w:type="dxa"/>
        <w:jc w:val="left"/>
        <w:tblInd w:w="0" w:type="dxa"/>
        <w:tblLayout w:type="fixed"/>
        <w:tblCellMar>
          <w:top w:w="28" w:type="dxa"/>
          <w:left w:w="28" w:type="dxa"/>
          <w:bottom w:w="28" w:type="dxa"/>
          <w:right w:w="28" w:type="dxa"/>
        </w:tblCellMar>
      </w:tblPr>
      <w:tblGrid>
        <w:gridCol w:w="618"/>
        <w:gridCol w:w="544"/>
        <w:gridCol w:w="544"/>
        <w:gridCol w:w="965"/>
        <w:gridCol w:w="965"/>
        <w:gridCol w:w="965"/>
        <w:gridCol w:w="544"/>
        <w:gridCol w:w="544"/>
        <w:gridCol w:w="77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6465" w:type="dxa"/>
            <w:gridSpan w:val="9"/>
            <w:tcBorders/>
            <w:tcMar>
              <w:top w:w="0" w:type="dxa"/>
              <w:left w:w="0" w:type="dxa"/>
              <w:bottom w:w="0" w:type="dxa"/>
              <w:right w:w="0" w:type="dxa"/>
            </w:tcMar>
            <w:vAlign w:val="center"/>
          </w:tcPr>
          <w:p>
            <w:pPr>
              <w:pStyle w:val="TableContents"/>
              <w:bidi w:val="0"/>
              <w:spacing w:lineRule="auto" w:line="288" w:before="0" w:after="48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 as Administrative Agent</w:t>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7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Elizabeth Uribe</w:t>
            </w:r>
          </w:p>
        </w:tc>
      </w:tr>
      <w:tr>
        <w:trPr/>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Elizabeth Uribe</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Assistant Vice President</w:t>
            </w:r>
          </w:p>
        </w:tc>
        <w:tc>
          <w:tcPr>
            <w:tcW w:w="18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67665"/>
                <wp:effectExtent l="0" t="0" r="0" b="0"/>
                <wp:wrapNone/>
                <wp:docPr id="70" name="Frame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8033" w:type="dxa"/>
        <w:jc w:val="left"/>
        <w:tblInd w:w="0" w:type="dxa"/>
        <w:tblLayout w:type="fixed"/>
        <w:tblCellMar>
          <w:top w:w="28" w:type="dxa"/>
          <w:left w:w="28" w:type="dxa"/>
          <w:bottom w:w="28" w:type="dxa"/>
          <w:right w:w="28" w:type="dxa"/>
        </w:tblCellMar>
      </w:tblPr>
      <w:tblGrid>
        <w:gridCol w:w="957"/>
        <w:gridCol w:w="841"/>
        <w:gridCol w:w="841"/>
        <w:gridCol w:w="841"/>
        <w:gridCol w:w="841"/>
        <w:gridCol w:w="841"/>
        <w:gridCol w:w="841"/>
        <w:gridCol w:w="841"/>
        <w:gridCol w:w="1189"/>
      </w:tblGrid>
      <w:tr>
        <w:trPr/>
        <w:tc>
          <w:tcPr>
            <w:tcW w:w="95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8033" w:type="dxa"/>
            <w:gridSpan w:val="9"/>
            <w:tcBorders/>
            <w:tcMar>
              <w:top w:w="0" w:type="dxa"/>
              <w:left w:w="0" w:type="dxa"/>
              <w:bottom w:w="0" w:type="dxa"/>
              <w:right w:w="0" w:type="dxa"/>
            </w:tcMar>
            <w:vAlign w:val="center"/>
          </w:tcPr>
          <w:p>
            <w:pPr>
              <w:pStyle w:val="TableContents"/>
              <w:bidi w:val="0"/>
              <w:spacing w:lineRule="auto" w:line="288" w:before="0" w:after="48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 as a Lender, the Swing Line Lender and the L/C Issuer</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3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Marie Harrison</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Marie Harrison</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c>
          <w:tcPr>
            <w:tcW w:w="28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67665"/>
                <wp:effectExtent l="0" t="0" r="0" b="0"/>
                <wp:wrapNone/>
                <wp:docPr id="71" name="Frame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67665"/>
                <wp:effectExtent l="0" t="0" r="0" b="0"/>
                <wp:wrapNone/>
                <wp:docPr id="72" name="Frame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BARCAYS BANK PLC, as a Lender</w:t>
      </w:r>
    </w:p>
    <w:p>
      <w:pPr>
        <w:pStyle w:val="TextBody"/>
        <w:bidi w:val="0"/>
        <w:spacing w:lineRule="auto" w:line="288" w:before="0" w:after="0"/>
        <w:jc w:val="left"/>
        <w:rPr/>
      </w:pPr>
      <w:r>
        <w:rPr>
          <w:rFonts w:ascii="Times New Roman;sans-serif" w:hAnsi="Times New Roman;sans-serif"/>
          <w:b w:val="false"/>
          <w:color w:val="000000"/>
          <w:sz w:val="22"/>
        </w:rPr>
        <w:t>By:    </w:t>
      </w:r>
      <w:r>
        <w:rPr>
          <w:color w:val="000000"/>
          <w:u w:val="single"/>
        </w:rPr>
        <w:t>    </w:t>
      </w:r>
      <w:r>
        <w:rPr>
          <w:rFonts w:ascii="Times New Roman;sans-serif" w:hAnsi="Times New Roman;sans-serif"/>
          <w:b w:val="false"/>
          <w:color w:val="000000"/>
          <w:sz w:val="22"/>
          <w:u w:val="single"/>
        </w:rPr>
        <w:t>/s/ Nicholas Sibayan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Name:    Nicholas Sibayan</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67665"/>
                <wp:effectExtent l="0" t="0" r="0" b="0"/>
                <wp:wrapNone/>
                <wp:docPr id="73" name="Frame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Citicorp North America, Inc, as a Lender</w:t>
      </w:r>
    </w:p>
    <w:p>
      <w:pPr>
        <w:pStyle w:val="TextBody"/>
        <w:bidi w:val="0"/>
        <w:spacing w:lineRule="auto" w:line="288" w:before="0" w:after="0"/>
        <w:jc w:val="left"/>
        <w:rPr/>
      </w:pPr>
      <w:r>
        <w:rPr>
          <w:rFonts w:ascii="Times New Roman;sans-serif" w:hAnsi="Times New Roman;sans-serif"/>
          <w:b w:val="false"/>
          <w:color w:val="000000"/>
          <w:sz w:val="22"/>
        </w:rPr>
        <w:t>By:    </w:t>
      </w:r>
      <w:r>
        <w:rPr>
          <w:color w:val="000000"/>
          <w:u w:val="single"/>
        </w:rPr>
        <w:t>    </w:t>
      </w:r>
      <w:r>
        <w:rPr>
          <w:rFonts w:ascii="Times New Roman;sans-serif" w:hAnsi="Times New Roman;sans-serif"/>
          <w:b w:val="false"/>
          <w:color w:val="000000"/>
          <w:sz w:val="22"/>
          <w:u w:val="single"/>
        </w:rPr>
        <w:t>/s/ Ioannis Theocharis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Name:    Ioannis Theocharis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7665"/>
                <wp:effectExtent l="0" t="0" r="0" b="0"/>
                <wp:wrapNone/>
                <wp:docPr id="74" name="Frame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 as a Lender</w:t>
      </w:r>
    </w:p>
    <w:p>
      <w:pPr>
        <w:pStyle w:val="TextBody"/>
        <w:bidi w:val="0"/>
        <w:spacing w:lineRule="auto" w:line="288" w:before="0" w:after="0"/>
        <w:jc w:val="left"/>
        <w:rPr/>
      </w:pPr>
      <w:r>
        <w:rPr>
          <w:rFonts w:ascii="Times New Roman;sans-serif" w:hAnsi="Times New Roman;sans-serif"/>
          <w:b w:val="false"/>
          <w:color w:val="000000"/>
          <w:sz w:val="22"/>
        </w:rPr>
        <w:t>By:    </w:t>
      </w:r>
      <w:r>
        <w:rPr>
          <w:color w:val="000000"/>
          <w:u w:val="single"/>
        </w:rPr>
        <w:t>    </w:t>
      </w:r>
      <w:r>
        <w:rPr>
          <w:rFonts w:ascii="Times New Roman;sans-serif" w:hAnsi="Times New Roman;sans-serif"/>
          <w:b w:val="false"/>
          <w:color w:val="000000"/>
          <w:sz w:val="22"/>
          <w:u w:val="single"/>
        </w:rPr>
        <w:t>/s/ Philip Tancorra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Name:    Philip Tancorra</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Title:    Director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    </w:t>
      </w:r>
      <w:r>
        <w:rPr>
          <w:color w:val="000000"/>
          <w:u w:val="single"/>
        </w:rPr>
        <w:t>    </w:t>
      </w:r>
      <w:r>
        <w:rPr>
          <w:rFonts w:ascii="Times New Roman;sans-serif" w:hAnsi="Times New Roman;sans-serif"/>
          <w:b w:val="false"/>
          <w:color w:val="000000"/>
          <w:sz w:val="22"/>
          <w:u w:val="single"/>
        </w:rPr>
        <w:t>/s/ Suzan Onal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Name:    Suzan Onal</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Title:    Director</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67665"/>
                <wp:effectExtent l="0" t="0" r="0" b="0"/>
                <wp:wrapNone/>
                <wp:docPr id="75" name="Frame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Bank USA, as a Lender</w:t>
      </w:r>
    </w:p>
    <w:p>
      <w:pPr>
        <w:pStyle w:val="TextBody"/>
        <w:bidi w:val="0"/>
        <w:spacing w:lineRule="auto" w:line="288" w:before="0" w:after="0"/>
        <w:jc w:val="left"/>
        <w:rPr/>
      </w:pPr>
      <w:r>
        <w:rPr>
          <w:rFonts w:ascii="Times New Roman;sans-serif" w:hAnsi="Times New Roman;sans-serif"/>
          <w:b w:val="false"/>
          <w:color w:val="000000"/>
          <w:sz w:val="22"/>
        </w:rPr>
        <w:t>By:    </w:t>
      </w:r>
      <w:r>
        <w:rPr>
          <w:color w:val="000000"/>
          <w:u w:val="single"/>
        </w:rPr>
        <w:t>    </w:t>
      </w:r>
      <w:r>
        <w:rPr>
          <w:rFonts w:ascii="Times New Roman;sans-serif" w:hAnsi="Times New Roman;sans-serif"/>
          <w:b w:val="false"/>
          <w:color w:val="000000"/>
          <w:sz w:val="22"/>
          <w:u w:val="single"/>
        </w:rPr>
        <w:t>/s/ Priyankush Goswami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Name:    Priyankush Goswami</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7665"/>
                <wp:effectExtent l="0" t="0" r="0" b="0"/>
                <wp:wrapNone/>
                <wp:docPr id="76" name="Frame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as a Lender</w:t>
      </w:r>
    </w:p>
    <w:p>
      <w:pPr>
        <w:pStyle w:val="TextBody"/>
        <w:bidi w:val="0"/>
        <w:spacing w:lineRule="auto" w:line="288" w:before="0" w:after="0"/>
        <w:jc w:val="left"/>
        <w:rPr/>
      </w:pPr>
      <w:r>
        <w:rPr>
          <w:rFonts w:ascii="Times New Roman;sans-serif" w:hAnsi="Times New Roman;sans-serif"/>
          <w:b w:val="false"/>
          <w:color w:val="000000"/>
          <w:sz w:val="22"/>
        </w:rPr>
        <w:t>By:    </w:t>
      </w:r>
      <w:r>
        <w:rPr>
          <w:color w:val="000000"/>
          <w:u w:val="single"/>
        </w:rPr>
        <w:t>    </w:t>
      </w:r>
      <w:r>
        <w:rPr>
          <w:rFonts w:ascii="Times New Roman;sans-serif" w:hAnsi="Times New Roman;sans-serif"/>
          <w:b w:val="false"/>
          <w:color w:val="000000"/>
          <w:sz w:val="22"/>
          <w:u w:val="single"/>
        </w:rPr>
        <w:t>/s/ Peter B. Thauer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Name:    Peter B. Thauer</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67665"/>
                <wp:effectExtent l="0" t="0" r="0" b="0"/>
                <wp:wrapNone/>
                <wp:docPr id="77" name="Frame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MORGAN STANLEY SENIOR FUNDING, INC., as a Lender</w:t>
      </w:r>
    </w:p>
    <w:p>
      <w:pPr>
        <w:pStyle w:val="TextBody"/>
        <w:bidi w:val="0"/>
        <w:spacing w:lineRule="auto" w:line="288" w:before="0" w:after="0"/>
        <w:jc w:val="left"/>
        <w:rPr/>
      </w:pPr>
      <w:r>
        <w:rPr>
          <w:rFonts w:ascii="Times New Roman;sans-serif" w:hAnsi="Times New Roman;sans-serif"/>
          <w:b w:val="false"/>
          <w:color w:val="000000"/>
          <w:sz w:val="22"/>
        </w:rPr>
        <w:t>By:    </w:t>
      </w:r>
      <w:r>
        <w:rPr>
          <w:color w:val="000000"/>
          <w:u w:val="single"/>
        </w:rPr>
        <w:t>    </w:t>
      </w:r>
      <w:r>
        <w:rPr>
          <w:rFonts w:ascii="Times New Roman;sans-serif" w:hAnsi="Times New Roman;sans-serif"/>
          <w:b w:val="false"/>
          <w:color w:val="000000"/>
          <w:sz w:val="22"/>
          <w:u w:val="single"/>
        </w:rPr>
        <w:t>/s/ Fru Ngwa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Name:    Fru Ngwa</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67665"/>
                <wp:effectExtent l="0" t="0" r="0" b="0"/>
                <wp:wrapNone/>
                <wp:docPr id="78" name="Frame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MORGAN STANLEY BANK, N.A., as a Lender</w:t>
      </w:r>
    </w:p>
    <w:p>
      <w:pPr>
        <w:pStyle w:val="TextBody"/>
        <w:bidi w:val="0"/>
        <w:spacing w:lineRule="auto" w:line="288" w:before="0" w:after="0"/>
        <w:jc w:val="left"/>
        <w:rPr/>
      </w:pPr>
      <w:r>
        <w:rPr>
          <w:rFonts w:ascii="Times New Roman;sans-serif" w:hAnsi="Times New Roman;sans-serif"/>
          <w:b w:val="false"/>
          <w:color w:val="000000"/>
          <w:sz w:val="22"/>
        </w:rPr>
        <w:t>By:    </w:t>
      </w:r>
      <w:r>
        <w:rPr>
          <w:color w:val="000000"/>
          <w:u w:val="single"/>
        </w:rPr>
        <w:t>    </w:t>
      </w:r>
      <w:r>
        <w:rPr>
          <w:rFonts w:ascii="Times New Roman;sans-serif" w:hAnsi="Times New Roman;sans-serif"/>
          <w:b w:val="false"/>
          <w:color w:val="000000"/>
          <w:sz w:val="22"/>
          <w:u w:val="single"/>
        </w:rPr>
        <w:t>/s/ Fru Ngwa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Name:    Fru Ngwa</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67665"/>
                <wp:effectExtent l="0" t="0" r="0" b="0"/>
                <wp:wrapNone/>
                <wp:docPr id="79" name="Frame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ROYAL BANK OF CANADA, as a Lender</w:t>
      </w:r>
    </w:p>
    <w:p>
      <w:pPr>
        <w:pStyle w:val="TextBody"/>
        <w:bidi w:val="0"/>
        <w:spacing w:lineRule="auto" w:line="288" w:before="0" w:after="0"/>
        <w:jc w:val="left"/>
        <w:rPr/>
      </w:pPr>
      <w:r>
        <w:rPr>
          <w:rFonts w:ascii="Times New Roman;sans-serif" w:hAnsi="Times New Roman;sans-serif"/>
          <w:b w:val="false"/>
          <w:color w:val="000000"/>
          <w:sz w:val="22"/>
        </w:rPr>
        <w:t>By:    </w:t>
      </w:r>
      <w:r>
        <w:rPr>
          <w:color w:val="000000"/>
          <w:u w:val="single"/>
        </w:rPr>
        <w:t>    </w:t>
      </w:r>
      <w:r>
        <w:rPr>
          <w:rFonts w:ascii="Times New Roman;sans-serif" w:hAnsi="Times New Roman;sans-serif"/>
          <w:b w:val="false"/>
          <w:color w:val="000000"/>
          <w:sz w:val="22"/>
          <w:u w:val="single"/>
        </w:rPr>
        <w:t>/s/ Gill Skala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Name:    Gill Skala</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67665"/>
                <wp:effectExtent l="0" t="0" r="0" b="0"/>
                <wp:wrapNone/>
                <wp:docPr id="80" name="Frame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The Toronto-Dominion Bank, New York Branch, as a Lender</w:t>
      </w:r>
    </w:p>
    <w:p>
      <w:pPr>
        <w:pStyle w:val="TextBody"/>
        <w:bidi w:val="0"/>
        <w:spacing w:lineRule="auto" w:line="288" w:before="0" w:after="0"/>
        <w:jc w:val="left"/>
        <w:rPr/>
      </w:pPr>
      <w:r>
        <w:rPr>
          <w:rFonts w:ascii="Times New Roman;sans-serif" w:hAnsi="Times New Roman;sans-serif"/>
          <w:b w:val="false"/>
          <w:color w:val="000000"/>
          <w:sz w:val="22"/>
        </w:rPr>
        <w:t>By:    </w:t>
      </w:r>
      <w:r>
        <w:rPr>
          <w:color w:val="000000"/>
          <w:u w:val="single"/>
        </w:rPr>
        <w:t>    </w:t>
      </w:r>
      <w:r>
        <w:rPr>
          <w:rFonts w:ascii="Times New Roman;sans-serif" w:hAnsi="Times New Roman;sans-serif"/>
          <w:b w:val="false"/>
          <w:color w:val="000000"/>
          <w:sz w:val="22"/>
          <w:u w:val="single"/>
        </w:rPr>
        <w:t>/s/ Allan Kortan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Name:    Allan Kortan</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Title:    Authorized Signatory</w:t>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67665"/>
                <wp:effectExtent l="0" t="0" r="0" b="0"/>
                <wp:wrapNone/>
                <wp:docPr id="81" name="Frame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to Amendment No. 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Kenneth A. Gunderman,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Uniti Group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67"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975"/>
        <w:gridCol w:w="975"/>
        <w:gridCol w:w="137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/s/Kenneth A. Gunderman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Kenneth A. Gunderman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0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Paul E. Bullington,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Uniti Group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103"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1187"/>
        <w:gridCol w:w="1187"/>
        <w:gridCol w:w="169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Paul E. Bullington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Senior Vice President –Chief Financial Officer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556"/>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Uniti Group Inc. (the “Company”) for the period ending March 31, 2025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368"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975"/>
        <w:gridCol w:w="975"/>
        <w:gridCol w:w="138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A. Gunderman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Kenneth A. Gunderman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Uniti Group Inc. (the “Company”) for the period ending March 31, 2025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148"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1200"/>
        <w:gridCol w:w="1200"/>
        <w:gridCol w:w="171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ans-serif" w:hAnsi="Times New Roman;sans-serif"/>
                <w:b w:val="false"/>
                <w:color w:val="000000"/>
                <w:sz w:val="20"/>
              </w:rPr>
              <w:t>By</w:t>
            </w:r>
            <w:r>
              <w:rPr>
                <w:rFonts w:ascii="Arial;sans-serif" w:hAnsi="Arial;sans-serif"/>
                <w:b w:val="false"/>
                <w:color w:val="222222"/>
                <w:sz w:val="20"/>
              </w:rPr>
              <w:t>:</w:t>
            </w:r>
          </w:p>
        </w:tc>
        <w:tc>
          <w:tcPr>
            <w:tcW w:w="4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Paul E. Bullington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Senior Vice President – Chief Financial Officer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280/000095010324006323/dp210423_ex0201.htm" TargetMode="External"/><Relationship Id="rId3" Type="http://schemas.openxmlformats.org/officeDocument/2006/relationships/hyperlink" Target="https://www.sec.gov/Archives/edgar/data/1620280/000162828024034151/unit-ex22.htm" TargetMode="External"/><Relationship Id="rId4" Type="http://schemas.openxmlformats.org/officeDocument/2006/relationships/hyperlink" Target="https://www.sec.gov/Archives/edgar/data/1620280/000095010325001423/dp224296_ex0401.htm" TargetMode="External"/><Relationship Id="rId5" Type="http://schemas.openxmlformats.org/officeDocument/2006/relationships/hyperlink" Target="https://www.sec.gov/Archives/edgar/data/1620280/000095010325001423/dp224296_ex0402.htm" TargetMode="External"/><Relationship Id="rId6" Type="http://schemas.openxmlformats.org/officeDocument/2006/relationships/hyperlink" Target="https://www.sec.gov/Archives/edgar/data/1620280/000110465925035791/tm2512510d1_ex10-1.htm" TargetMode="External"/><Relationship Id="rId7" Type="http://schemas.openxmlformats.org/officeDocument/2006/relationships/hyperlink" Target="https://www.sec.gov/Archives/edgar/data/1620280/000110465925035791/tm2512510d1_ex10-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29585</Words>
  <Characters>165004</Characters>
  <CharactersWithSpaces>193738</CharactersWithSpaces>
  <Paragraphs>4626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